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D82B1" w14:textId="77777777" w:rsidR="0093720E" w:rsidRPr="00AE525C" w:rsidRDefault="0093720E" w:rsidP="0093720E">
      <w:pPr>
        <w:widowControl w:val="0"/>
        <w:autoSpaceDE w:val="0"/>
        <w:autoSpaceDN w:val="0"/>
        <w:adjustRightInd w:val="0"/>
        <w:rPr>
          <w:rFonts w:asciiTheme="majorHAnsi" w:hAnsiTheme="majorHAnsi" w:cs="Arial"/>
          <w:b/>
          <w:bCs/>
          <w:color w:val="262626"/>
          <w:sz w:val="22"/>
          <w:szCs w:val="22"/>
        </w:rPr>
      </w:pPr>
      <w:r w:rsidRPr="00AE525C">
        <w:rPr>
          <w:rFonts w:asciiTheme="majorHAnsi" w:hAnsiTheme="majorHAnsi" w:cs="Arial"/>
          <w:b/>
          <w:bCs/>
          <w:color w:val="262626"/>
          <w:sz w:val="22"/>
          <w:szCs w:val="22"/>
        </w:rPr>
        <w:t>Cross-Community Working Group on Enhancing ICANN Accountability                               </w:t>
      </w:r>
    </w:p>
    <w:p w14:paraId="506BB410" w14:textId="37DD4462" w:rsidR="0093720E" w:rsidRDefault="0093720E" w:rsidP="0093720E">
      <w:pPr>
        <w:widowControl w:val="0"/>
        <w:autoSpaceDE w:val="0"/>
        <w:autoSpaceDN w:val="0"/>
        <w:adjustRightInd w:val="0"/>
        <w:rPr>
          <w:rFonts w:asciiTheme="majorHAnsi" w:hAnsiTheme="majorHAnsi" w:cs="Arial"/>
          <w:color w:val="262626"/>
          <w:sz w:val="22"/>
          <w:szCs w:val="22"/>
        </w:rPr>
      </w:pPr>
      <w:r w:rsidRPr="00AE525C">
        <w:rPr>
          <w:rFonts w:asciiTheme="majorHAnsi" w:hAnsiTheme="majorHAnsi" w:cs="Arial"/>
          <w:color w:val="262626"/>
          <w:sz w:val="22"/>
          <w:szCs w:val="22"/>
        </w:rPr>
        <w:t xml:space="preserve">Work </w:t>
      </w:r>
      <w:r w:rsidR="00795D7C">
        <w:rPr>
          <w:rFonts w:asciiTheme="majorHAnsi" w:hAnsiTheme="majorHAnsi" w:cs="Arial"/>
          <w:color w:val="262626"/>
          <w:sz w:val="22"/>
          <w:szCs w:val="22"/>
        </w:rPr>
        <w:t xml:space="preserve">Party </w:t>
      </w:r>
      <w:r>
        <w:rPr>
          <w:rFonts w:asciiTheme="majorHAnsi" w:hAnsiTheme="majorHAnsi" w:cs="Arial"/>
          <w:color w:val="262626"/>
          <w:sz w:val="22"/>
          <w:szCs w:val="22"/>
        </w:rPr>
        <w:t>2:</w:t>
      </w:r>
      <w:r w:rsidRPr="00AE525C">
        <w:rPr>
          <w:rFonts w:asciiTheme="majorHAnsi" w:hAnsiTheme="majorHAnsi" w:cs="Arial"/>
          <w:color w:val="262626"/>
          <w:sz w:val="22"/>
          <w:szCs w:val="22"/>
        </w:rPr>
        <w:t xml:space="preserve"> </w:t>
      </w:r>
      <w:r>
        <w:rPr>
          <w:rFonts w:asciiTheme="majorHAnsi" w:hAnsiTheme="majorHAnsi" w:cs="Arial"/>
          <w:color w:val="262626"/>
          <w:sz w:val="22"/>
          <w:szCs w:val="22"/>
        </w:rPr>
        <w:t>Review and Redress</w:t>
      </w:r>
      <w:r w:rsidRPr="00AE525C">
        <w:rPr>
          <w:rFonts w:asciiTheme="majorHAnsi" w:hAnsiTheme="majorHAnsi" w:cs="Arial"/>
          <w:color w:val="262626"/>
          <w:sz w:val="22"/>
          <w:szCs w:val="22"/>
        </w:rPr>
        <w:tab/>
      </w:r>
      <w:r w:rsidRPr="00AE525C">
        <w:rPr>
          <w:rFonts w:asciiTheme="majorHAnsi" w:hAnsiTheme="majorHAnsi" w:cs="Arial"/>
          <w:color w:val="262626"/>
          <w:sz w:val="22"/>
          <w:szCs w:val="22"/>
        </w:rPr>
        <w:tab/>
      </w:r>
      <w:r w:rsidRPr="00AE525C">
        <w:rPr>
          <w:rFonts w:asciiTheme="majorHAnsi" w:hAnsiTheme="majorHAnsi" w:cs="Arial"/>
          <w:color w:val="262626"/>
          <w:sz w:val="22"/>
          <w:szCs w:val="22"/>
        </w:rPr>
        <w:tab/>
      </w:r>
      <w:r w:rsidRPr="00AE525C">
        <w:rPr>
          <w:rFonts w:asciiTheme="majorHAnsi" w:hAnsiTheme="majorHAnsi" w:cs="Arial"/>
          <w:color w:val="262626"/>
          <w:sz w:val="22"/>
          <w:szCs w:val="22"/>
        </w:rPr>
        <w:tab/>
      </w:r>
      <w:r w:rsidRPr="00AE525C">
        <w:rPr>
          <w:rFonts w:asciiTheme="majorHAnsi" w:hAnsiTheme="majorHAnsi" w:cs="Arial"/>
          <w:color w:val="262626"/>
          <w:sz w:val="22"/>
          <w:szCs w:val="22"/>
        </w:rPr>
        <w:tab/>
      </w:r>
      <w:r w:rsidRPr="00AE525C">
        <w:rPr>
          <w:rFonts w:asciiTheme="majorHAnsi" w:hAnsiTheme="majorHAnsi" w:cs="Arial"/>
          <w:color w:val="262626"/>
          <w:sz w:val="22"/>
          <w:szCs w:val="22"/>
        </w:rPr>
        <w:tab/>
        <w:t xml:space="preserve"> </w:t>
      </w:r>
    </w:p>
    <w:p w14:paraId="4EE7BC01" w14:textId="77777777" w:rsidR="0093720E" w:rsidRDefault="0093720E" w:rsidP="0093720E">
      <w:pPr>
        <w:widowControl w:val="0"/>
        <w:autoSpaceDE w:val="0"/>
        <w:autoSpaceDN w:val="0"/>
        <w:adjustRightInd w:val="0"/>
        <w:rPr>
          <w:rFonts w:asciiTheme="majorHAnsi" w:hAnsiTheme="majorHAnsi" w:cs="Arial"/>
          <w:b/>
          <w:bCs/>
          <w:color w:val="262626"/>
          <w:sz w:val="20"/>
          <w:szCs w:val="20"/>
        </w:rPr>
      </w:pPr>
    </w:p>
    <w:p w14:paraId="2B24454F" w14:textId="77777777" w:rsidR="0093720E" w:rsidRDefault="0093720E" w:rsidP="0093720E">
      <w:pPr>
        <w:widowControl w:val="0"/>
        <w:autoSpaceDE w:val="0"/>
        <w:autoSpaceDN w:val="0"/>
        <w:adjustRightInd w:val="0"/>
        <w:rPr>
          <w:rFonts w:asciiTheme="majorHAnsi" w:hAnsiTheme="majorHAnsi" w:cs="Arial"/>
          <w:b/>
          <w:bCs/>
          <w:color w:val="262626"/>
          <w:sz w:val="36"/>
          <w:szCs w:val="20"/>
        </w:rPr>
      </w:pPr>
      <w:r w:rsidRPr="00024639">
        <w:rPr>
          <w:rFonts w:asciiTheme="majorHAnsi" w:hAnsiTheme="majorHAnsi" w:cs="Arial"/>
          <w:b/>
          <w:bCs/>
          <w:color w:val="262626"/>
          <w:sz w:val="36"/>
          <w:szCs w:val="20"/>
        </w:rPr>
        <w:t xml:space="preserve">Scope, </w:t>
      </w:r>
      <w:r>
        <w:rPr>
          <w:rFonts w:asciiTheme="majorHAnsi" w:hAnsiTheme="majorHAnsi" w:cs="Arial"/>
          <w:b/>
          <w:bCs/>
          <w:color w:val="262626"/>
          <w:sz w:val="36"/>
          <w:szCs w:val="20"/>
        </w:rPr>
        <w:t>Powers</w:t>
      </w:r>
      <w:r w:rsidRPr="00024639">
        <w:rPr>
          <w:rFonts w:asciiTheme="majorHAnsi" w:hAnsiTheme="majorHAnsi" w:cs="Arial"/>
          <w:b/>
          <w:bCs/>
          <w:color w:val="262626"/>
          <w:sz w:val="36"/>
          <w:szCs w:val="20"/>
        </w:rPr>
        <w:t xml:space="preserve"> and Mechanisms Working Paper</w:t>
      </w:r>
    </w:p>
    <w:p w14:paraId="2983C476" w14:textId="77777777" w:rsidR="0093720E" w:rsidRDefault="0093720E" w:rsidP="0093720E">
      <w:pPr>
        <w:widowControl w:val="0"/>
        <w:autoSpaceDE w:val="0"/>
        <w:autoSpaceDN w:val="0"/>
        <w:adjustRightInd w:val="0"/>
        <w:rPr>
          <w:rFonts w:asciiTheme="majorHAnsi" w:hAnsiTheme="majorHAnsi" w:cs="Arial"/>
          <w:b/>
          <w:bCs/>
          <w:color w:val="262626"/>
          <w:sz w:val="20"/>
          <w:szCs w:val="20"/>
        </w:rPr>
      </w:pPr>
    </w:p>
    <w:p w14:paraId="3F14B7C3" w14:textId="77777777" w:rsidR="0093720E" w:rsidRPr="00AE525C" w:rsidRDefault="0093720E" w:rsidP="0093720E">
      <w:pPr>
        <w:widowControl w:val="0"/>
        <w:autoSpaceDE w:val="0"/>
        <w:autoSpaceDN w:val="0"/>
        <w:adjustRightInd w:val="0"/>
        <w:jc w:val="right"/>
        <w:rPr>
          <w:rFonts w:asciiTheme="majorHAnsi" w:hAnsiTheme="majorHAnsi" w:cs="Arial"/>
          <w:color w:val="262626"/>
          <w:sz w:val="22"/>
          <w:szCs w:val="22"/>
        </w:rPr>
      </w:pPr>
      <w:r w:rsidRPr="00AE525C">
        <w:rPr>
          <w:rFonts w:asciiTheme="majorHAnsi" w:hAnsiTheme="majorHAnsi" w:cs="Arial"/>
          <w:color w:val="262626"/>
          <w:sz w:val="22"/>
          <w:szCs w:val="22"/>
        </w:rPr>
        <w:t xml:space="preserve">Draft </w:t>
      </w:r>
      <w:r>
        <w:rPr>
          <w:rFonts w:asciiTheme="majorHAnsi" w:hAnsiTheme="majorHAnsi" w:cs="Arial"/>
          <w:color w:val="262626"/>
          <w:sz w:val="22"/>
          <w:szCs w:val="22"/>
        </w:rPr>
        <w:t>1, 10</w:t>
      </w:r>
      <w:r w:rsidRPr="00AE525C">
        <w:rPr>
          <w:rFonts w:asciiTheme="majorHAnsi" w:hAnsiTheme="majorHAnsi" w:cs="Arial"/>
          <w:color w:val="262626"/>
          <w:sz w:val="22"/>
          <w:szCs w:val="22"/>
        </w:rPr>
        <w:t>-Feb-2015</w:t>
      </w:r>
    </w:p>
    <w:p w14:paraId="18DA85F7" w14:textId="77777777" w:rsidR="0093720E" w:rsidRDefault="0093720E" w:rsidP="0093720E">
      <w:pPr>
        <w:rPr>
          <w:rFonts w:asciiTheme="majorHAnsi" w:hAnsiTheme="majorHAnsi" w:cs="Arial"/>
          <w:color w:val="262626"/>
          <w:sz w:val="22"/>
          <w:szCs w:val="20"/>
        </w:rPr>
      </w:pPr>
    </w:p>
    <w:p w14:paraId="12520B35" w14:textId="77777777" w:rsidR="0093720E" w:rsidRDefault="0093720E" w:rsidP="0093720E">
      <w:pPr>
        <w:rPr>
          <w:rFonts w:asciiTheme="majorHAnsi" w:hAnsiTheme="majorHAnsi" w:cs="Arial"/>
          <w:color w:val="262626"/>
          <w:sz w:val="22"/>
          <w:szCs w:val="20"/>
        </w:rPr>
      </w:pPr>
      <w:r>
        <w:rPr>
          <w:rFonts w:asciiTheme="majorHAnsi" w:hAnsiTheme="majorHAnsi" w:cs="Arial"/>
          <w:color w:val="262626"/>
          <w:sz w:val="22"/>
          <w:szCs w:val="20"/>
        </w:rPr>
        <w:t>Work Party 2 has been tasked with considering enhancements to existing accountability and new mechanisms that provide for periodic and issue-specific review of ICANN operations and redress for those affected by ICANN’s failure to carry out its mission statement in conformance with specified standards to be developed.  These mechanisms should permit both individuals/entities harmed by specific actions or inaction and should also permit ICANN stakeholders more generally (e.g., SOs, ACs, Cross Community Groups, others TBD) to hold ICANN accountable for carrying out its mission in compliance with agreed-upon standards.  In doing so, Work Party 2 will set out necessary changes (e.g., bylaws changes) to deliver these review and redress mechanisms.</w:t>
      </w:r>
    </w:p>
    <w:p w14:paraId="7084A5C0" w14:textId="77777777" w:rsidR="0093720E" w:rsidRDefault="0093720E" w:rsidP="0093720E">
      <w:pPr>
        <w:rPr>
          <w:rFonts w:asciiTheme="majorHAnsi" w:hAnsiTheme="majorHAnsi" w:cs="Arial"/>
          <w:color w:val="262626"/>
          <w:sz w:val="22"/>
          <w:szCs w:val="20"/>
        </w:rPr>
      </w:pPr>
    </w:p>
    <w:p w14:paraId="2BD7AB1D" w14:textId="77777777" w:rsidR="00F73570" w:rsidRDefault="0093720E" w:rsidP="0093720E">
      <w:pPr>
        <w:rPr>
          <w:rFonts w:asciiTheme="majorHAnsi" w:hAnsiTheme="majorHAnsi" w:cs="Arial"/>
          <w:color w:val="262626"/>
          <w:sz w:val="22"/>
          <w:szCs w:val="20"/>
        </w:rPr>
      </w:pPr>
      <w:r>
        <w:rPr>
          <w:rFonts w:asciiTheme="majorHAnsi" w:hAnsiTheme="majorHAnsi" w:cs="Arial"/>
          <w:color w:val="262626"/>
          <w:sz w:val="22"/>
          <w:szCs w:val="20"/>
        </w:rPr>
        <w:t>As the division of tasks falling within the remit of the 2 Work Party are likely to overlap, the Work Parties will work collectively on some work streams (e.g., standards, standing issues, remedies, and bylaw provisions implementing them) and will coordinate work on other issues (e.g., details regarding the operation of empowerment and review/redress mechanisms).</w:t>
      </w:r>
    </w:p>
    <w:p w14:paraId="0BCC54D3" w14:textId="77777777" w:rsidR="00337277" w:rsidRDefault="00337277" w:rsidP="0093720E">
      <w:pPr>
        <w:rPr>
          <w:rFonts w:asciiTheme="majorHAnsi" w:hAnsiTheme="majorHAnsi" w:cs="Arial"/>
          <w:color w:val="262626"/>
          <w:sz w:val="22"/>
          <w:szCs w:val="20"/>
        </w:rPr>
      </w:pPr>
    </w:p>
    <w:p w14:paraId="38DEDB99" w14:textId="3186440E" w:rsidR="00337277" w:rsidRPr="00AE525C" w:rsidRDefault="00337277" w:rsidP="00337277">
      <w:pPr>
        <w:widowControl w:val="0"/>
        <w:autoSpaceDE w:val="0"/>
        <w:autoSpaceDN w:val="0"/>
        <w:adjustRightInd w:val="0"/>
        <w:rPr>
          <w:rFonts w:asciiTheme="majorHAnsi" w:hAnsiTheme="majorHAnsi" w:cs="Arial"/>
          <w:color w:val="262626"/>
          <w:sz w:val="22"/>
          <w:szCs w:val="20"/>
        </w:rPr>
      </w:pPr>
      <w:r w:rsidRPr="00AE525C">
        <w:rPr>
          <w:rFonts w:asciiTheme="majorHAnsi" w:hAnsiTheme="majorHAnsi" w:cs="Arial"/>
          <w:color w:val="262626"/>
          <w:sz w:val="22"/>
          <w:szCs w:val="20"/>
        </w:rPr>
        <w:t xml:space="preserve">From the </w:t>
      </w:r>
      <w:r>
        <w:rPr>
          <w:rFonts w:asciiTheme="majorHAnsi" w:hAnsiTheme="majorHAnsi" w:cs="Arial"/>
          <w:color w:val="262626"/>
          <w:sz w:val="22"/>
          <w:szCs w:val="20"/>
        </w:rPr>
        <w:t>meeting of the CCWG at Frankfurt in January, there was agreement on the</w:t>
      </w:r>
      <w:r w:rsidRPr="00AE525C">
        <w:rPr>
          <w:rFonts w:asciiTheme="majorHAnsi" w:hAnsiTheme="majorHAnsi" w:cs="Arial"/>
          <w:color w:val="262626"/>
          <w:sz w:val="22"/>
          <w:szCs w:val="20"/>
        </w:rPr>
        <w:t xml:space="preserve"> requirements that fall into the category of </w:t>
      </w:r>
      <w:r w:rsidR="003F3F83">
        <w:rPr>
          <w:rFonts w:asciiTheme="majorHAnsi" w:hAnsiTheme="majorHAnsi" w:cs="Arial"/>
          <w:color w:val="262626"/>
          <w:sz w:val="22"/>
          <w:szCs w:val="20"/>
        </w:rPr>
        <w:t>Review and Redress</w:t>
      </w:r>
      <w:r>
        <w:rPr>
          <w:rFonts w:asciiTheme="majorHAnsi" w:hAnsiTheme="majorHAnsi" w:cs="Arial"/>
          <w:color w:val="262626"/>
          <w:sz w:val="22"/>
          <w:szCs w:val="20"/>
        </w:rPr>
        <w:t xml:space="preserve"> and are the subject of this Working Party’s work</w:t>
      </w:r>
      <w:r w:rsidRPr="00AE525C">
        <w:rPr>
          <w:rFonts w:asciiTheme="majorHAnsi" w:hAnsiTheme="majorHAnsi" w:cs="Arial"/>
          <w:color w:val="262626"/>
          <w:sz w:val="22"/>
          <w:szCs w:val="20"/>
        </w:rPr>
        <w:t>:</w:t>
      </w:r>
    </w:p>
    <w:p w14:paraId="06E5D094" w14:textId="77777777" w:rsidR="00337277" w:rsidRDefault="00337277" w:rsidP="00337277"/>
    <w:p w14:paraId="2A6D9D3B" w14:textId="5DF40889" w:rsidR="00E3783F" w:rsidRPr="00E3783F" w:rsidRDefault="006D3F24" w:rsidP="00E3783F">
      <w:pPr>
        <w:pStyle w:val="ListParagraph"/>
        <w:numPr>
          <w:ilvl w:val="0"/>
          <w:numId w:val="1"/>
        </w:numPr>
        <w:rPr>
          <w:rFonts w:asciiTheme="majorHAnsi" w:hAnsiTheme="majorHAnsi"/>
          <w:sz w:val="22"/>
          <w:szCs w:val="22"/>
        </w:rPr>
      </w:pPr>
      <w:r w:rsidRPr="00E3783F">
        <w:rPr>
          <w:rFonts w:asciiTheme="majorHAnsi" w:hAnsiTheme="majorHAnsi"/>
          <w:sz w:val="22"/>
          <w:szCs w:val="22"/>
        </w:rPr>
        <w:t>Enhance existing review/redress tools (</w:t>
      </w:r>
      <w:r w:rsidR="002E12E3" w:rsidRPr="00E3783F">
        <w:rPr>
          <w:rFonts w:asciiTheme="majorHAnsi" w:hAnsiTheme="majorHAnsi"/>
          <w:sz w:val="22"/>
          <w:szCs w:val="22"/>
        </w:rPr>
        <w:t>Recons</w:t>
      </w:r>
      <w:r w:rsidRPr="00E3783F">
        <w:rPr>
          <w:rFonts w:asciiTheme="majorHAnsi" w:hAnsiTheme="majorHAnsi"/>
          <w:sz w:val="22"/>
          <w:szCs w:val="22"/>
        </w:rPr>
        <w:t>ideration,</w:t>
      </w:r>
      <w:r w:rsidR="00E3783F">
        <w:rPr>
          <w:rFonts w:asciiTheme="majorHAnsi" w:hAnsiTheme="majorHAnsi"/>
          <w:sz w:val="22"/>
          <w:szCs w:val="22"/>
        </w:rPr>
        <w:t xml:space="preserve"> Independent Review, Ombudsman);</w:t>
      </w:r>
    </w:p>
    <w:p w14:paraId="5B873892" w14:textId="52ED232B" w:rsidR="006D3F24" w:rsidRPr="00E3783F" w:rsidRDefault="00E3783F" w:rsidP="002E12E3">
      <w:pPr>
        <w:pStyle w:val="ListParagraph"/>
        <w:numPr>
          <w:ilvl w:val="0"/>
          <w:numId w:val="1"/>
        </w:numPr>
        <w:rPr>
          <w:rFonts w:asciiTheme="majorHAnsi" w:hAnsiTheme="majorHAnsi"/>
          <w:sz w:val="22"/>
          <w:szCs w:val="22"/>
        </w:rPr>
      </w:pPr>
      <w:r w:rsidRPr="00E3783F">
        <w:rPr>
          <w:rFonts w:asciiTheme="majorHAnsi" w:hAnsiTheme="majorHAnsi"/>
          <w:sz w:val="22"/>
          <w:szCs w:val="22"/>
        </w:rPr>
        <w:t>Enhance e</w:t>
      </w:r>
      <w:r>
        <w:rPr>
          <w:rFonts w:asciiTheme="majorHAnsi" w:hAnsiTheme="majorHAnsi"/>
          <w:sz w:val="22"/>
          <w:szCs w:val="22"/>
        </w:rPr>
        <w:t xml:space="preserve">xisting and/or </w:t>
      </w:r>
      <w:r w:rsidRPr="00E3783F">
        <w:rPr>
          <w:rFonts w:asciiTheme="majorHAnsi" w:hAnsiTheme="majorHAnsi"/>
          <w:sz w:val="22"/>
          <w:szCs w:val="22"/>
        </w:rPr>
        <w:t xml:space="preserve">create </w:t>
      </w:r>
      <w:r w:rsidR="006D3F24" w:rsidRPr="00E3783F">
        <w:rPr>
          <w:rFonts w:asciiTheme="majorHAnsi" w:hAnsiTheme="majorHAnsi"/>
          <w:sz w:val="22"/>
          <w:szCs w:val="22"/>
        </w:rPr>
        <w:t xml:space="preserve">new periodic review tools </w:t>
      </w:r>
      <w:r w:rsidRPr="00E3783F">
        <w:rPr>
          <w:rFonts w:asciiTheme="majorHAnsi" w:hAnsiTheme="majorHAnsi"/>
          <w:sz w:val="22"/>
          <w:szCs w:val="22"/>
        </w:rPr>
        <w:t>such as</w:t>
      </w:r>
      <w:r w:rsidR="006D3F24" w:rsidRPr="00E3783F">
        <w:rPr>
          <w:rFonts w:asciiTheme="majorHAnsi" w:hAnsiTheme="majorHAnsi"/>
          <w:sz w:val="22"/>
          <w:szCs w:val="22"/>
        </w:rPr>
        <w:t xml:space="preserve"> standing AT</w:t>
      </w:r>
      <w:r w:rsidR="003F3F83" w:rsidRPr="00E3783F">
        <w:rPr>
          <w:rFonts w:asciiTheme="majorHAnsi" w:hAnsiTheme="majorHAnsi"/>
          <w:sz w:val="22"/>
          <w:szCs w:val="22"/>
        </w:rPr>
        <w:t>RT, Board/SO/AC reviews, others.</w:t>
      </w:r>
    </w:p>
    <w:p w14:paraId="0F02EEED" w14:textId="77777777" w:rsidR="003F3F83" w:rsidRPr="00E3783F" w:rsidRDefault="006D3F24" w:rsidP="003F3F83">
      <w:pPr>
        <w:pStyle w:val="ListParagraph"/>
        <w:numPr>
          <w:ilvl w:val="0"/>
          <w:numId w:val="1"/>
        </w:numPr>
        <w:rPr>
          <w:rFonts w:asciiTheme="majorHAnsi" w:hAnsiTheme="majorHAnsi"/>
          <w:sz w:val="22"/>
          <w:szCs w:val="22"/>
        </w:rPr>
      </w:pPr>
      <w:r w:rsidRPr="00E3783F">
        <w:rPr>
          <w:rFonts w:asciiTheme="majorHAnsi" w:hAnsiTheme="majorHAnsi"/>
          <w:sz w:val="22"/>
          <w:szCs w:val="22"/>
        </w:rPr>
        <w:t>In each case</w:t>
      </w:r>
      <w:r w:rsidR="003F3F83" w:rsidRPr="00E3783F">
        <w:rPr>
          <w:rFonts w:asciiTheme="majorHAnsi" w:hAnsiTheme="majorHAnsi"/>
          <w:sz w:val="22"/>
          <w:szCs w:val="22"/>
        </w:rPr>
        <w:t>, develop s</w:t>
      </w:r>
      <w:r w:rsidR="00337277" w:rsidRPr="00E3783F">
        <w:rPr>
          <w:rFonts w:asciiTheme="majorHAnsi" w:hAnsiTheme="majorHAnsi"/>
          <w:sz w:val="22"/>
          <w:szCs w:val="22"/>
        </w:rPr>
        <w:t xml:space="preserve">ubstantive and procedural </w:t>
      </w:r>
      <w:r w:rsidR="003F3F83" w:rsidRPr="00E3783F">
        <w:rPr>
          <w:rFonts w:asciiTheme="majorHAnsi" w:hAnsiTheme="majorHAnsi"/>
          <w:sz w:val="22"/>
          <w:szCs w:val="22"/>
        </w:rPr>
        <w:t>requirements</w:t>
      </w:r>
      <w:r w:rsidR="00337277" w:rsidRPr="00E3783F">
        <w:rPr>
          <w:rFonts w:asciiTheme="majorHAnsi" w:hAnsiTheme="majorHAnsi"/>
          <w:sz w:val="22"/>
          <w:szCs w:val="22"/>
        </w:rPr>
        <w:t>, including</w:t>
      </w:r>
      <w:r w:rsidR="002E12E3" w:rsidRPr="00E3783F">
        <w:rPr>
          <w:rFonts w:asciiTheme="majorHAnsi" w:hAnsiTheme="majorHAnsi"/>
          <w:sz w:val="22"/>
          <w:szCs w:val="22"/>
        </w:rPr>
        <w:t>:</w:t>
      </w:r>
      <w:r w:rsidR="00337277" w:rsidRPr="00E3783F">
        <w:rPr>
          <w:rFonts w:asciiTheme="majorHAnsi" w:hAnsiTheme="majorHAnsi"/>
          <w:sz w:val="22"/>
          <w:szCs w:val="22"/>
        </w:rPr>
        <w:t xml:space="preserve"> </w:t>
      </w:r>
    </w:p>
    <w:p w14:paraId="1763E812" w14:textId="3DEE4B59" w:rsidR="003F3F83" w:rsidRPr="00E3783F" w:rsidRDefault="003F3F83" w:rsidP="003F3F83">
      <w:pPr>
        <w:pStyle w:val="ListParagraph"/>
        <w:numPr>
          <w:ilvl w:val="1"/>
          <w:numId w:val="1"/>
        </w:numPr>
        <w:rPr>
          <w:rFonts w:asciiTheme="majorHAnsi" w:hAnsiTheme="majorHAnsi"/>
          <w:sz w:val="22"/>
          <w:szCs w:val="22"/>
        </w:rPr>
      </w:pPr>
      <w:r w:rsidRPr="00E3783F">
        <w:rPr>
          <w:rFonts w:asciiTheme="majorHAnsi" w:hAnsiTheme="majorHAnsi"/>
          <w:sz w:val="22"/>
          <w:szCs w:val="22"/>
        </w:rPr>
        <w:t>C</w:t>
      </w:r>
      <w:r w:rsidR="006D3F24" w:rsidRPr="00E3783F">
        <w:rPr>
          <w:rFonts w:asciiTheme="majorHAnsi" w:hAnsiTheme="majorHAnsi"/>
          <w:sz w:val="22"/>
          <w:szCs w:val="22"/>
        </w:rPr>
        <w:t>omposition</w:t>
      </w:r>
      <w:r w:rsidRPr="00E3783F">
        <w:rPr>
          <w:rFonts w:asciiTheme="majorHAnsi" w:hAnsiTheme="majorHAnsi"/>
          <w:sz w:val="22"/>
          <w:szCs w:val="22"/>
        </w:rPr>
        <w:t>, including number and qualifications;</w:t>
      </w:r>
    </w:p>
    <w:p w14:paraId="7348524F" w14:textId="38DB8BB6" w:rsidR="003F3F83" w:rsidRPr="00E3783F" w:rsidRDefault="003F3F83" w:rsidP="003F3F83">
      <w:pPr>
        <w:pStyle w:val="ListParagraph"/>
        <w:numPr>
          <w:ilvl w:val="1"/>
          <w:numId w:val="1"/>
        </w:numPr>
        <w:rPr>
          <w:rFonts w:asciiTheme="majorHAnsi" w:hAnsiTheme="majorHAnsi"/>
          <w:sz w:val="22"/>
          <w:szCs w:val="22"/>
        </w:rPr>
      </w:pPr>
      <w:r w:rsidRPr="00E3783F">
        <w:rPr>
          <w:rFonts w:asciiTheme="majorHAnsi" w:hAnsiTheme="majorHAnsi"/>
          <w:sz w:val="22"/>
          <w:szCs w:val="22"/>
        </w:rPr>
        <w:t>Selection;</w:t>
      </w:r>
    </w:p>
    <w:p w14:paraId="2BBB9BF7" w14:textId="02BBA227" w:rsidR="003F3F83" w:rsidRPr="00E3783F" w:rsidRDefault="003F3F83" w:rsidP="003F3F83">
      <w:pPr>
        <w:pStyle w:val="ListParagraph"/>
        <w:numPr>
          <w:ilvl w:val="1"/>
          <w:numId w:val="1"/>
        </w:numPr>
        <w:rPr>
          <w:rFonts w:asciiTheme="majorHAnsi" w:hAnsiTheme="majorHAnsi"/>
          <w:sz w:val="22"/>
          <w:szCs w:val="22"/>
        </w:rPr>
      </w:pPr>
      <w:r w:rsidRPr="00E3783F">
        <w:rPr>
          <w:rFonts w:asciiTheme="majorHAnsi" w:hAnsiTheme="majorHAnsi"/>
          <w:sz w:val="22"/>
          <w:szCs w:val="22"/>
        </w:rPr>
        <w:t xml:space="preserve">Standing; </w:t>
      </w:r>
    </w:p>
    <w:p w14:paraId="210D9B87" w14:textId="5D130687" w:rsidR="003F3F83" w:rsidRPr="00E3783F" w:rsidRDefault="003F3F83" w:rsidP="003F3F83">
      <w:pPr>
        <w:pStyle w:val="ListParagraph"/>
        <w:numPr>
          <w:ilvl w:val="1"/>
          <w:numId w:val="1"/>
        </w:numPr>
        <w:rPr>
          <w:rFonts w:asciiTheme="majorHAnsi" w:hAnsiTheme="majorHAnsi"/>
          <w:sz w:val="22"/>
          <w:szCs w:val="22"/>
        </w:rPr>
      </w:pPr>
      <w:r w:rsidRPr="00E3783F">
        <w:rPr>
          <w:rFonts w:asciiTheme="majorHAnsi" w:hAnsiTheme="majorHAnsi"/>
          <w:sz w:val="22"/>
          <w:szCs w:val="22"/>
        </w:rPr>
        <w:t>S</w:t>
      </w:r>
      <w:r w:rsidR="00337277" w:rsidRPr="00E3783F">
        <w:rPr>
          <w:rFonts w:asciiTheme="majorHAnsi" w:hAnsiTheme="majorHAnsi"/>
          <w:sz w:val="22"/>
          <w:szCs w:val="22"/>
        </w:rPr>
        <w:t xml:space="preserve">tandard against which </w:t>
      </w:r>
      <w:r w:rsidR="006D3F24" w:rsidRPr="00E3783F">
        <w:rPr>
          <w:rFonts w:asciiTheme="majorHAnsi" w:hAnsiTheme="majorHAnsi"/>
          <w:sz w:val="22"/>
          <w:szCs w:val="22"/>
        </w:rPr>
        <w:t>action/inaction</w:t>
      </w:r>
      <w:r w:rsidR="002E12E3" w:rsidRPr="00E3783F">
        <w:rPr>
          <w:rFonts w:asciiTheme="majorHAnsi" w:hAnsiTheme="majorHAnsi"/>
          <w:sz w:val="22"/>
          <w:szCs w:val="22"/>
        </w:rPr>
        <w:t xml:space="preserve"> is measured; </w:t>
      </w:r>
    </w:p>
    <w:p w14:paraId="160AD33E" w14:textId="009AA241" w:rsidR="003F3F83" w:rsidRPr="00E3783F" w:rsidRDefault="003F3F83" w:rsidP="003F3F83">
      <w:pPr>
        <w:pStyle w:val="ListParagraph"/>
        <w:numPr>
          <w:ilvl w:val="1"/>
          <w:numId w:val="1"/>
        </w:numPr>
        <w:rPr>
          <w:rFonts w:asciiTheme="majorHAnsi" w:hAnsiTheme="majorHAnsi"/>
          <w:sz w:val="22"/>
          <w:szCs w:val="22"/>
        </w:rPr>
      </w:pPr>
      <w:r w:rsidRPr="00E3783F">
        <w:rPr>
          <w:rFonts w:asciiTheme="majorHAnsi" w:hAnsiTheme="majorHAnsi"/>
          <w:sz w:val="22"/>
          <w:szCs w:val="22"/>
        </w:rPr>
        <w:t xml:space="preserve">Operations/decision-making </w:t>
      </w:r>
      <w:r w:rsidR="002E12E3" w:rsidRPr="00E3783F">
        <w:rPr>
          <w:rFonts w:asciiTheme="majorHAnsi" w:hAnsiTheme="majorHAnsi"/>
          <w:sz w:val="22"/>
          <w:szCs w:val="22"/>
        </w:rPr>
        <w:t xml:space="preserve">process and procedures; </w:t>
      </w:r>
    </w:p>
    <w:p w14:paraId="6BA08CBE" w14:textId="1CF4839B" w:rsidR="00337277" w:rsidRPr="00E3783F" w:rsidRDefault="003F3F83" w:rsidP="003F3F83">
      <w:pPr>
        <w:pStyle w:val="ListParagraph"/>
        <w:numPr>
          <w:ilvl w:val="1"/>
          <w:numId w:val="1"/>
        </w:numPr>
        <w:rPr>
          <w:rFonts w:asciiTheme="majorHAnsi" w:hAnsiTheme="majorHAnsi"/>
          <w:sz w:val="22"/>
          <w:szCs w:val="22"/>
        </w:rPr>
      </w:pPr>
      <w:r w:rsidRPr="00E3783F">
        <w:rPr>
          <w:rFonts w:asciiTheme="majorHAnsi" w:hAnsiTheme="majorHAnsi"/>
          <w:sz w:val="22"/>
          <w:szCs w:val="22"/>
        </w:rPr>
        <w:t>Outcome, o</w:t>
      </w:r>
      <w:r w:rsidR="002E12E3" w:rsidRPr="00E3783F">
        <w:rPr>
          <w:rFonts w:asciiTheme="majorHAnsi" w:hAnsiTheme="majorHAnsi"/>
          <w:sz w:val="22"/>
          <w:szCs w:val="22"/>
        </w:rPr>
        <w:t>utput</w:t>
      </w:r>
      <w:r w:rsidRPr="00E3783F">
        <w:rPr>
          <w:rFonts w:asciiTheme="majorHAnsi" w:hAnsiTheme="majorHAnsi"/>
          <w:sz w:val="22"/>
          <w:szCs w:val="22"/>
        </w:rPr>
        <w:t>,</w:t>
      </w:r>
      <w:r w:rsidR="002E12E3" w:rsidRPr="00E3783F">
        <w:rPr>
          <w:rFonts w:asciiTheme="majorHAnsi" w:hAnsiTheme="majorHAnsi"/>
          <w:sz w:val="22"/>
          <w:szCs w:val="22"/>
        </w:rPr>
        <w:t xml:space="preserve"> redress</w:t>
      </w:r>
      <w:r w:rsidRPr="00E3783F">
        <w:rPr>
          <w:rFonts w:asciiTheme="majorHAnsi" w:hAnsiTheme="majorHAnsi"/>
          <w:sz w:val="22"/>
          <w:szCs w:val="22"/>
        </w:rPr>
        <w:t xml:space="preserve">; </w:t>
      </w:r>
    </w:p>
    <w:p w14:paraId="6DEB0F58" w14:textId="58938C47" w:rsidR="003F3F83" w:rsidRPr="00E3783F" w:rsidRDefault="003F3F83" w:rsidP="003F3F83">
      <w:pPr>
        <w:pStyle w:val="ListParagraph"/>
        <w:numPr>
          <w:ilvl w:val="1"/>
          <w:numId w:val="1"/>
        </w:numPr>
        <w:rPr>
          <w:rFonts w:asciiTheme="majorHAnsi" w:hAnsiTheme="majorHAnsi"/>
          <w:sz w:val="22"/>
          <w:szCs w:val="22"/>
        </w:rPr>
      </w:pPr>
      <w:r w:rsidRPr="00E3783F">
        <w:rPr>
          <w:rFonts w:asciiTheme="majorHAnsi" w:hAnsiTheme="majorHAnsi"/>
          <w:sz w:val="22"/>
          <w:szCs w:val="22"/>
        </w:rPr>
        <w:t>Accessibility (e.g., cost, cost allocation); and</w:t>
      </w:r>
    </w:p>
    <w:p w14:paraId="4A0C6535" w14:textId="5D900C19" w:rsidR="003F3F83" w:rsidRDefault="003F3F83" w:rsidP="003F3F83">
      <w:pPr>
        <w:pStyle w:val="ListParagraph"/>
        <w:numPr>
          <w:ilvl w:val="1"/>
          <w:numId w:val="1"/>
        </w:numPr>
        <w:rPr>
          <w:rFonts w:asciiTheme="majorHAnsi" w:hAnsiTheme="majorHAnsi"/>
          <w:sz w:val="22"/>
          <w:szCs w:val="22"/>
        </w:rPr>
      </w:pPr>
      <w:r w:rsidRPr="00E3783F">
        <w:rPr>
          <w:rFonts w:asciiTheme="majorHAnsi" w:hAnsiTheme="majorHAnsi"/>
          <w:sz w:val="22"/>
          <w:szCs w:val="22"/>
        </w:rPr>
        <w:t>Implementation (e.g. Bylaws, etc.).</w:t>
      </w:r>
    </w:p>
    <w:p w14:paraId="6A1D131A" w14:textId="77777777" w:rsidR="00C86B54" w:rsidRDefault="00C86B54" w:rsidP="00C86B54">
      <w:pPr>
        <w:rPr>
          <w:rFonts w:asciiTheme="majorHAnsi" w:hAnsiTheme="majorHAnsi"/>
          <w:sz w:val="22"/>
          <w:szCs w:val="22"/>
        </w:rPr>
      </w:pPr>
    </w:p>
    <w:p w14:paraId="70DFE8D5" w14:textId="77777777" w:rsidR="004F6A9D" w:rsidRDefault="004F6A9D" w:rsidP="00C86B54">
      <w:pPr>
        <w:rPr>
          <w:rFonts w:asciiTheme="majorHAnsi" w:hAnsiTheme="majorHAnsi" w:cs="Arial"/>
          <w:b/>
          <w:color w:val="262626"/>
          <w:sz w:val="32"/>
          <w:szCs w:val="20"/>
        </w:rPr>
      </w:pPr>
      <w:r>
        <w:rPr>
          <w:rFonts w:asciiTheme="majorHAnsi" w:hAnsiTheme="majorHAnsi" w:cs="Arial"/>
          <w:b/>
          <w:color w:val="262626"/>
          <w:sz w:val="32"/>
          <w:szCs w:val="20"/>
        </w:rPr>
        <w:t>Principles</w:t>
      </w:r>
    </w:p>
    <w:p w14:paraId="71BD5A42" w14:textId="77777777" w:rsidR="004F6A9D" w:rsidRPr="004F6A9D" w:rsidRDefault="004F6A9D" w:rsidP="00C86B54">
      <w:pPr>
        <w:rPr>
          <w:rFonts w:asciiTheme="majorHAnsi" w:hAnsiTheme="majorHAnsi" w:cs="Arial"/>
          <w:b/>
          <w:color w:val="262626"/>
          <w:sz w:val="22"/>
          <w:szCs w:val="22"/>
        </w:rPr>
      </w:pPr>
    </w:p>
    <w:tbl>
      <w:tblPr>
        <w:tblW w:w="9558" w:type="dxa"/>
        <w:tblBorders>
          <w:left w:val="nil"/>
          <w:right w:val="nil"/>
        </w:tblBorders>
        <w:tblLayout w:type="fixed"/>
        <w:tblLook w:val="0000" w:firstRow="0" w:lastRow="0" w:firstColumn="0" w:lastColumn="0" w:noHBand="0" w:noVBand="0"/>
      </w:tblPr>
      <w:tblGrid>
        <w:gridCol w:w="9558"/>
      </w:tblGrid>
      <w:tr w:rsidR="004F6A9D" w:rsidRPr="00CE3352" w14:paraId="1DD3C4DC" w14:textId="77777777" w:rsidTr="004F6A9D">
        <w:tc>
          <w:tcPr>
            <w:tcW w:w="955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7DDD1057" w14:textId="014C7EBA" w:rsidR="004F6A9D" w:rsidRDefault="004F6A9D" w:rsidP="004F6A9D">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Limit ICANN actions to issues within its stated mission and require ICANN to act consistent with clearly articulated principles:</w:t>
            </w:r>
          </w:p>
          <w:p w14:paraId="49474149" w14:textId="77777777" w:rsidR="004F6A9D" w:rsidRDefault="004F6A9D" w:rsidP="004F6A9D">
            <w:pPr>
              <w:widowControl w:val="0"/>
              <w:autoSpaceDE w:val="0"/>
              <w:autoSpaceDN w:val="0"/>
              <w:adjustRightInd w:val="0"/>
              <w:rPr>
                <w:rFonts w:asciiTheme="majorHAnsi" w:hAnsiTheme="majorHAnsi" w:cs="Arial"/>
                <w:color w:val="262626"/>
                <w:sz w:val="20"/>
                <w:szCs w:val="20"/>
              </w:rPr>
            </w:pPr>
          </w:p>
          <w:p w14:paraId="4746C6FC" w14:textId="77777777" w:rsidR="004F6A9D" w:rsidRDefault="004F6A9D" w:rsidP="004F6A9D">
            <w:pPr>
              <w:pStyle w:val="ListParagraph"/>
              <w:widowControl w:val="0"/>
              <w:numPr>
                <w:ilvl w:val="0"/>
                <w:numId w:val="14"/>
              </w:numPr>
              <w:autoSpaceDE w:val="0"/>
              <w:autoSpaceDN w:val="0"/>
              <w:adjustRightInd w:val="0"/>
              <w:rPr>
                <w:rFonts w:asciiTheme="majorHAnsi" w:hAnsiTheme="majorHAnsi" w:cs="Arial"/>
                <w:color w:val="262626"/>
                <w:sz w:val="20"/>
                <w:szCs w:val="20"/>
              </w:rPr>
            </w:pPr>
            <w:r w:rsidRPr="004F6A9D">
              <w:rPr>
                <w:rFonts w:asciiTheme="majorHAnsi" w:hAnsiTheme="majorHAnsi" w:cs="Arial"/>
                <w:color w:val="262626"/>
                <w:sz w:val="20"/>
                <w:szCs w:val="20"/>
              </w:rPr>
              <w:t>Ensure that the ICANN Board can be held to its Bylaws, with effective remedy if breach found by independent adjudicator [Alt: found by the community]</w:t>
            </w:r>
            <w:r>
              <w:rPr>
                <w:rFonts w:asciiTheme="majorHAnsi" w:hAnsiTheme="majorHAnsi" w:cs="Arial"/>
                <w:color w:val="262626"/>
                <w:sz w:val="20"/>
                <w:szCs w:val="20"/>
              </w:rPr>
              <w:t>;</w:t>
            </w:r>
          </w:p>
          <w:p w14:paraId="7F372D14" w14:textId="77777777" w:rsidR="004F6A9D" w:rsidRDefault="004F6A9D" w:rsidP="004F6A9D">
            <w:pPr>
              <w:pStyle w:val="ListParagraph"/>
              <w:widowControl w:val="0"/>
              <w:numPr>
                <w:ilvl w:val="0"/>
                <w:numId w:val="14"/>
              </w:numPr>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Prevent ICANN Board redefining mission/scope in Bylaws without community consensus</w:t>
            </w:r>
          </w:p>
          <w:p w14:paraId="76866B6A" w14:textId="06DFDC91" w:rsidR="004F6A9D" w:rsidRPr="004F6A9D" w:rsidRDefault="004F6A9D" w:rsidP="004F6A9D">
            <w:pPr>
              <w:pStyle w:val="ListParagraph"/>
              <w:widowControl w:val="0"/>
              <w:numPr>
                <w:ilvl w:val="0"/>
                <w:numId w:val="14"/>
              </w:numPr>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 xml:space="preserve">Prohibit scope </w:t>
            </w:r>
            <w:r w:rsidRPr="00CE3352">
              <w:rPr>
                <w:rFonts w:asciiTheme="majorHAnsi" w:hAnsiTheme="majorHAnsi" w:cs="Arial"/>
                <w:color w:val="262626"/>
                <w:sz w:val="20"/>
                <w:szCs w:val="20"/>
              </w:rPr>
              <w:t xml:space="preserve">creep </w:t>
            </w:r>
            <w:r>
              <w:rPr>
                <w:rFonts w:asciiTheme="majorHAnsi" w:hAnsiTheme="majorHAnsi" w:cs="Arial"/>
                <w:color w:val="262626"/>
                <w:sz w:val="20"/>
                <w:szCs w:val="20"/>
              </w:rPr>
              <w:t>through bylaws changes, policy, policy implementation, or contracts</w:t>
            </w:r>
            <w:r w:rsidRPr="00CE3352">
              <w:rPr>
                <w:rFonts w:asciiTheme="majorHAnsi" w:hAnsiTheme="majorHAnsi" w:cs="Arial"/>
                <w:color w:val="262626"/>
                <w:sz w:val="20"/>
                <w:szCs w:val="20"/>
              </w:rPr>
              <w:t xml:space="preserve"> </w:t>
            </w:r>
          </w:p>
        </w:tc>
      </w:tr>
    </w:tbl>
    <w:p w14:paraId="2AD6339A" w14:textId="77777777" w:rsidR="004F6A9D" w:rsidRPr="004F6A9D" w:rsidRDefault="004F6A9D" w:rsidP="00C86B54">
      <w:pPr>
        <w:rPr>
          <w:rFonts w:asciiTheme="majorHAnsi" w:hAnsiTheme="majorHAnsi" w:cs="Arial"/>
          <w:color w:val="262626"/>
          <w:sz w:val="22"/>
          <w:szCs w:val="22"/>
        </w:rPr>
      </w:pPr>
    </w:p>
    <w:p w14:paraId="15FFE566" w14:textId="58F42FAF" w:rsidR="00C86B54" w:rsidRPr="005B0133" w:rsidRDefault="00C86B54" w:rsidP="00C86B54">
      <w:pPr>
        <w:rPr>
          <w:rFonts w:asciiTheme="majorHAnsi" w:hAnsiTheme="majorHAnsi" w:cs="Arial"/>
          <w:b/>
          <w:color w:val="262626"/>
          <w:sz w:val="32"/>
          <w:szCs w:val="20"/>
        </w:rPr>
      </w:pPr>
      <w:r>
        <w:rPr>
          <w:rFonts w:asciiTheme="majorHAnsi" w:hAnsiTheme="majorHAnsi" w:cs="Arial"/>
          <w:b/>
          <w:color w:val="262626"/>
          <w:sz w:val="32"/>
          <w:szCs w:val="20"/>
        </w:rPr>
        <w:lastRenderedPageBreak/>
        <w:t xml:space="preserve">Review and Redress Mechanisms </w:t>
      </w:r>
    </w:p>
    <w:p w14:paraId="2EC6D91D" w14:textId="77777777" w:rsidR="00DC41BD" w:rsidRDefault="00DC41BD" w:rsidP="00C86B54">
      <w:pPr>
        <w:rPr>
          <w:rFonts w:asciiTheme="majorHAnsi" w:hAnsiTheme="majorHAnsi" w:cs="Arial"/>
          <w:color w:val="262626"/>
          <w:sz w:val="22"/>
          <w:szCs w:val="20"/>
        </w:rPr>
      </w:pPr>
    </w:p>
    <w:p w14:paraId="15103B65" w14:textId="6CDF6243" w:rsidR="00C86B54" w:rsidRDefault="00C86B54" w:rsidP="00C86B54">
      <w:pPr>
        <w:rPr>
          <w:rFonts w:asciiTheme="majorHAnsi" w:hAnsiTheme="majorHAnsi" w:cs="Arial"/>
          <w:color w:val="262626"/>
          <w:sz w:val="22"/>
          <w:szCs w:val="20"/>
        </w:rPr>
      </w:pPr>
      <w:r>
        <w:rPr>
          <w:rFonts w:asciiTheme="majorHAnsi" w:hAnsiTheme="majorHAnsi" w:cs="Arial"/>
          <w:color w:val="262626"/>
          <w:sz w:val="22"/>
          <w:szCs w:val="20"/>
        </w:rPr>
        <w:t>Drawing on the previous inventory document</w:t>
      </w:r>
      <w:r w:rsidR="007F2C4D">
        <w:rPr>
          <w:rFonts w:asciiTheme="majorHAnsi" w:hAnsiTheme="majorHAnsi" w:cs="Arial"/>
          <w:color w:val="262626"/>
          <w:sz w:val="22"/>
          <w:szCs w:val="20"/>
        </w:rPr>
        <w:t>s</w:t>
      </w:r>
      <w:r>
        <w:rPr>
          <w:rFonts w:asciiTheme="majorHAnsi" w:hAnsiTheme="majorHAnsi" w:cs="Arial"/>
          <w:color w:val="262626"/>
          <w:sz w:val="22"/>
          <w:szCs w:val="20"/>
        </w:rPr>
        <w:t xml:space="preserve"> and discussions in the CCWG, below is a table of </w:t>
      </w:r>
      <w:r w:rsidR="007F2C4D" w:rsidRPr="006168E3">
        <w:rPr>
          <w:rFonts w:asciiTheme="majorHAnsi" w:hAnsiTheme="majorHAnsi" w:cs="Arial"/>
          <w:b/>
          <w:color w:val="262626"/>
          <w:sz w:val="22"/>
          <w:szCs w:val="20"/>
        </w:rPr>
        <w:t>existing review and</w:t>
      </w:r>
      <w:r w:rsidR="00DC41BD" w:rsidRPr="006168E3">
        <w:rPr>
          <w:rFonts w:asciiTheme="majorHAnsi" w:hAnsiTheme="majorHAnsi" w:cs="Arial"/>
          <w:b/>
          <w:color w:val="262626"/>
          <w:sz w:val="22"/>
          <w:szCs w:val="20"/>
        </w:rPr>
        <w:t>/or</w:t>
      </w:r>
      <w:r w:rsidR="007F2C4D" w:rsidRPr="006168E3">
        <w:rPr>
          <w:rFonts w:asciiTheme="majorHAnsi" w:hAnsiTheme="majorHAnsi" w:cs="Arial"/>
          <w:b/>
          <w:color w:val="262626"/>
          <w:sz w:val="22"/>
          <w:szCs w:val="20"/>
        </w:rPr>
        <w:t xml:space="preserve"> redress mechanisms</w:t>
      </w:r>
      <w:r w:rsidRPr="006168E3">
        <w:rPr>
          <w:rFonts w:asciiTheme="majorHAnsi" w:hAnsiTheme="majorHAnsi" w:cs="Arial"/>
          <w:b/>
          <w:color w:val="262626"/>
          <w:sz w:val="22"/>
          <w:szCs w:val="20"/>
        </w:rPr>
        <w:t xml:space="preserve">.  </w:t>
      </w:r>
    </w:p>
    <w:p w14:paraId="705961C0" w14:textId="77777777" w:rsidR="007F2C4D" w:rsidRDefault="007F2C4D" w:rsidP="00C86B54">
      <w:pPr>
        <w:rPr>
          <w:rFonts w:asciiTheme="majorHAnsi" w:hAnsiTheme="majorHAnsi" w:cs="Arial"/>
          <w:color w:val="262626"/>
          <w:sz w:val="22"/>
          <w:szCs w:val="20"/>
        </w:rPr>
      </w:pPr>
    </w:p>
    <w:tbl>
      <w:tblPr>
        <w:tblStyle w:val="TableGrid"/>
        <w:tblW w:w="0" w:type="auto"/>
        <w:tblLook w:val="04A0" w:firstRow="1" w:lastRow="0" w:firstColumn="1" w:lastColumn="0" w:noHBand="0" w:noVBand="1"/>
      </w:tblPr>
      <w:tblGrid>
        <w:gridCol w:w="8118"/>
        <w:gridCol w:w="1458"/>
      </w:tblGrid>
      <w:tr w:rsidR="007F2C4D" w14:paraId="0769557B" w14:textId="77777777" w:rsidTr="007F2C4D">
        <w:tc>
          <w:tcPr>
            <w:tcW w:w="8118" w:type="dxa"/>
          </w:tcPr>
          <w:p w14:paraId="17518E25" w14:textId="57922146" w:rsidR="00DC41BD" w:rsidRPr="00C16C92" w:rsidRDefault="00DC41BD" w:rsidP="007F2C4D">
            <w:pPr>
              <w:rPr>
                <w:rFonts w:asciiTheme="majorHAnsi" w:hAnsiTheme="majorHAnsi" w:cs="Times New Roman"/>
                <w:sz w:val="20"/>
                <w:szCs w:val="20"/>
              </w:rPr>
            </w:pPr>
          </w:p>
          <w:p w14:paraId="764887E4" w14:textId="77777777" w:rsidR="00C16C92" w:rsidRPr="00C16C92" w:rsidRDefault="00C16C92" w:rsidP="007F2C4D">
            <w:pPr>
              <w:rPr>
                <w:rFonts w:asciiTheme="majorHAnsi" w:hAnsiTheme="majorHAnsi" w:cs="Times New Roman"/>
                <w:sz w:val="20"/>
                <w:szCs w:val="20"/>
              </w:rPr>
            </w:pPr>
            <w:r w:rsidRPr="00C16C92">
              <w:rPr>
                <w:rFonts w:asciiTheme="majorHAnsi" w:hAnsiTheme="majorHAnsi" w:cs="Times New Roman"/>
                <w:sz w:val="20"/>
                <w:szCs w:val="20"/>
              </w:rPr>
              <w:t>Bylaws and policies relating to transparency and information access</w:t>
            </w:r>
          </w:p>
          <w:p w14:paraId="77017648" w14:textId="77777777" w:rsidR="007F2C4D" w:rsidRPr="00C16C92" w:rsidRDefault="007F2C4D" w:rsidP="00C16C92">
            <w:pPr>
              <w:pStyle w:val="ListParagraph"/>
              <w:widowControl w:val="0"/>
              <w:tabs>
                <w:tab w:val="left" w:pos="220"/>
                <w:tab w:val="left" w:pos="720"/>
              </w:tabs>
              <w:autoSpaceDE w:val="0"/>
              <w:autoSpaceDN w:val="0"/>
              <w:adjustRightInd w:val="0"/>
              <w:ind w:left="580"/>
              <w:rPr>
                <w:rFonts w:asciiTheme="majorHAnsi" w:hAnsiTheme="majorHAnsi" w:cs="Arial"/>
                <w:color w:val="262626"/>
                <w:sz w:val="20"/>
                <w:szCs w:val="20"/>
              </w:rPr>
            </w:pPr>
          </w:p>
        </w:tc>
        <w:tc>
          <w:tcPr>
            <w:tcW w:w="1458" w:type="dxa"/>
          </w:tcPr>
          <w:p w14:paraId="0E239DCC" w14:textId="77777777" w:rsidR="007F2C4D" w:rsidRDefault="007F2C4D" w:rsidP="00C86B54">
            <w:pPr>
              <w:rPr>
                <w:rFonts w:asciiTheme="majorHAnsi" w:hAnsiTheme="majorHAnsi" w:cs="Arial"/>
                <w:color w:val="262626"/>
                <w:sz w:val="22"/>
                <w:szCs w:val="20"/>
              </w:rPr>
            </w:pPr>
          </w:p>
        </w:tc>
      </w:tr>
      <w:tr w:rsidR="007F2C4D" w14:paraId="3DAFC742" w14:textId="77777777" w:rsidTr="007F2C4D">
        <w:tc>
          <w:tcPr>
            <w:tcW w:w="8118" w:type="dxa"/>
          </w:tcPr>
          <w:p w14:paraId="561C50B8" w14:textId="77777777" w:rsidR="00DC41BD" w:rsidRPr="00C16C92" w:rsidRDefault="00DC41BD" w:rsidP="007F2C4D">
            <w:pPr>
              <w:rPr>
                <w:rFonts w:asciiTheme="majorHAnsi" w:hAnsiTheme="majorHAnsi" w:cs="Times New Roman"/>
                <w:sz w:val="20"/>
                <w:szCs w:val="20"/>
              </w:rPr>
            </w:pPr>
          </w:p>
          <w:p w14:paraId="2F6B244C" w14:textId="3E05D56D" w:rsidR="007F2C4D" w:rsidRPr="00C16C92" w:rsidRDefault="007F2C4D" w:rsidP="007F2C4D">
            <w:pPr>
              <w:rPr>
                <w:rFonts w:asciiTheme="majorHAnsi" w:hAnsiTheme="majorHAnsi" w:cs="Times New Roman"/>
                <w:sz w:val="20"/>
                <w:szCs w:val="20"/>
              </w:rPr>
            </w:pPr>
            <w:r w:rsidRPr="00C16C92">
              <w:rPr>
                <w:rFonts w:asciiTheme="majorHAnsi" w:hAnsiTheme="majorHAnsi" w:cs="Times New Roman"/>
                <w:sz w:val="20"/>
                <w:szCs w:val="20"/>
              </w:rPr>
              <w:t>Office of an Ombudsman (Bylaws Art. V) “</w:t>
            </w:r>
            <w:r w:rsidR="00AA039C" w:rsidRPr="00C16C92">
              <w:rPr>
                <w:rFonts w:asciiTheme="majorHAnsi" w:hAnsiTheme="majorHAnsi" w:cs="Helvetica Light"/>
                <w:color w:val="262626"/>
                <w:sz w:val="20"/>
                <w:szCs w:val="20"/>
              </w:rPr>
              <w:t>To</w:t>
            </w:r>
            <w:r w:rsidRPr="00C16C92">
              <w:rPr>
                <w:rFonts w:asciiTheme="majorHAnsi" w:hAnsiTheme="majorHAnsi" w:cs="Helvetica Light"/>
                <w:color w:val="262626"/>
                <w:sz w:val="20"/>
                <w:szCs w:val="20"/>
              </w:rPr>
              <w:t xml:space="preserve"> provide an independent internal evaluation of complaints by members of the </w:t>
            </w:r>
            <w:bdo w:val="ltr">
              <w:r w:rsidRPr="00C16C92">
                <w:rPr>
                  <w:rFonts w:asciiTheme="majorHAnsi" w:hAnsiTheme="majorHAnsi" w:cs="Helvetica Light"/>
                  <w:color w:val="262626"/>
                  <w:sz w:val="20"/>
                  <w:szCs w:val="20"/>
                </w:rPr>
                <w:t>ICANN</w:t>
              </w:r>
              <w:r w:rsidRPr="00C16C92">
                <w:rPr>
                  <w:rFonts w:asciiTheme="majorHAnsi" w:hAnsiTheme="majorHAnsi" w:cs="Times New Roman"/>
                  <w:color w:val="262626"/>
                  <w:sz w:val="20"/>
                  <w:szCs w:val="20"/>
                </w:rPr>
                <w:t>‬</w:t>
              </w:r>
              <w:r w:rsidRPr="00C16C92">
                <w:rPr>
                  <w:rFonts w:asciiTheme="majorHAnsi" w:hAnsiTheme="majorHAnsi" w:cs="Helvetica Light"/>
                  <w:color w:val="262626"/>
                  <w:sz w:val="20"/>
                  <w:szCs w:val="20"/>
                </w:rPr>
                <w:t xml:space="preserve"> community who believe that the </w:t>
              </w:r>
              <w:bdo w:val="ltr">
                <w:r w:rsidRPr="00C16C92">
                  <w:rPr>
                    <w:rFonts w:asciiTheme="majorHAnsi" w:hAnsiTheme="majorHAnsi" w:cs="Helvetica Light"/>
                    <w:color w:val="262626"/>
                    <w:sz w:val="20"/>
                    <w:szCs w:val="20"/>
                  </w:rPr>
                  <w:t>ICANN</w:t>
                </w:r>
                <w:r w:rsidRPr="00C16C92">
                  <w:rPr>
                    <w:rFonts w:asciiTheme="majorHAnsi" w:hAnsiTheme="majorHAnsi" w:cs="Times New Roman"/>
                    <w:color w:val="262626"/>
                    <w:sz w:val="20"/>
                    <w:szCs w:val="20"/>
                  </w:rPr>
                  <w:t>‬</w:t>
                </w:r>
                <w:r w:rsidRPr="00C16C92">
                  <w:rPr>
                    <w:rFonts w:asciiTheme="majorHAnsi" w:hAnsiTheme="majorHAnsi" w:cs="Helvetica Light"/>
                    <w:color w:val="262626"/>
                    <w:sz w:val="20"/>
                    <w:szCs w:val="20"/>
                  </w:rPr>
                  <w:t xml:space="preserve"> staff, Board or an </w:t>
                </w:r>
                <w:bdo w:val="ltr">
                  <w:r w:rsidRPr="00C16C92">
                    <w:rPr>
                      <w:rFonts w:asciiTheme="majorHAnsi" w:hAnsiTheme="majorHAnsi" w:cs="Helvetica Light"/>
                      <w:color w:val="262626"/>
                      <w:sz w:val="20"/>
                      <w:szCs w:val="20"/>
                    </w:rPr>
                    <w:t>ICANN</w:t>
                  </w:r>
                  <w:r w:rsidRPr="00C16C92">
                    <w:rPr>
                      <w:rFonts w:asciiTheme="majorHAnsi" w:hAnsiTheme="majorHAnsi" w:cs="Times New Roman"/>
                      <w:color w:val="262626"/>
                      <w:sz w:val="20"/>
                      <w:szCs w:val="20"/>
                    </w:rPr>
                    <w:t>‬</w:t>
                  </w:r>
                  <w:r w:rsidRPr="00C16C92">
                    <w:rPr>
                      <w:rFonts w:asciiTheme="majorHAnsi" w:hAnsiTheme="majorHAnsi" w:cs="Helvetica Light"/>
                      <w:color w:val="262626"/>
                      <w:sz w:val="20"/>
                      <w:szCs w:val="20"/>
                    </w:rPr>
                    <w:t xml:space="preserve"> constituent body has treated them unfairly.”</w:t>
                  </w:r>
                  <w:r w:rsidRPr="00C16C92">
                    <w:rPr>
                      <w:rFonts w:asciiTheme="majorHAnsi" w:hAnsiTheme="majorHAnsi"/>
                      <w:sz w:val="20"/>
                      <w:szCs w:val="20"/>
                    </w:rPr>
                    <w:t>‬</w:t>
                  </w:r>
                  <w:r w:rsidRPr="00C16C92">
                    <w:rPr>
                      <w:rFonts w:asciiTheme="majorHAnsi" w:hAnsiTheme="majorHAnsi"/>
                      <w:sz w:val="20"/>
                      <w:szCs w:val="20"/>
                    </w:rPr>
                    <w:t>‬</w:t>
                  </w:r>
                  <w:r w:rsidRPr="00C16C92">
                    <w:rPr>
                      <w:rFonts w:asciiTheme="majorHAnsi" w:hAnsiTheme="majorHAnsi"/>
                      <w:sz w:val="20"/>
                      <w:szCs w:val="20"/>
                    </w:rPr>
                    <w:t>‬</w:t>
                  </w:r>
                  <w:r w:rsidRPr="00C16C92">
                    <w:rPr>
                      <w:rFonts w:asciiTheme="majorHAnsi" w:hAnsiTheme="majorHAnsi"/>
                      <w:sz w:val="20"/>
                      <w:szCs w:val="20"/>
                    </w:rPr>
                    <w:t>‬</w:t>
                  </w:r>
                  <w:r w:rsidRPr="00C16C92">
                    <w:rPr>
                      <w:rFonts w:asciiTheme="majorHAnsi" w:hAnsiTheme="majorHAnsi"/>
                      <w:sz w:val="20"/>
                      <w:szCs w:val="20"/>
                    </w:rPr>
                    <w:t>‬</w:t>
                  </w:r>
                  <w:r w:rsidRPr="00C16C92">
                    <w:rPr>
                      <w:rFonts w:asciiTheme="majorHAnsi" w:hAnsiTheme="majorHAnsi"/>
                      <w:sz w:val="20"/>
                      <w:szCs w:val="20"/>
                    </w:rPr>
                    <w:t>‬</w:t>
                  </w:r>
                  <w:r w:rsidRPr="00C16C92">
                    <w:rPr>
                      <w:rFonts w:asciiTheme="majorHAnsi" w:hAnsiTheme="majorHAnsi"/>
                      <w:sz w:val="20"/>
                      <w:szCs w:val="20"/>
                    </w:rPr>
                    <w:t>‬</w:t>
                  </w:r>
                  <w:r w:rsidRPr="00C16C92">
                    <w:rPr>
                      <w:rFonts w:asciiTheme="majorHAnsi" w:hAnsiTheme="majorHAnsi"/>
                      <w:sz w:val="20"/>
                      <w:szCs w:val="20"/>
                    </w:rPr>
                    <w:t>‬</w:t>
                  </w:r>
                  <w:r w:rsidRPr="00C16C92">
                    <w:rPr>
                      <w:rFonts w:asciiTheme="majorHAnsi" w:hAnsiTheme="majorHAnsi"/>
                      <w:sz w:val="20"/>
                      <w:szCs w:val="20"/>
                    </w:rPr>
                    <w:t>‬</w:t>
                  </w:r>
                </w:bdo>
              </w:bdo>
            </w:bdo>
          </w:p>
          <w:p w14:paraId="6F011643" w14:textId="77777777" w:rsidR="007F2C4D" w:rsidRPr="00C16C92" w:rsidRDefault="007F2C4D" w:rsidP="00C86B54">
            <w:pPr>
              <w:rPr>
                <w:rFonts w:asciiTheme="majorHAnsi" w:hAnsiTheme="majorHAnsi" w:cs="Arial"/>
                <w:color w:val="262626"/>
                <w:sz w:val="20"/>
                <w:szCs w:val="20"/>
              </w:rPr>
            </w:pPr>
          </w:p>
        </w:tc>
        <w:tc>
          <w:tcPr>
            <w:tcW w:w="1458" w:type="dxa"/>
          </w:tcPr>
          <w:p w14:paraId="17C00C97" w14:textId="77777777" w:rsidR="007F2C4D" w:rsidRDefault="007F2C4D" w:rsidP="00C86B54">
            <w:pPr>
              <w:rPr>
                <w:rFonts w:asciiTheme="majorHAnsi" w:hAnsiTheme="majorHAnsi" w:cs="Arial"/>
                <w:color w:val="262626"/>
                <w:sz w:val="22"/>
                <w:szCs w:val="20"/>
              </w:rPr>
            </w:pPr>
          </w:p>
        </w:tc>
      </w:tr>
      <w:tr w:rsidR="00C16C92" w14:paraId="3ACD565E" w14:textId="77777777" w:rsidTr="007F2C4D">
        <w:tc>
          <w:tcPr>
            <w:tcW w:w="8118" w:type="dxa"/>
          </w:tcPr>
          <w:p w14:paraId="6DF78C0D" w14:textId="77777777" w:rsidR="00C16C92" w:rsidRPr="00C16C92" w:rsidRDefault="00C16C92" w:rsidP="00C16C92">
            <w:pPr>
              <w:rPr>
                <w:rFonts w:asciiTheme="majorHAnsi" w:hAnsiTheme="majorHAnsi" w:cs="Times New Roman"/>
                <w:sz w:val="20"/>
                <w:szCs w:val="20"/>
              </w:rPr>
            </w:pPr>
          </w:p>
          <w:p w14:paraId="133CD3EA" w14:textId="77777777" w:rsidR="00C16C92" w:rsidRPr="00C16C92" w:rsidRDefault="00C16C92" w:rsidP="00C16C92">
            <w:pPr>
              <w:rPr>
                <w:rFonts w:asciiTheme="majorHAnsi" w:hAnsiTheme="majorHAnsi" w:cs="Times New Roman"/>
                <w:sz w:val="20"/>
                <w:szCs w:val="20"/>
              </w:rPr>
            </w:pPr>
            <w:r w:rsidRPr="00C16C92">
              <w:rPr>
                <w:rFonts w:asciiTheme="majorHAnsi" w:hAnsiTheme="majorHAnsi" w:cs="Times New Roman"/>
                <w:sz w:val="20"/>
                <w:szCs w:val="20"/>
              </w:rPr>
              <w:t>Request for Reconsideration (Bylaws Art. IV, Sec. 2) of:</w:t>
            </w:r>
          </w:p>
          <w:p w14:paraId="1F9A6D22" w14:textId="77777777" w:rsidR="00C16C92" w:rsidRPr="00C16C92" w:rsidRDefault="00C16C92" w:rsidP="00C16C92">
            <w:pPr>
              <w:rPr>
                <w:rFonts w:asciiTheme="majorHAnsi" w:hAnsiTheme="majorHAnsi" w:cs="Times New Roman"/>
                <w:sz w:val="20"/>
                <w:szCs w:val="20"/>
              </w:rPr>
            </w:pPr>
          </w:p>
          <w:p w14:paraId="025982E1" w14:textId="32706DED" w:rsidR="00C16C92" w:rsidRPr="00C16C92" w:rsidRDefault="00AA039C" w:rsidP="00C16C92">
            <w:pPr>
              <w:pStyle w:val="ListParagraph"/>
              <w:widowControl w:val="0"/>
              <w:numPr>
                <w:ilvl w:val="0"/>
                <w:numId w:val="11"/>
              </w:numPr>
              <w:tabs>
                <w:tab w:val="left" w:pos="220"/>
                <w:tab w:val="left" w:pos="720"/>
              </w:tabs>
              <w:autoSpaceDE w:val="0"/>
              <w:autoSpaceDN w:val="0"/>
              <w:adjustRightInd w:val="0"/>
              <w:rPr>
                <w:rFonts w:asciiTheme="majorHAnsi" w:hAnsiTheme="majorHAnsi" w:cs="Helvetica Light"/>
                <w:color w:val="262626"/>
                <w:sz w:val="20"/>
                <w:szCs w:val="20"/>
              </w:rPr>
            </w:pPr>
            <w:r w:rsidRPr="00C16C92">
              <w:rPr>
                <w:rFonts w:asciiTheme="majorHAnsi" w:hAnsiTheme="majorHAnsi" w:cs="Helvetica Light"/>
                <w:color w:val="262626"/>
                <w:sz w:val="20"/>
                <w:szCs w:val="20"/>
              </w:rPr>
              <w:t>One</w:t>
            </w:r>
            <w:r w:rsidR="00C16C92" w:rsidRPr="00C16C92">
              <w:rPr>
                <w:rFonts w:asciiTheme="majorHAnsi" w:hAnsiTheme="majorHAnsi" w:cs="Helvetica Light"/>
                <w:color w:val="262626"/>
                <w:sz w:val="20"/>
                <w:szCs w:val="20"/>
              </w:rPr>
              <w:t xml:space="preserve"> or more staff actions or inactions that contradict established </w:t>
            </w:r>
            <w:bdo w:val="ltr">
              <w:r w:rsidR="00C16C92" w:rsidRPr="00C16C92">
                <w:rPr>
                  <w:rFonts w:asciiTheme="majorHAnsi" w:hAnsiTheme="majorHAnsi" w:cs="Helvetica Light"/>
                  <w:color w:val="262626"/>
                  <w:sz w:val="20"/>
                  <w:szCs w:val="20"/>
                </w:rPr>
                <w:t>ICANN</w:t>
              </w:r>
              <w:r w:rsidR="00C16C92" w:rsidRPr="00C16C92">
                <w:rPr>
                  <w:rFonts w:asciiTheme="majorHAnsi" w:hAnsiTheme="majorHAnsi" w:cs="Times New Roman"/>
                  <w:color w:val="262626"/>
                  <w:sz w:val="20"/>
                  <w:szCs w:val="20"/>
                </w:rPr>
                <w:t>‬</w:t>
              </w:r>
              <w:r w:rsidR="00C16C92" w:rsidRPr="00C16C92">
                <w:rPr>
                  <w:rFonts w:asciiTheme="majorHAnsi" w:hAnsiTheme="majorHAnsi" w:cs="Helvetica Light"/>
                  <w:color w:val="262626"/>
                  <w:sz w:val="20"/>
                  <w:szCs w:val="20"/>
                </w:rPr>
                <w:t xml:space="preserve"> policy(ies); or</w:t>
              </w:r>
              <w:r w:rsidR="00C16C92" w:rsidRPr="00C16C92">
                <w:rPr>
                  <w:rFonts w:asciiTheme="majorHAnsi" w:hAnsiTheme="majorHAnsi"/>
                  <w:sz w:val="20"/>
                  <w:szCs w:val="20"/>
                </w:rPr>
                <w:t>‬</w:t>
              </w:r>
              <w:r w:rsidR="00C16C92" w:rsidRPr="00C16C92">
                <w:rPr>
                  <w:rFonts w:asciiTheme="majorHAnsi" w:hAnsiTheme="majorHAnsi"/>
                  <w:sz w:val="20"/>
                  <w:szCs w:val="20"/>
                </w:rPr>
                <w:t>‬</w:t>
              </w:r>
              <w:r w:rsidR="00C16C92" w:rsidRPr="00C16C92">
                <w:rPr>
                  <w:rFonts w:asciiTheme="majorHAnsi" w:hAnsiTheme="majorHAnsi"/>
                  <w:sz w:val="20"/>
                  <w:szCs w:val="20"/>
                </w:rPr>
                <w:t>‬</w:t>
              </w:r>
            </w:bdo>
          </w:p>
          <w:p w14:paraId="3EFE96D4" w14:textId="149A7188" w:rsidR="00C16C92" w:rsidRPr="00C16C92" w:rsidRDefault="00AA039C" w:rsidP="00C16C92">
            <w:pPr>
              <w:pStyle w:val="ListParagraph"/>
              <w:widowControl w:val="0"/>
              <w:numPr>
                <w:ilvl w:val="0"/>
                <w:numId w:val="11"/>
              </w:numPr>
              <w:tabs>
                <w:tab w:val="left" w:pos="220"/>
                <w:tab w:val="left" w:pos="720"/>
              </w:tabs>
              <w:autoSpaceDE w:val="0"/>
              <w:autoSpaceDN w:val="0"/>
              <w:adjustRightInd w:val="0"/>
              <w:rPr>
                <w:rFonts w:asciiTheme="majorHAnsi" w:hAnsiTheme="majorHAnsi" w:cs="Helvetica Light"/>
                <w:color w:val="262626"/>
                <w:sz w:val="20"/>
                <w:szCs w:val="20"/>
              </w:rPr>
            </w:pPr>
            <w:r w:rsidRPr="00C16C92">
              <w:rPr>
                <w:rFonts w:asciiTheme="majorHAnsi" w:hAnsiTheme="majorHAnsi" w:cs="Helvetica Light"/>
                <w:color w:val="262626"/>
                <w:sz w:val="20"/>
                <w:szCs w:val="20"/>
              </w:rPr>
              <w:t>One</w:t>
            </w:r>
            <w:r w:rsidR="00C16C92" w:rsidRPr="00C16C92">
              <w:rPr>
                <w:rFonts w:asciiTheme="majorHAnsi" w:hAnsiTheme="majorHAnsi" w:cs="Helvetica Light"/>
                <w:color w:val="262626"/>
                <w:sz w:val="20"/>
                <w:szCs w:val="20"/>
              </w:rPr>
              <w:t xml:space="preserve"> or more actions or inactions of the </w:t>
            </w:r>
            <w:bdo w:val="ltr">
              <w:r w:rsidR="00C16C92" w:rsidRPr="00C16C92">
                <w:rPr>
                  <w:rFonts w:asciiTheme="majorHAnsi" w:hAnsiTheme="majorHAnsi" w:cs="Helvetica Light"/>
                  <w:color w:val="262626"/>
                  <w:sz w:val="20"/>
                  <w:szCs w:val="20"/>
                </w:rPr>
                <w:t>ICANN</w:t>
              </w:r>
              <w:r w:rsidR="00C16C92" w:rsidRPr="00C16C92">
                <w:rPr>
                  <w:rFonts w:asciiTheme="majorHAnsi" w:hAnsiTheme="majorHAnsi" w:cs="Times New Roman"/>
                  <w:color w:val="262626"/>
                  <w:sz w:val="20"/>
                  <w:szCs w:val="20"/>
                </w:rPr>
                <w:t>‬</w:t>
              </w:r>
              <w:r w:rsidR="00C16C92" w:rsidRPr="00C16C92">
                <w:rPr>
                  <w:rFonts w:asciiTheme="majorHAnsi" w:hAnsiTheme="majorHAnsi" w:cs="Helvetica Light"/>
                  <w:color w:val="262626"/>
                  <w:sz w:val="20"/>
                  <w:szCs w:val="20"/>
                </w:rPr>
                <w:t xml:space="preserve"> Board that have been taken or refused to be taken without consideration of material information, except where the party submitting the request could have submitted, but did not submit, the information for the Board's consideration at the time of action or refusal to act; or</w:t>
              </w:r>
              <w:r w:rsidR="00C16C92" w:rsidRPr="00C16C92">
                <w:rPr>
                  <w:rFonts w:asciiTheme="majorHAnsi" w:hAnsiTheme="majorHAnsi"/>
                  <w:sz w:val="20"/>
                  <w:szCs w:val="20"/>
                </w:rPr>
                <w:t>‬</w:t>
              </w:r>
              <w:r w:rsidR="00C16C92" w:rsidRPr="00C16C92">
                <w:rPr>
                  <w:rFonts w:asciiTheme="majorHAnsi" w:hAnsiTheme="majorHAnsi"/>
                  <w:sz w:val="20"/>
                  <w:szCs w:val="20"/>
                </w:rPr>
                <w:t>‬</w:t>
              </w:r>
              <w:r w:rsidR="00C16C92" w:rsidRPr="00C16C92">
                <w:rPr>
                  <w:rFonts w:asciiTheme="majorHAnsi" w:hAnsiTheme="majorHAnsi"/>
                  <w:sz w:val="20"/>
                  <w:szCs w:val="20"/>
                </w:rPr>
                <w:t>‬</w:t>
              </w:r>
            </w:bdo>
          </w:p>
          <w:p w14:paraId="47ED197C" w14:textId="4F9DB763" w:rsidR="00C16C92" w:rsidRPr="00C16C92" w:rsidRDefault="00AA039C" w:rsidP="00C16C92">
            <w:pPr>
              <w:pStyle w:val="ListParagraph"/>
              <w:widowControl w:val="0"/>
              <w:numPr>
                <w:ilvl w:val="0"/>
                <w:numId w:val="11"/>
              </w:numPr>
              <w:tabs>
                <w:tab w:val="left" w:pos="220"/>
                <w:tab w:val="left" w:pos="720"/>
              </w:tabs>
              <w:autoSpaceDE w:val="0"/>
              <w:autoSpaceDN w:val="0"/>
              <w:adjustRightInd w:val="0"/>
              <w:rPr>
                <w:rFonts w:asciiTheme="majorHAnsi" w:hAnsiTheme="majorHAnsi" w:cs="Times New Roman"/>
                <w:sz w:val="20"/>
                <w:szCs w:val="20"/>
              </w:rPr>
            </w:pPr>
            <w:r w:rsidRPr="00C16C92">
              <w:rPr>
                <w:rFonts w:asciiTheme="majorHAnsi" w:hAnsiTheme="majorHAnsi" w:cs="Helvetica Light"/>
                <w:color w:val="262626"/>
                <w:sz w:val="20"/>
                <w:szCs w:val="20"/>
              </w:rPr>
              <w:t>One</w:t>
            </w:r>
            <w:r w:rsidR="00C16C92" w:rsidRPr="00C16C92">
              <w:rPr>
                <w:rFonts w:asciiTheme="majorHAnsi" w:hAnsiTheme="majorHAnsi" w:cs="Helvetica Light"/>
                <w:color w:val="262626"/>
                <w:sz w:val="20"/>
                <w:szCs w:val="20"/>
              </w:rPr>
              <w:t xml:space="preserve"> or more actions or inactions of the </w:t>
            </w:r>
            <w:bdo w:val="ltr">
              <w:r w:rsidR="00C16C92" w:rsidRPr="00C16C92">
                <w:rPr>
                  <w:rFonts w:asciiTheme="majorHAnsi" w:hAnsiTheme="majorHAnsi" w:cs="Helvetica Light"/>
                  <w:color w:val="262626"/>
                  <w:sz w:val="20"/>
                  <w:szCs w:val="20"/>
                </w:rPr>
                <w:t>ICANN</w:t>
              </w:r>
              <w:r w:rsidR="00C16C92" w:rsidRPr="00C16C92">
                <w:rPr>
                  <w:rFonts w:asciiTheme="majorHAnsi" w:hAnsiTheme="majorHAnsi" w:cs="Times New Roman"/>
                  <w:color w:val="262626"/>
                  <w:sz w:val="20"/>
                  <w:szCs w:val="20"/>
                </w:rPr>
                <w:t>‬</w:t>
              </w:r>
              <w:r w:rsidR="00C16C92" w:rsidRPr="00C16C92">
                <w:rPr>
                  <w:rFonts w:asciiTheme="majorHAnsi" w:hAnsiTheme="majorHAnsi" w:cs="Helvetica Light"/>
                  <w:color w:val="262626"/>
                  <w:sz w:val="20"/>
                  <w:szCs w:val="20"/>
                </w:rPr>
                <w:t xml:space="preserve"> Board that are taken as a result of the Board's reliance on false or inaccurate material information</w:t>
              </w:r>
              <w:r w:rsidRPr="00C16C92">
                <w:rPr>
                  <w:rFonts w:asciiTheme="majorHAnsi" w:hAnsiTheme="majorHAnsi" w:cs="Helvetica Light"/>
                  <w:color w:val="262626"/>
                  <w:sz w:val="20"/>
                  <w:szCs w:val="20"/>
                </w:rPr>
                <w:t>.</w:t>
              </w:r>
              <w:r w:rsidRPr="00C16C92">
                <w:rPr>
                  <w:rFonts w:asciiTheme="majorHAnsi" w:hAnsiTheme="majorHAnsi"/>
                  <w:sz w:val="20"/>
                  <w:szCs w:val="20"/>
                </w:rPr>
                <w:t xml:space="preserve"> </w:t>
              </w:r>
              <w:r w:rsidRPr="00C16C92">
                <w:rPr>
                  <w:rFonts w:asciiTheme="majorHAnsi" w:hAnsiTheme="majorHAnsi"/>
                  <w:sz w:val="20"/>
                  <w:szCs w:val="20"/>
                </w:rPr>
                <w:t>‬</w:t>
              </w:r>
              <w:r w:rsidR="00C16C92" w:rsidRPr="00C16C92">
                <w:rPr>
                  <w:rFonts w:asciiTheme="majorHAnsi" w:hAnsiTheme="majorHAnsi"/>
                  <w:sz w:val="20"/>
                  <w:szCs w:val="20"/>
                </w:rPr>
                <w:t>‬</w:t>
              </w:r>
              <w:r w:rsidR="00C16C92" w:rsidRPr="00C16C92">
                <w:rPr>
                  <w:rFonts w:asciiTheme="majorHAnsi" w:hAnsiTheme="majorHAnsi"/>
                  <w:sz w:val="20"/>
                  <w:szCs w:val="20"/>
                </w:rPr>
                <w:t>‬</w:t>
              </w:r>
            </w:bdo>
          </w:p>
          <w:p w14:paraId="58F8334D" w14:textId="77777777" w:rsidR="00C16C92" w:rsidRPr="00C16C92" w:rsidRDefault="00C16C92" w:rsidP="007F2C4D">
            <w:pPr>
              <w:rPr>
                <w:rFonts w:asciiTheme="majorHAnsi" w:hAnsiTheme="majorHAnsi" w:cs="Times New Roman"/>
                <w:sz w:val="20"/>
                <w:szCs w:val="20"/>
              </w:rPr>
            </w:pPr>
          </w:p>
        </w:tc>
        <w:tc>
          <w:tcPr>
            <w:tcW w:w="1458" w:type="dxa"/>
          </w:tcPr>
          <w:p w14:paraId="44D5027D" w14:textId="77777777" w:rsidR="00C16C92" w:rsidRDefault="00C16C92" w:rsidP="00C86B54">
            <w:pPr>
              <w:rPr>
                <w:rFonts w:asciiTheme="majorHAnsi" w:hAnsiTheme="majorHAnsi" w:cs="Arial"/>
                <w:color w:val="262626"/>
                <w:sz w:val="22"/>
                <w:szCs w:val="20"/>
              </w:rPr>
            </w:pPr>
          </w:p>
        </w:tc>
      </w:tr>
      <w:tr w:rsidR="007F2C4D" w14:paraId="0FA4F34F" w14:textId="77777777" w:rsidTr="007F2C4D">
        <w:tc>
          <w:tcPr>
            <w:tcW w:w="8118" w:type="dxa"/>
          </w:tcPr>
          <w:p w14:paraId="6980245B" w14:textId="77777777" w:rsidR="00DC41BD" w:rsidRPr="00C16C92" w:rsidRDefault="00DC41BD" w:rsidP="007F2C4D">
            <w:pPr>
              <w:rPr>
                <w:rFonts w:asciiTheme="majorHAnsi" w:hAnsiTheme="majorHAnsi" w:cs="Times New Roman"/>
                <w:sz w:val="20"/>
                <w:szCs w:val="20"/>
              </w:rPr>
            </w:pPr>
          </w:p>
          <w:p w14:paraId="52BA4E72" w14:textId="77777777" w:rsidR="007F2C4D" w:rsidRPr="00C16C92" w:rsidRDefault="007F2C4D" w:rsidP="007F2C4D">
            <w:pPr>
              <w:rPr>
                <w:rFonts w:asciiTheme="majorHAnsi" w:hAnsiTheme="majorHAnsi" w:cs="Helvetica Light"/>
                <w:color w:val="262626"/>
                <w:sz w:val="20"/>
                <w:szCs w:val="20"/>
              </w:rPr>
            </w:pPr>
            <w:r w:rsidRPr="00C16C92">
              <w:rPr>
                <w:rFonts w:asciiTheme="majorHAnsi" w:hAnsiTheme="majorHAnsi" w:cs="Times New Roman"/>
                <w:sz w:val="20"/>
                <w:szCs w:val="20"/>
              </w:rPr>
              <w:t>Process for “</w:t>
            </w:r>
            <w:r w:rsidRPr="00C16C92">
              <w:rPr>
                <w:rFonts w:asciiTheme="majorHAnsi" w:hAnsiTheme="majorHAnsi" w:cs="Helvetica Light"/>
                <w:color w:val="262626"/>
                <w:sz w:val="20"/>
                <w:szCs w:val="20"/>
              </w:rPr>
              <w:t>independent third-party review of Board actions alleged by an affected party to be inconsistent with the Articles of Incorporation or Bylaws” (Bylaws Art. IV, Sec. 3)</w:t>
            </w:r>
            <w:r w:rsidRPr="00C16C92">
              <w:rPr>
                <w:rStyle w:val="FootnoteReference"/>
                <w:rFonts w:asciiTheme="majorHAnsi" w:hAnsiTheme="majorHAnsi" w:cs="Helvetica Light"/>
                <w:color w:val="262626"/>
                <w:sz w:val="20"/>
                <w:szCs w:val="20"/>
              </w:rPr>
              <w:t xml:space="preserve"> </w:t>
            </w:r>
          </w:p>
          <w:p w14:paraId="1BD9F76C" w14:textId="77777777" w:rsidR="007F2C4D" w:rsidRPr="00C16C92" w:rsidRDefault="007F2C4D" w:rsidP="007F2C4D">
            <w:pPr>
              <w:rPr>
                <w:rFonts w:asciiTheme="majorHAnsi" w:hAnsiTheme="majorHAnsi" w:cs="Helvetica Light"/>
                <w:color w:val="262626"/>
                <w:sz w:val="20"/>
                <w:szCs w:val="20"/>
              </w:rPr>
            </w:pPr>
          </w:p>
          <w:p w14:paraId="3EA621CE" w14:textId="13F59F5D" w:rsidR="007F2C4D" w:rsidRPr="00C16C92" w:rsidRDefault="007F2C4D" w:rsidP="007F2C4D">
            <w:pPr>
              <w:rPr>
                <w:rFonts w:asciiTheme="majorHAnsi" w:hAnsiTheme="majorHAnsi" w:cs="Times New Roman"/>
                <w:sz w:val="20"/>
                <w:szCs w:val="20"/>
              </w:rPr>
            </w:pPr>
            <w:r w:rsidRPr="00C16C92">
              <w:rPr>
                <w:rFonts w:asciiTheme="majorHAnsi" w:hAnsiTheme="majorHAnsi" w:cs="Helvetica Light"/>
                <w:color w:val="262626"/>
                <w:sz w:val="20"/>
                <w:szCs w:val="20"/>
              </w:rPr>
              <w:t xml:space="preserve">Prior to </w:t>
            </w:r>
            <w:r w:rsidRPr="00C16C92">
              <w:rPr>
                <w:rFonts w:asciiTheme="majorHAnsi" w:hAnsiTheme="majorHAnsi" w:cs="Times New Roman"/>
                <w:sz w:val="20"/>
                <w:szCs w:val="20"/>
              </w:rPr>
              <w:t>April 2013, the standard of review was:</w:t>
            </w:r>
          </w:p>
          <w:p w14:paraId="33969D7B" w14:textId="77777777" w:rsidR="00DC41BD" w:rsidRPr="00C16C92" w:rsidRDefault="00DC41BD" w:rsidP="007F2C4D">
            <w:pPr>
              <w:ind w:left="720"/>
              <w:rPr>
                <w:rFonts w:asciiTheme="majorHAnsi" w:hAnsiTheme="majorHAnsi" w:cs="Helvetica Light"/>
                <w:color w:val="262626"/>
                <w:sz w:val="20"/>
                <w:szCs w:val="20"/>
              </w:rPr>
            </w:pPr>
          </w:p>
          <w:p w14:paraId="066BC078" w14:textId="6CA97DC5" w:rsidR="007F2C4D" w:rsidRPr="00C16C92" w:rsidRDefault="007F2C4D" w:rsidP="007F2C4D">
            <w:pPr>
              <w:ind w:left="720"/>
              <w:rPr>
                <w:rFonts w:asciiTheme="majorHAnsi" w:hAnsiTheme="majorHAnsi" w:cs="Times New Roman"/>
                <w:sz w:val="20"/>
                <w:szCs w:val="20"/>
              </w:rPr>
            </w:pPr>
            <w:r w:rsidRPr="00C16C92">
              <w:rPr>
                <w:rFonts w:asciiTheme="majorHAnsi" w:hAnsiTheme="majorHAnsi" w:cs="Helvetica Light"/>
                <w:color w:val="262626"/>
                <w:sz w:val="20"/>
                <w:szCs w:val="20"/>
              </w:rPr>
              <w:t>Requests for such independent review shall be referred to an Independent Review Panel ("IRP"), which shall be charged with comparing contested actions of the Board to the Articles of Incorporation and Bylaws, and with declaring whether the Board has acted consistently with the provisions of those Articles of Incorporation and Bylaws.</w:t>
            </w:r>
            <w:r w:rsidRPr="00C16C92">
              <w:rPr>
                <w:rFonts w:asciiTheme="majorHAnsi" w:hAnsiTheme="majorHAnsi" w:cs="Times New Roman"/>
                <w:sz w:val="20"/>
                <w:szCs w:val="20"/>
              </w:rPr>
              <w:t xml:space="preserve"> </w:t>
            </w:r>
          </w:p>
          <w:p w14:paraId="6EC36CE5" w14:textId="77777777" w:rsidR="007F2C4D" w:rsidRPr="00C16C92" w:rsidRDefault="007F2C4D" w:rsidP="007F2C4D">
            <w:pPr>
              <w:ind w:left="720"/>
              <w:rPr>
                <w:rFonts w:asciiTheme="majorHAnsi" w:hAnsiTheme="majorHAnsi" w:cs="Times New Roman"/>
                <w:sz w:val="20"/>
                <w:szCs w:val="20"/>
              </w:rPr>
            </w:pPr>
          </w:p>
          <w:p w14:paraId="50BB0D40" w14:textId="09F3D85F" w:rsidR="007F2C4D" w:rsidRPr="00C16C92" w:rsidRDefault="007F2C4D" w:rsidP="007F2C4D">
            <w:pPr>
              <w:rPr>
                <w:rFonts w:asciiTheme="majorHAnsi" w:hAnsiTheme="majorHAnsi" w:cs="Helvetica Light"/>
                <w:color w:val="262626"/>
                <w:sz w:val="20"/>
                <w:szCs w:val="20"/>
              </w:rPr>
            </w:pPr>
            <w:r w:rsidRPr="00C16C92">
              <w:rPr>
                <w:rFonts w:asciiTheme="majorHAnsi" w:hAnsiTheme="majorHAnsi" w:cs="Times New Roman"/>
                <w:sz w:val="20"/>
                <w:szCs w:val="20"/>
              </w:rPr>
              <w:t>Effective in April 2013, the Board limited IRP to the following questions:</w:t>
            </w:r>
          </w:p>
          <w:p w14:paraId="699E7FFD" w14:textId="77777777" w:rsidR="00DC41BD" w:rsidRPr="00C16C92" w:rsidRDefault="00DC41BD" w:rsidP="00DC41BD">
            <w:pPr>
              <w:rPr>
                <w:rFonts w:asciiTheme="majorHAnsi" w:hAnsiTheme="majorHAnsi" w:cs="Helvetica Light"/>
                <w:color w:val="262626"/>
                <w:sz w:val="20"/>
                <w:szCs w:val="20"/>
              </w:rPr>
            </w:pPr>
          </w:p>
          <w:p w14:paraId="25385A6C" w14:textId="0FDE4793" w:rsidR="00DC41BD" w:rsidRPr="00C16C92" w:rsidRDefault="00AA039C" w:rsidP="00DC41BD">
            <w:pPr>
              <w:pStyle w:val="ListParagraph"/>
              <w:numPr>
                <w:ilvl w:val="0"/>
                <w:numId w:val="6"/>
              </w:numPr>
              <w:rPr>
                <w:rFonts w:asciiTheme="majorHAnsi" w:hAnsiTheme="majorHAnsi" w:cs="Helvetica Light"/>
                <w:color w:val="262626"/>
                <w:sz w:val="20"/>
                <w:szCs w:val="20"/>
              </w:rPr>
            </w:pPr>
            <w:r w:rsidRPr="00C16C92">
              <w:rPr>
                <w:rFonts w:asciiTheme="majorHAnsi" w:hAnsiTheme="majorHAnsi" w:cs="Helvetica Light"/>
                <w:color w:val="262626"/>
                <w:sz w:val="20"/>
                <w:szCs w:val="20"/>
              </w:rPr>
              <w:t>Did</w:t>
            </w:r>
            <w:r w:rsidR="007F2C4D" w:rsidRPr="00C16C92">
              <w:rPr>
                <w:rFonts w:asciiTheme="majorHAnsi" w:hAnsiTheme="majorHAnsi" w:cs="Helvetica Light"/>
                <w:color w:val="262626"/>
                <w:sz w:val="20"/>
                <w:szCs w:val="20"/>
              </w:rPr>
              <w:t xml:space="preserve"> the Board act without conflict of interest in taking its decision?</w:t>
            </w:r>
          </w:p>
          <w:p w14:paraId="23FDB04C" w14:textId="293BC4AF" w:rsidR="00DC41BD" w:rsidRPr="00C16C92" w:rsidRDefault="00AA039C" w:rsidP="00DC41BD">
            <w:pPr>
              <w:pStyle w:val="ListParagraph"/>
              <w:numPr>
                <w:ilvl w:val="0"/>
                <w:numId w:val="6"/>
              </w:numPr>
              <w:rPr>
                <w:rFonts w:asciiTheme="majorHAnsi" w:hAnsiTheme="majorHAnsi" w:cs="Helvetica Light"/>
                <w:color w:val="262626"/>
                <w:sz w:val="20"/>
                <w:szCs w:val="20"/>
              </w:rPr>
            </w:pPr>
            <w:r w:rsidRPr="00C16C92">
              <w:rPr>
                <w:rFonts w:asciiTheme="majorHAnsi" w:hAnsiTheme="majorHAnsi" w:cs="Helvetica Light"/>
                <w:color w:val="262626"/>
                <w:sz w:val="20"/>
                <w:szCs w:val="20"/>
              </w:rPr>
              <w:t>Did</w:t>
            </w:r>
            <w:r w:rsidR="007F2C4D" w:rsidRPr="00C16C92">
              <w:rPr>
                <w:rFonts w:asciiTheme="majorHAnsi" w:hAnsiTheme="majorHAnsi" w:cs="Helvetica Light"/>
                <w:color w:val="262626"/>
                <w:sz w:val="20"/>
                <w:szCs w:val="20"/>
              </w:rPr>
              <w:t xml:space="preserve"> the Board exercise due diligence and care in having a reasonable amount of facts in front of them?; and</w:t>
            </w:r>
          </w:p>
          <w:p w14:paraId="4DCDBC96" w14:textId="006B4310" w:rsidR="007F2C4D" w:rsidRPr="00C16C92" w:rsidRDefault="00AA039C" w:rsidP="00DC41BD">
            <w:pPr>
              <w:pStyle w:val="ListParagraph"/>
              <w:numPr>
                <w:ilvl w:val="0"/>
                <w:numId w:val="6"/>
              </w:numPr>
              <w:rPr>
                <w:rFonts w:asciiTheme="majorHAnsi" w:hAnsiTheme="majorHAnsi" w:cs="Helvetica Light"/>
                <w:color w:val="262626"/>
                <w:sz w:val="20"/>
                <w:szCs w:val="20"/>
              </w:rPr>
            </w:pPr>
            <w:r w:rsidRPr="00C16C92">
              <w:rPr>
                <w:rFonts w:asciiTheme="majorHAnsi" w:hAnsiTheme="majorHAnsi" w:cs="Helvetica Light"/>
                <w:color w:val="262626"/>
                <w:sz w:val="20"/>
                <w:szCs w:val="20"/>
              </w:rPr>
              <w:t>Did</w:t>
            </w:r>
            <w:r w:rsidR="007F2C4D" w:rsidRPr="00C16C92">
              <w:rPr>
                <w:rFonts w:asciiTheme="majorHAnsi" w:hAnsiTheme="majorHAnsi" w:cs="Helvetica Light"/>
                <w:color w:val="262626"/>
                <w:sz w:val="20"/>
                <w:szCs w:val="20"/>
              </w:rPr>
              <w:t xml:space="preserve"> the Board members exercise independent judgment in taking the decision, believed to be in the best interests of the company?”</w:t>
            </w:r>
          </w:p>
          <w:p w14:paraId="1B7C16FB" w14:textId="00307534" w:rsidR="007F2C4D" w:rsidRPr="00C16C92" w:rsidRDefault="007F2C4D" w:rsidP="00DC41BD">
            <w:pPr>
              <w:rPr>
                <w:rFonts w:asciiTheme="majorHAnsi" w:hAnsiTheme="majorHAnsi" w:cs="Arial"/>
                <w:color w:val="262626"/>
                <w:sz w:val="20"/>
                <w:szCs w:val="20"/>
              </w:rPr>
            </w:pPr>
          </w:p>
        </w:tc>
        <w:tc>
          <w:tcPr>
            <w:tcW w:w="1458" w:type="dxa"/>
          </w:tcPr>
          <w:p w14:paraId="028A5329" w14:textId="77777777" w:rsidR="007F2C4D" w:rsidRDefault="007F2C4D" w:rsidP="00C86B54">
            <w:pPr>
              <w:rPr>
                <w:rFonts w:asciiTheme="majorHAnsi" w:hAnsiTheme="majorHAnsi" w:cs="Arial"/>
                <w:color w:val="262626"/>
                <w:sz w:val="22"/>
                <w:szCs w:val="20"/>
              </w:rPr>
            </w:pPr>
          </w:p>
        </w:tc>
      </w:tr>
      <w:tr w:rsidR="007F2C4D" w14:paraId="6BA9781B" w14:textId="77777777" w:rsidTr="007F2C4D">
        <w:tc>
          <w:tcPr>
            <w:tcW w:w="8118" w:type="dxa"/>
          </w:tcPr>
          <w:p w14:paraId="16DA1E72" w14:textId="77777777" w:rsidR="00DC41BD" w:rsidRPr="00C16C92" w:rsidRDefault="00DC41BD" w:rsidP="00C86B54">
            <w:pPr>
              <w:rPr>
                <w:rFonts w:asciiTheme="majorHAnsi" w:hAnsiTheme="majorHAnsi" w:cs="Helvetica Light"/>
                <w:color w:val="262626"/>
                <w:sz w:val="20"/>
                <w:szCs w:val="20"/>
              </w:rPr>
            </w:pPr>
          </w:p>
          <w:p w14:paraId="48CEAD3E" w14:textId="77777777" w:rsidR="007F2C4D" w:rsidRPr="00C16C92" w:rsidRDefault="007F2C4D" w:rsidP="00C86B54">
            <w:pPr>
              <w:rPr>
                <w:rFonts w:asciiTheme="majorHAnsi" w:hAnsiTheme="majorHAnsi" w:cs="Helvetica Light"/>
                <w:color w:val="262626"/>
                <w:sz w:val="20"/>
                <w:szCs w:val="20"/>
              </w:rPr>
            </w:pPr>
            <w:r w:rsidRPr="00C16C92">
              <w:rPr>
                <w:rFonts w:asciiTheme="majorHAnsi" w:hAnsiTheme="majorHAnsi" w:cs="Helvetica Light"/>
                <w:color w:val="262626"/>
                <w:sz w:val="20"/>
                <w:szCs w:val="20"/>
              </w:rPr>
              <w:t xml:space="preserve">“Periodic review of the performance and operation of each Supporting Organization, each Supporting Organization Council, each Advisory Committee (other than the Governmental Advisory Committee), and the Nominating Committee by an entity or entities independent of the organization under review . . . to determine (i) whether that organization has a continuing purpose in the </w:t>
            </w:r>
            <w:bdo w:val="ltr">
              <w:r w:rsidRPr="00C16C92">
                <w:rPr>
                  <w:rFonts w:asciiTheme="majorHAnsi" w:hAnsiTheme="majorHAnsi" w:cs="Helvetica Light"/>
                  <w:color w:val="262626"/>
                  <w:sz w:val="20"/>
                  <w:szCs w:val="20"/>
                </w:rPr>
                <w:t>ICANN</w:t>
              </w:r>
              <w:r w:rsidRPr="00C16C92">
                <w:rPr>
                  <w:rFonts w:asciiTheme="majorHAnsi" w:hAnsiTheme="majorHAnsi" w:cs="Times New Roman"/>
                  <w:color w:val="262626"/>
                  <w:sz w:val="20"/>
                  <w:szCs w:val="20"/>
                </w:rPr>
                <w:t>‬</w:t>
              </w:r>
              <w:r w:rsidRPr="00C16C92">
                <w:rPr>
                  <w:rFonts w:asciiTheme="majorHAnsi" w:hAnsiTheme="majorHAnsi" w:cs="Helvetica Light"/>
                  <w:color w:val="262626"/>
                  <w:sz w:val="20"/>
                  <w:szCs w:val="20"/>
                </w:rPr>
                <w:t xml:space="preserve"> structure, and (ii) if so, whether any change in structure or operations is desirable to improve its effectiveness.” (Bylaws Art. IV, Sec. 4)</w:t>
              </w:r>
            </w:bdo>
          </w:p>
          <w:p w14:paraId="4616E602" w14:textId="40028343" w:rsidR="00DC41BD" w:rsidRPr="00C16C92" w:rsidRDefault="00DC41BD" w:rsidP="00C86B54">
            <w:pPr>
              <w:rPr>
                <w:rFonts w:asciiTheme="majorHAnsi" w:hAnsiTheme="majorHAnsi" w:cs="Arial"/>
                <w:color w:val="262626"/>
                <w:sz w:val="20"/>
                <w:szCs w:val="20"/>
              </w:rPr>
            </w:pPr>
          </w:p>
        </w:tc>
        <w:tc>
          <w:tcPr>
            <w:tcW w:w="1458" w:type="dxa"/>
          </w:tcPr>
          <w:p w14:paraId="7782B011" w14:textId="77777777" w:rsidR="007F2C4D" w:rsidRDefault="007F2C4D" w:rsidP="00C86B54">
            <w:pPr>
              <w:rPr>
                <w:rFonts w:asciiTheme="majorHAnsi" w:hAnsiTheme="majorHAnsi" w:cs="Arial"/>
                <w:color w:val="262626"/>
                <w:sz w:val="22"/>
                <w:szCs w:val="20"/>
              </w:rPr>
            </w:pPr>
          </w:p>
        </w:tc>
      </w:tr>
      <w:tr w:rsidR="007F2C4D" w14:paraId="0A2D4998" w14:textId="77777777" w:rsidTr="007F2C4D">
        <w:tc>
          <w:tcPr>
            <w:tcW w:w="8118" w:type="dxa"/>
          </w:tcPr>
          <w:p w14:paraId="3BD8F559" w14:textId="77777777" w:rsidR="00DC41BD" w:rsidRPr="00C16C92" w:rsidRDefault="00DC41BD" w:rsidP="00DC41BD">
            <w:pPr>
              <w:rPr>
                <w:rFonts w:asciiTheme="majorHAnsi" w:hAnsiTheme="majorHAnsi" w:cs="Times New Roman"/>
                <w:sz w:val="20"/>
                <w:szCs w:val="20"/>
              </w:rPr>
            </w:pPr>
          </w:p>
          <w:p w14:paraId="03214092" w14:textId="3E3E79AA" w:rsidR="00DC41BD" w:rsidRPr="00C16C92" w:rsidRDefault="00DC41BD" w:rsidP="00DC41BD">
            <w:pPr>
              <w:rPr>
                <w:rFonts w:asciiTheme="majorHAnsi" w:hAnsiTheme="majorHAnsi" w:cs="Times New Roman"/>
                <w:sz w:val="20"/>
                <w:szCs w:val="20"/>
              </w:rPr>
            </w:pPr>
            <w:r w:rsidRPr="00C16C92">
              <w:rPr>
                <w:rFonts w:asciiTheme="majorHAnsi" w:hAnsiTheme="majorHAnsi" w:cs="Times New Roman"/>
                <w:sz w:val="20"/>
                <w:szCs w:val="20"/>
              </w:rPr>
              <w:t>Affirmation of Commitments (AoC) requires multiple reviews to be undertaken, specifically the Accountability and Transparency Reviews (ATRT)</w:t>
            </w:r>
          </w:p>
          <w:p w14:paraId="5F718E6E" w14:textId="77777777" w:rsidR="007F2C4D" w:rsidRPr="00C16C92" w:rsidRDefault="007F2C4D" w:rsidP="00C86B54">
            <w:pPr>
              <w:rPr>
                <w:rFonts w:asciiTheme="majorHAnsi" w:hAnsiTheme="majorHAnsi" w:cs="Arial"/>
                <w:color w:val="262626"/>
                <w:sz w:val="20"/>
                <w:szCs w:val="20"/>
              </w:rPr>
            </w:pPr>
          </w:p>
        </w:tc>
        <w:tc>
          <w:tcPr>
            <w:tcW w:w="1458" w:type="dxa"/>
          </w:tcPr>
          <w:p w14:paraId="2271FE16" w14:textId="77777777" w:rsidR="007F2C4D" w:rsidRDefault="007F2C4D" w:rsidP="00C86B54">
            <w:pPr>
              <w:rPr>
                <w:rFonts w:asciiTheme="majorHAnsi" w:hAnsiTheme="majorHAnsi" w:cs="Arial"/>
                <w:color w:val="262626"/>
                <w:sz w:val="22"/>
                <w:szCs w:val="20"/>
              </w:rPr>
            </w:pPr>
          </w:p>
        </w:tc>
      </w:tr>
      <w:tr w:rsidR="007F2C4D" w14:paraId="7EA29218" w14:textId="77777777" w:rsidTr="007F2C4D">
        <w:tc>
          <w:tcPr>
            <w:tcW w:w="8118" w:type="dxa"/>
          </w:tcPr>
          <w:p w14:paraId="0D49184C" w14:textId="77777777" w:rsidR="00DC41BD" w:rsidRPr="00C16C92" w:rsidRDefault="00DC41BD" w:rsidP="00C86B54">
            <w:pPr>
              <w:rPr>
                <w:rFonts w:asciiTheme="majorHAnsi" w:hAnsiTheme="majorHAnsi" w:cs="Arial"/>
                <w:color w:val="262626"/>
                <w:sz w:val="20"/>
                <w:szCs w:val="20"/>
              </w:rPr>
            </w:pPr>
          </w:p>
          <w:p w14:paraId="4835E198" w14:textId="77777777" w:rsidR="007F2C4D" w:rsidRPr="00C16C92" w:rsidRDefault="00DC41BD" w:rsidP="00C86B54">
            <w:pPr>
              <w:rPr>
                <w:rFonts w:asciiTheme="majorHAnsi" w:hAnsiTheme="majorHAnsi" w:cs="Arial"/>
                <w:color w:val="262626"/>
                <w:sz w:val="20"/>
                <w:szCs w:val="20"/>
              </w:rPr>
            </w:pPr>
            <w:r w:rsidRPr="00C16C92">
              <w:rPr>
                <w:rFonts w:asciiTheme="majorHAnsi" w:hAnsiTheme="majorHAnsi" w:cs="Arial"/>
                <w:color w:val="262626"/>
                <w:sz w:val="20"/>
                <w:szCs w:val="20"/>
              </w:rPr>
              <w:t>ATRT1 and ATRT2 Recommendations</w:t>
            </w:r>
          </w:p>
          <w:p w14:paraId="066CF728" w14:textId="5C467A99" w:rsidR="00DC41BD" w:rsidRPr="00C16C92" w:rsidRDefault="00DC41BD" w:rsidP="00C86B54">
            <w:pPr>
              <w:rPr>
                <w:rFonts w:asciiTheme="majorHAnsi" w:hAnsiTheme="majorHAnsi" w:cs="Arial"/>
                <w:color w:val="262626"/>
                <w:sz w:val="20"/>
                <w:szCs w:val="20"/>
              </w:rPr>
            </w:pPr>
          </w:p>
        </w:tc>
        <w:tc>
          <w:tcPr>
            <w:tcW w:w="1458" w:type="dxa"/>
          </w:tcPr>
          <w:p w14:paraId="1D527015" w14:textId="77777777" w:rsidR="007F2C4D" w:rsidRDefault="007F2C4D" w:rsidP="00C86B54">
            <w:pPr>
              <w:rPr>
                <w:rFonts w:asciiTheme="majorHAnsi" w:hAnsiTheme="majorHAnsi" w:cs="Arial"/>
                <w:color w:val="262626"/>
                <w:sz w:val="22"/>
                <w:szCs w:val="20"/>
              </w:rPr>
            </w:pPr>
          </w:p>
        </w:tc>
      </w:tr>
    </w:tbl>
    <w:p w14:paraId="36B373D1" w14:textId="77777777" w:rsidR="006168E3" w:rsidRDefault="006168E3" w:rsidP="006168E3">
      <w:pPr>
        <w:rPr>
          <w:rFonts w:asciiTheme="majorHAnsi" w:hAnsiTheme="majorHAnsi" w:cs="Arial"/>
          <w:color w:val="262626"/>
          <w:sz w:val="22"/>
          <w:szCs w:val="20"/>
        </w:rPr>
      </w:pPr>
    </w:p>
    <w:p w14:paraId="6930A253" w14:textId="140F19C2" w:rsidR="006168E3" w:rsidRDefault="006168E3" w:rsidP="006168E3">
      <w:pPr>
        <w:rPr>
          <w:rFonts w:asciiTheme="majorHAnsi" w:hAnsiTheme="majorHAnsi" w:cs="Arial"/>
          <w:color w:val="262626"/>
          <w:sz w:val="22"/>
          <w:szCs w:val="20"/>
        </w:rPr>
      </w:pPr>
      <w:r>
        <w:rPr>
          <w:rFonts w:asciiTheme="majorHAnsi" w:hAnsiTheme="majorHAnsi" w:cs="Arial"/>
          <w:color w:val="262626"/>
          <w:sz w:val="22"/>
          <w:szCs w:val="20"/>
        </w:rPr>
        <w:t xml:space="preserve">Drawing on the previous inventory documents and discussions in the CCWG, below is a table of </w:t>
      </w:r>
      <w:r>
        <w:rPr>
          <w:rFonts w:asciiTheme="majorHAnsi" w:hAnsiTheme="majorHAnsi" w:cs="Arial"/>
          <w:b/>
          <w:color w:val="262626"/>
          <w:sz w:val="22"/>
          <w:szCs w:val="20"/>
        </w:rPr>
        <w:t xml:space="preserve">possible new/revised </w:t>
      </w:r>
      <w:r w:rsidRPr="006168E3">
        <w:rPr>
          <w:rFonts w:asciiTheme="majorHAnsi" w:hAnsiTheme="majorHAnsi" w:cs="Arial"/>
          <w:b/>
          <w:color w:val="262626"/>
          <w:sz w:val="22"/>
          <w:szCs w:val="20"/>
        </w:rPr>
        <w:t xml:space="preserve">review and/or redress mechanisms.  </w:t>
      </w:r>
    </w:p>
    <w:p w14:paraId="7359F316" w14:textId="77777777" w:rsidR="00C86B54" w:rsidRPr="00C86B54" w:rsidRDefault="00C86B54" w:rsidP="00C86B54">
      <w:pPr>
        <w:rPr>
          <w:rFonts w:asciiTheme="majorHAnsi" w:hAnsiTheme="majorHAnsi"/>
          <w:sz w:val="22"/>
          <w:szCs w:val="22"/>
        </w:rPr>
      </w:pPr>
    </w:p>
    <w:tbl>
      <w:tblPr>
        <w:tblW w:w="9558" w:type="dxa"/>
        <w:tblBorders>
          <w:left w:val="nil"/>
          <w:right w:val="nil"/>
        </w:tblBorders>
        <w:tblLayout w:type="fixed"/>
        <w:tblLook w:val="0000" w:firstRow="0" w:lastRow="0" w:firstColumn="0" w:lastColumn="0" w:noHBand="0" w:noVBand="0"/>
      </w:tblPr>
      <w:tblGrid>
        <w:gridCol w:w="8118"/>
        <w:gridCol w:w="1440"/>
      </w:tblGrid>
      <w:tr w:rsidR="006168E3" w:rsidRPr="00CE3352" w14:paraId="11EE1745" w14:textId="77777777" w:rsidTr="006168E3">
        <w:trPr>
          <w:tblHeader/>
        </w:trPr>
        <w:tc>
          <w:tcPr>
            <w:tcW w:w="811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2CD9B19" w14:textId="77777777" w:rsidR="006168E3" w:rsidRPr="00CE3352" w:rsidRDefault="006168E3" w:rsidP="001C624E">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b/>
                <w:bCs/>
                <w:color w:val="262626"/>
                <w:sz w:val="20"/>
                <w:szCs w:val="20"/>
              </w:rPr>
              <w:t>Accountability Suggestions from public comments and posts</w:t>
            </w:r>
          </w:p>
        </w:tc>
        <w:tc>
          <w:tcPr>
            <w:tcW w:w="144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7917DD8" w14:textId="77777777" w:rsidR="006168E3" w:rsidRPr="00CE3352" w:rsidRDefault="006168E3" w:rsidP="00C86B54">
            <w:pPr>
              <w:widowControl w:val="0"/>
              <w:autoSpaceDE w:val="0"/>
              <w:autoSpaceDN w:val="0"/>
              <w:adjustRightInd w:val="0"/>
              <w:jc w:val="center"/>
              <w:rPr>
                <w:rFonts w:asciiTheme="majorHAnsi" w:hAnsiTheme="majorHAnsi" w:cs="Arial"/>
                <w:color w:val="262626"/>
                <w:sz w:val="20"/>
                <w:szCs w:val="20"/>
              </w:rPr>
            </w:pPr>
            <w:r w:rsidRPr="00CE3352">
              <w:rPr>
                <w:rFonts w:asciiTheme="majorHAnsi" w:hAnsiTheme="majorHAnsi" w:cs="Arial"/>
                <w:b/>
                <w:bCs/>
                <w:color w:val="262626"/>
                <w:sz w:val="20"/>
                <w:szCs w:val="20"/>
              </w:rPr>
              <w:t>WS</w:t>
            </w:r>
          </w:p>
        </w:tc>
      </w:tr>
      <w:tr w:rsidR="006168E3" w:rsidRPr="00CE3352" w14:paraId="1B8A53AF" w14:textId="77777777" w:rsidTr="006168E3">
        <w:tc>
          <w:tcPr>
            <w:tcW w:w="811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4750F58" w14:textId="502369A7" w:rsidR="006168E3" w:rsidRDefault="006168E3" w:rsidP="006168E3">
            <w:pPr>
              <w:widowControl w:val="0"/>
              <w:autoSpaceDE w:val="0"/>
              <w:autoSpaceDN w:val="0"/>
              <w:adjustRightInd w:val="0"/>
              <w:rPr>
                <w:rFonts w:asciiTheme="majorHAnsi" w:hAnsiTheme="majorHAnsi" w:cs="Arial"/>
                <w:color w:val="262626"/>
                <w:sz w:val="20"/>
                <w:szCs w:val="20"/>
              </w:rPr>
            </w:pPr>
          </w:p>
          <w:p w14:paraId="79DA8B6A" w14:textId="7BDE3DA2" w:rsidR="006168E3" w:rsidRDefault="006168E3" w:rsidP="006168E3">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Permanent ATRT Committee</w:t>
            </w:r>
            <w:r w:rsidR="00046168">
              <w:rPr>
                <w:rFonts w:asciiTheme="majorHAnsi" w:hAnsiTheme="majorHAnsi" w:cs="Arial"/>
                <w:color w:val="262626"/>
                <w:sz w:val="20"/>
                <w:szCs w:val="20"/>
              </w:rPr>
              <w:t xml:space="preserve"> and mechanism to ensure ATRT recommendations are timely implemented</w:t>
            </w:r>
          </w:p>
          <w:p w14:paraId="4C135CBA" w14:textId="011E4E73" w:rsidR="006168E3" w:rsidRPr="006168E3" w:rsidRDefault="006168E3" w:rsidP="006168E3">
            <w:pPr>
              <w:widowControl w:val="0"/>
              <w:autoSpaceDE w:val="0"/>
              <w:autoSpaceDN w:val="0"/>
              <w:adjustRightInd w:val="0"/>
              <w:rPr>
                <w:rFonts w:asciiTheme="majorHAnsi" w:hAnsiTheme="majorHAnsi" w:cs="Arial"/>
                <w:color w:val="262626"/>
                <w:sz w:val="20"/>
                <w:szCs w:val="20"/>
              </w:rPr>
            </w:pPr>
          </w:p>
        </w:tc>
        <w:tc>
          <w:tcPr>
            <w:tcW w:w="144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CFEB005" w14:textId="77777777" w:rsidR="006168E3" w:rsidRPr="00CE3352" w:rsidRDefault="006168E3" w:rsidP="001C624E">
            <w:pPr>
              <w:widowControl w:val="0"/>
              <w:autoSpaceDE w:val="0"/>
              <w:autoSpaceDN w:val="0"/>
              <w:adjustRightInd w:val="0"/>
              <w:jc w:val="center"/>
              <w:rPr>
                <w:rFonts w:asciiTheme="majorHAnsi" w:hAnsiTheme="majorHAnsi" w:cs="Arial"/>
                <w:color w:val="262626"/>
                <w:sz w:val="20"/>
                <w:szCs w:val="20"/>
              </w:rPr>
            </w:pPr>
            <w:r w:rsidRPr="00CE3352">
              <w:rPr>
                <w:rFonts w:asciiTheme="majorHAnsi" w:hAnsiTheme="majorHAnsi" w:cs="Arial"/>
                <w:color w:val="262626"/>
                <w:sz w:val="20"/>
                <w:szCs w:val="20"/>
              </w:rPr>
              <w:t>WS1</w:t>
            </w:r>
          </w:p>
        </w:tc>
      </w:tr>
      <w:tr w:rsidR="006168E3" w:rsidRPr="00CE3352" w14:paraId="7B698058" w14:textId="77777777" w:rsidTr="006168E3">
        <w:tc>
          <w:tcPr>
            <w:tcW w:w="811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79990727" w14:textId="77777777" w:rsidR="006168E3" w:rsidRDefault="006168E3" w:rsidP="006168E3">
            <w:pPr>
              <w:widowControl w:val="0"/>
              <w:autoSpaceDE w:val="0"/>
              <w:autoSpaceDN w:val="0"/>
              <w:adjustRightInd w:val="0"/>
              <w:rPr>
                <w:rFonts w:asciiTheme="majorHAnsi" w:hAnsiTheme="majorHAnsi" w:cs="Arial"/>
                <w:color w:val="262626"/>
                <w:sz w:val="20"/>
                <w:szCs w:val="20"/>
              </w:rPr>
            </w:pPr>
          </w:p>
          <w:p w14:paraId="4CE9D120" w14:textId="5924FD1F" w:rsidR="006168E3" w:rsidRDefault="006168E3" w:rsidP="006168E3">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P</w:t>
            </w:r>
            <w:r w:rsidRPr="00CE3352">
              <w:rPr>
                <w:rFonts w:asciiTheme="majorHAnsi" w:hAnsiTheme="majorHAnsi" w:cs="Arial"/>
                <w:color w:val="262626"/>
                <w:sz w:val="20"/>
                <w:szCs w:val="20"/>
              </w:rPr>
              <w:t xml:space="preserve">ermanent cross-community </w:t>
            </w:r>
            <w:r w:rsidR="001C624E">
              <w:rPr>
                <w:rFonts w:asciiTheme="majorHAnsi" w:hAnsiTheme="majorHAnsi" w:cs="Arial"/>
                <w:color w:val="262626"/>
                <w:sz w:val="20"/>
                <w:szCs w:val="20"/>
              </w:rPr>
              <w:t>working group, Members, or Delegates</w:t>
            </w:r>
            <w:r w:rsidRPr="00CE3352">
              <w:rPr>
                <w:rFonts w:asciiTheme="majorHAnsi" w:hAnsiTheme="majorHAnsi" w:cs="Arial"/>
                <w:color w:val="262626"/>
                <w:sz w:val="20"/>
                <w:szCs w:val="20"/>
              </w:rPr>
              <w:t xml:space="preserve"> (ALAC, ccNSO, GAC, SSAC, NRO, RSSAC, IETF, ASO, and each Constituency) with authority </w:t>
            </w:r>
            <w:r>
              <w:rPr>
                <w:rFonts w:asciiTheme="majorHAnsi" w:hAnsiTheme="majorHAnsi" w:cs="Arial"/>
                <w:color w:val="262626"/>
                <w:sz w:val="20"/>
                <w:szCs w:val="20"/>
              </w:rPr>
              <w:t>to</w:t>
            </w:r>
            <w:r w:rsidRPr="00CE3352">
              <w:rPr>
                <w:rFonts w:asciiTheme="majorHAnsi" w:hAnsiTheme="majorHAnsi" w:cs="Arial"/>
                <w:color w:val="262626"/>
                <w:sz w:val="20"/>
                <w:szCs w:val="20"/>
              </w:rPr>
              <w:t>:</w:t>
            </w:r>
          </w:p>
          <w:p w14:paraId="25B5387D" w14:textId="1A7344A7" w:rsidR="006168E3" w:rsidRDefault="006168E3" w:rsidP="006168E3">
            <w:pPr>
              <w:pStyle w:val="ListParagraph"/>
              <w:widowControl w:val="0"/>
              <w:numPr>
                <w:ilvl w:val="0"/>
                <w:numId w:val="13"/>
              </w:numPr>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A</w:t>
            </w:r>
            <w:r w:rsidRPr="006168E3">
              <w:rPr>
                <w:rFonts w:asciiTheme="majorHAnsi" w:hAnsiTheme="majorHAnsi" w:cs="Arial"/>
                <w:color w:val="262626"/>
                <w:sz w:val="20"/>
                <w:szCs w:val="20"/>
              </w:rPr>
              <w:t xml:space="preserve">ppoint ATRT team </w:t>
            </w:r>
            <w:r>
              <w:rPr>
                <w:rFonts w:asciiTheme="majorHAnsi" w:hAnsiTheme="majorHAnsi" w:cs="Arial"/>
                <w:color w:val="262626"/>
                <w:sz w:val="20"/>
                <w:szCs w:val="20"/>
              </w:rPr>
              <w:t>members;</w:t>
            </w:r>
          </w:p>
          <w:p w14:paraId="0AAA8310" w14:textId="77777777" w:rsidR="006168E3" w:rsidRDefault="006168E3" w:rsidP="006168E3">
            <w:pPr>
              <w:pStyle w:val="ListParagraph"/>
              <w:widowControl w:val="0"/>
              <w:numPr>
                <w:ilvl w:val="0"/>
                <w:numId w:val="13"/>
              </w:numPr>
              <w:autoSpaceDE w:val="0"/>
              <w:autoSpaceDN w:val="0"/>
              <w:adjustRightInd w:val="0"/>
              <w:rPr>
                <w:rFonts w:asciiTheme="majorHAnsi" w:hAnsiTheme="majorHAnsi" w:cs="Arial"/>
                <w:color w:val="262626"/>
                <w:sz w:val="20"/>
                <w:szCs w:val="20"/>
              </w:rPr>
            </w:pPr>
            <w:r w:rsidRPr="006168E3">
              <w:rPr>
                <w:rFonts w:asciiTheme="majorHAnsi" w:hAnsiTheme="majorHAnsi" w:cs="Arial"/>
                <w:color w:val="262626"/>
                <w:sz w:val="20"/>
                <w:szCs w:val="20"/>
              </w:rPr>
              <w:t>Review any board decision.  Non-approval would send decision back to bottom-up policy development process.  (Members could not revise bottom-up recommendations)</w:t>
            </w:r>
          </w:p>
          <w:p w14:paraId="7E13AA6C" w14:textId="77777777" w:rsidR="006168E3" w:rsidRDefault="006168E3" w:rsidP="004F6A9D">
            <w:pPr>
              <w:pStyle w:val="ListParagraph"/>
              <w:widowControl w:val="0"/>
              <w:numPr>
                <w:ilvl w:val="0"/>
                <w:numId w:val="13"/>
              </w:numPr>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Refer any board decision to a [binding]</w:t>
            </w:r>
            <w:r w:rsidRPr="00CE3352">
              <w:rPr>
                <w:rFonts w:asciiTheme="majorHAnsi" w:hAnsiTheme="majorHAnsi" w:cs="Arial"/>
                <w:color w:val="262626"/>
                <w:sz w:val="20"/>
                <w:szCs w:val="20"/>
              </w:rPr>
              <w:t xml:space="preserve"> </w:t>
            </w:r>
            <w:r w:rsidRPr="00CE3352">
              <w:rPr>
                <w:rFonts w:asciiTheme="majorHAnsi" w:hAnsiTheme="majorHAnsi" w:cs="Arial"/>
                <w:color w:val="262626"/>
                <w:sz w:val="20"/>
                <w:szCs w:val="20"/>
                <w:u w:val="single"/>
              </w:rPr>
              <w:t>independent</w:t>
            </w:r>
            <w:r w:rsidRPr="00CE3352">
              <w:rPr>
                <w:rFonts w:asciiTheme="majorHAnsi" w:hAnsiTheme="majorHAnsi" w:cs="Arial"/>
                <w:color w:val="262626"/>
                <w:sz w:val="20"/>
                <w:szCs w:val="20"/>
              </w:rPr>
              <w:t xml:space="preserve"> review panel.  </w:t>
            </w:r>
          </w:p>
          <w:p w14:paraId="0DEECFE5" w14:textId="77777777" w:rsidR="004F6A9D" w:rsidRDefault="004F6A9D" w:rsidP="004F6A9D">
            <w:pPr>
              <w:pStyle w:val="ListParagraph"/>
              <w:widowControl w:val="0"/>
              <w:numPr>
                <w:ilvl w:val="0"/>
                <w:numId w:val="13"/>
              </w:numPr>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Approve changes to ICA</w:t>
            </w:r>
            <w:r>
              <w:rPr>
                <w:rFonts w:asciiTheme="majorHAnsi" w:hAnsiTheme="majorHAnsi" w:cs="Arial"/>
                <w:color w:val="262626"/>
                <w:sz w:val="20"/>
                <w:szCs w:val="20"/>
              </w:rPr>
              <w:t>NN bylaws or Articles, with super</w:t>
            </w:r>
            <w:r w:rsidRPr="00CE3352">
              <w:rPr>
                <w:rFonts w:asciiTheme="majorHAnsi" w:hAnsiTheme="majorHAnsi" w:cs="Arial"/>
                <w:color w:val="262626"/>
                <w:sz w:val="20"/>
                <w:szCs w:val="20"/>
              </w:rPr>
              <w:t>majority</w:t>
            </w:r>
            <w:r>
              <w:rPr>
                <w:rFonts w:asciiTheme="majorHAnsi" w:hAnsiTheme="majorHAnsi" w:cs="Arial"/>
                <w:color w:val="262626"/>
                <w:sz w:val="20"/>
                <w:szCs w:val="20"/>
              </w:rPr>
              <w:t>. (Members could not revise changes)</w:t>
            </w:r>
          </w:p>
          <w:p w14:paraId="06914E7B" w14:textId="77777777" w:rsidR="004F6A9D" w:rsidRDefault="004F6A9D" w:rsidP="004F6A9D">
            <w:pPr>
              <w:pStyle w:val="ListParagraph"/>
              <w:widowControl w:val="0"/>
              <w:numPr>
                <w:ilvl w:val="0"/>
                <w:numId w:val="13"/>
              </w:numPr>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Approve annual proposed ICANN budget [vote threshold?]</w:t>
            </w:r>
            <w:r>
              <w:rPr>
                <w:rFonts w:asciiTheme="majorHAnsi" w:hAnsiTheme="majorHAnsi" w:cs="Arial"/>
                <w:color w:val="262626"/>
                <w:sz w:val="20"/>
                <w:szCs w:val="20"/>
              </w:rPr>
              <w:t xml:space="preserve"> (members could not make line-item changes)</w:t>
            </w:r>
          </w:p>
          <w:p w14:paraId="0AC1FC6C" w14:textId="77777777" w:rsidR="004F6A9D" w:rsidRDefault="004F6A9D" w:rsidP="004F6A9D">
            <w:pPr>
              <w:pStyle w:val="ListParagraph"/>
              <w:widowControl w:val="0"/>
              <w:numPr>
                <w:ilvl w:val="0"/>
                <w:numId w:val="13"/>
              </w:numPr>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Recall one or all ICANN Board members [vote threshold?]</w:t>
            </w:r>
          </w:p>
          <w:p w14:paraId="24B93459" w14:textId="0F7C85E0" w:rsidR="001C624E" w:rsidRPr="006168E3" w:rsidRDefault="001C624E" w:rsidP="001C624E">
            <w:pPr>
              <w:pStyle w:val="ListParagraph"/>
              <w:widowControl w:val="0"/>
              <w:autoSpaceDE w:val="0"/>
              <w:autoSpaceDN w:val="0"/>
              <w:adjustRightInd w:val="0"/>
              <w:ind w:left="360"/>
              <w:rPr>
                <w:rFonts w:asciiTheme="majorHAnsi" w:hAnsiTheme="majorHAnsi" w:cs="Arial"/>
                <w:color w:val="262626"/>
                <w:sz w:val="20"/>
                <w:szCs w:val="20"/>
              </w:rPr>
            </w:pPr>
          </w:p>
        </w:tc>
        <w:tc>
          <w:tcPr>
            <w:tcW w:w="144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E322AF5" w14:textId="77777777" w:rsidR="006168E3" w:rsidRPr="00CE3352" w:rsidRDefault="006168E3" w:rsidP="001C624E">
            <w:pPr>
              <w:widowControl w:val="0"/>
              <w:autoSpaceDE w:val="0"/>
              <w:autoSpaceDN w:val="0"/>
              <w:adjustRightInd w:val="0"/>
              <w:jc w:val="center"/>
              <w:rPr>
                <w:rFonts w:asciiTheme="majorHAnsi" w:hAnsiTheme="majorHAnsi" w:cs="Arial"/>
                <w:color w:val="262626"/>
                <w:sz w:val="20"/>
                <w:szCs w:val="20"/>
              </w:rPr>
            </w:pPr>
            <w:r w:rsidRPr="00CE3352">
              <w:rPr>
                <w:rFonts w:asciiTheme="majorHAnsi" w:hAnsiTheme="majorHAnsi" w:cs="Arial"/>
                <w:color w:val="262626"/>
                <w:sz w:val="20"/>
                <w:szCs w:val="20"/>
              </w:rPr>
              <w:t>WS1</w:t>
            </w:r>
          </w:p>
        </w:tc>
      </w:tr>
      <w:tr w:rsidR="006168E3" w:rsidRPr="00CE3352" w14:paraId="252685A8" w14:textId="77777777" w:rsidTr="006168E3">
        <w:tc>
          <w:tcPr>
            <w:tcW w:w="811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72896E7" w14:textId="77777777" w:rsidR="004F6A9D" w:rsidRDefault="004F6A9D" w:rsidP="00C86B54">
            <w:pPr>
              <w:widowControl w:val="0"/>
              <w:autoSpaceDE w:val="0"/>
              <w:autoSpaceDN w:val="0"/>
              <w:adjustRightInd w:val="0"/>
              <w:rPr>
                <w:rFonts w:asciiTheme="majorHAnsi" w:hAnsiTheme="majorHAnsi" w:cs="Arial"/>
                <w:color w:val="262626"/>
                <w:sz w:val="20"/>
                <w:szCs w:val="20"/>
              </w:rPr>
            </w:pPr>
          </w:p>
          <w:p w14:paraId="2B31DC0F" w14:textId="77777777" w:rsidR="006168E3" w:rsidRDefault="006168E3" w:rsidP="00C86B54">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Change bylaws for Reconsideration Process: trigger when board acts arbitrarily or capriciously; decisions subject to Independent Review</w:t>
            </w:r>
          </w:p>
          <w:p w14:paraId="2FC8D86D" w14:textId="77777777" w:rsidR="004F6A9D" w:rsidRPr="00CE3352" w:rsidRDefault="004F6A9D" w:rsidP="00C86B54">
            <w:pPr>
              <w:widowControl w:val="0"/>
              <w:autoSpaceDE w:val="0"/>
              <w:autoSpaceDN w:val="0"/>
              <w:adjustRightInd w:val="0"/>
              <w:rPr>
                <w:rFonts w:asciiTheme="majorHAnsi" w:hAnsiTheme="majorHAnsi" w:cs="Arial"/>
                <w:color w:val="262626"/>
                <w:sz w:val="20"/>
                <w:szCs w:val="20"/>
              </w:rPr>
            </w:pPr>
          </w:p>
        </w:tc>
        <w:tc>
          <w:tcPr>
            <w:tcW w:w="144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E204242" w14:textId="77777777" w:rsidR="006168E3" w:rsidRPr="00CE3352" w:rsidRDefault="006168E3" w:rsidP="001C624E">
            <w:pPr>
              <w:widowControl w:val="0"/>
              <w:autoSpaceDE w:val="0"/>
              <w:autoSpaceDN w:val="0"/>
              <w:adjustRightInd w:val="0"/>
              <w:jc w:val="center"/>
              <w:rPr>
                <w:rFonts w:asciiTheme="majorHAnsi" w:hAnsiTheme="majorHAnsi" w:cs="Arial"/>
                <w:color w:val="262626"/>
                <w:sz w:val="20"/>
                <w:szCs w:val="20"/>
              </w:rPr>
            </w:pPr>
            <w:r w:rsidRPr="00CE3352">
              <w:rPr>
                <w:rFonts w:asciiTheme="majorHAnsi" w:hAnsiTheme="majorHAnsi" w:cs="Arial"/>
                <w:color w:val="262626"/>
                <w:sz w:val="20"/>
                <w:szCs w:val="20"/>
              </w:rPr>
              <w:t>WS1</w:t>
            </w:r>
          </w:p>
        </w:tc>
      </w:tr>
      <w:tr w:rsidR="006168E3" w:rsidRPr="00CE3352" w14:paraId="4F65FCE1" w14:textId="77777777" w:rsidTr="006168E3">
        <w:tc>
          <w:tcPr>
            <w:tcW w:w="811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2D3F182" w14:textId="5970E996" w:rsidR="004F6A9D" w:rsidRDefault="004F6A9D" w:rsidP="00C86B54">
            <w:pPr>
              <w:widowControl w:val="0"/>
              <w:autoSpaceDE w:val="0"/>
              <w:autoSpaceDN w:val="0"/>
              <w:adjustRightInd w:val="0"/>
              <w:rPr>
                <w:rFonts w:asciiTheme="majorHAnsi" w:hAnsiTheme="majorHAnsi" w:cs="Arial"/>
                <w:color w:val="262626"/>
                <w:sz w:val="20"/>
                <w:szCs w:val="20"/>
              </w:rPr>
            </w:pPr>
          </w:p>
          <w:p w14:paraId="57A7BB09" w14:textId="77777777" w:rsidR="00046168" w:rsidRDefault="00046168" w:rsidP="00C86B54">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Enhance IRP</w:t>
            </w:r>
          </w:p>
          <w:p w14:paraId="69304A4A" w14:textId="77777777" w:rsidR="00046168" w:rsidRDefault="00046168" w:rsidP="00046168">
            <w:pPr>
              <w:pStyle w:val="ListParagraph"/>
              <w:widowControl w:val="0"/>
              <w:numPr>
                <w:ilvl w:val="0"/>
                <w:numId w:val="16"/>
              </w:numPr>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Standing, independent panel</w:t>
            </w:r>
          </w:p>
          <w:p w14:paraId="7967B6EE" w14:textId="77777777" w:rsidR="00046168" w:rsidRDefault="00046168" w:rsidP="00046168">
            <w:pPr>
              <w:pStyle w:val="ListParagraph"/>
              <w:widowControl w:val="0"/>
              <w:numPr>
                <w:ilvl w:val="0"/>
                <w:numId w:val="16"/>
              </w:numPr>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Expand scope of IRP review</w:t>
            </w:r>
          </w:p>
          <w:p w14:paraId="602FD248" w14:textId="77777777" w:rsidR="00046168" w:rsidRDefault="00046168" w:rsidP="00046168">
            <w:pPr>
              <w:pStyle w:val="ListParagraph"/>
              <w:widowControl w:val="0"/>
              <w:numPr>
                <w:ilvl w:val="0"/>
                <w:numId w:val="16"/>
              </w:numPr>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Reduce IRP standard of review</w:t>
            </w:r>
          </w:p>
          <w:p w14:paraId="525D1EBC" w14:textId="77777777" w:rsidR="00046168" w:rsidRDefault="00046168" w:rsidP="00046168">
            <w:pPr>
              <w:pStyle w:val="ListParagraph"/>
              <w:widowControl w:val="0"/>
              <w:numPr>
                <w:ilvl w:val="0"/>
                <w:numId w:val="16"/>
              </w:numPr>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Ensure IRP is accessible (cost)</w:t>
            </w:r>
          </w:p>
          <w:p w14:paraId="07E4DBB3" w14:textId="5D856296" w:rsidR="006168E3" w:rsidRPr="00046168" w:rsidRDefault="00046168" w:rsidP="00046168">
            <w:pPr>
              <w:pStyle w:val="ListParagraph"/>
              <w:widowControl w:val="0"/>
              <w:numPr>
                <w:ilvl w:val="0"/>
                <w:numId w:val="16"/>
              </w:numPr>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 xml:space="preserve">Make </w:t>
            </w:r>
            <w:r w:rsidR="006168E3" w:rsidRPr="00046168">
              <w:rPr>
                <w:rFonts w:asciiTheme="majorHAnsi" w:hAnsiTheme="majorHAnsi" w:cs="Arial"/>
                <w:color w:val="262626"/>
                <w:sz w:val="20"/>
                <w:szCs w:val="20"/>
              </w:rPr>
              <w:t xml:space="preserve">IRP’s decisions </w:t>
            </w:r>
            <w:r>
              <w:rPr>
                <w:rFonts w:asciiTheme="majorHAnsi" w:hAnsiTheme="majorHAnsi" w:cs="Arial"/>
                <w:color w:val="262626"/>
                <w:sz w:val="20"/>
                <w:szCs w:val="20"/>
              </w:rPr>
              <w:t>binding</w:t>
            </w:r>
            <w:r w:rsidR="006168E3" w:rsidRPr="00046168">
              <w:rPr>
                <w:rFonts w:asciiTheme="majorHAnsi" w:hAnsiTheme="majorHAnsi" w:cs="Arial"/>
                <w:color w:val="262626"/>
                <w:sz w:val="20"/>
                <w:szCs w:val="20"/>
              </w:rPr>
              <w:t xml:space="preserve">  </w:t>
            </w:r>
          </w:p>
          <w:p w14:paraId="51E241FE" w14:textId="77777777" w:rsidR="004F6A9D" w:rsidRPr="00CE3352" w:rsidRDefault="004F6A9D" w:rsidP="00C86B54">
            <w:pPr>
              <w:widowControl w:val="0"/>
              <w:autoSpaceDE w:val="0"/>
              <w:autoSpaceDN w:val="0"/>
              <w:adjustRightInd w:val="0"/>
              <w:rPr>
                <w:rFonts w:asciiTheme="majorHAnsi" w:hAnsiTheme="majorHAnsi" w:cs="Arial"/>
                <w:color w:val="262626"/>
                <w:sz w:val="20"/>
                <w:szCs w:val="20"/>
              </w:rPr>
            </w:pPr>
          </w:p>
        </w:tc>
        <w:tc>
          <w:tcPr>
            <w:tcW w:w="144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D7B65E3" w14:textId="77777777" w:rsidR="006168E3" w:rsidRPr="00CE3352" w:rsidRDefault="006168E3" w:rsidP="001C624E">
            <w:pPr>
              <w:widowControl w:val="0"/>
              <w:autoSpaceDE w:val="0"/>
              <w:autoSpaceDN w:val="0"/>
              <w:adjustRightInd w:val="0"/>
              <w:jc w:val="center"/>
              <w:rPr>
                <w:rFonts w:asciiTheme="majorHAnsi" w:hAnsiTheme="majorHAnsi" w:cs="Arial"/>
                <w:color w:val="262626"/>
                <w:sz w:val="20"/>
                <w:szCs w:val="20"/>
              </w:rPr>
            </w:pPr>
            <w:r>
              <w:rPr>
                <w:rFonts w:asciiTheme="majorHAnsi" w:hAnsiTheme="majorHAnsi" w:cs="Arial"/>
                <w:color w:val="262626"/>
                <w:sz w:val="20"/>
                <w:szCs w:val="20"/>
              </w:rPr>
              <w:t>WS1</w:t>
            </w:r>
          </w:p>
        </w:tc>
      </w:tr>
      <w:tr w:rsidR="006168E3" w:rsidRPr="00CE3352" w14:paraId="4B4D60C8" w14:textId="77777777" w:rsidTr="006168E3">
        <w:tc>
          <w:tcPr>
            <w:tcW w:w="811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5EF4CB2" w14:textId="77777777" w:rsidR="004F6A9D" w:rsidRDefault="004F6A9D" w:rsidP="00C86B54">
            <w:pPr>
              <w:widowControl w:val="0"/>
              <w:autoSpaceDE w:val="0"/>
              <w:autoSpaceDN w:val="0"/>
              <w:adjustRightInd w:val="0"/>
              <w:rPr>
                <w:rFonts w:asciiTheme="majorHAnsi" w:hAnsiTheme="majorHAnsi" w:cs="Arial"/>
                <w:color w:val="262626"/>
                <w:sz w:val="20"/>
                <w:szCs w:val="20"/>
              </w:rPr>
            </w:pPr>
          </w:p>
          <w:p w14:paraId="585E3336" w14:textId="77777777" w:rsidR="006168E3" w:rsidRDefault="006168E3" w:rsidP="00C86B54">
            <w:pPr>
              <w:widowControl w:val="0"/>
              <w:autoSpaceDE w:val="0"/>
              <w:autoSpaceDN w:val="0"/>
              <w:adjustRightInd w:val="0"/>
              <w:rPr>
                <w:rFonts w:asciiTheme="majorHAnsi" w:hAnsiTheme="majorHAnsi" w:cs="Arial"/>
                <w:color w:val="262626"/>
                <w:sz w:val="20"/>
                <w:szCs w:val="20"/>
              </w:rPr>
            </w:pPr>
            <w:r w:rsidRPr="00382481">
              <w:rPr>
                <w:rFonts w:asciiTheme="majorHAnsi" w:hAnsiTheme="majorHAnsi" w:cs="Arial"/>
                <w:color w:val="262626"/>
                <w:sz w:val="20"/>
                <w:szCs w:val="20"/>
              </w:rPr>
              <w:t>Create an Accountability Contract between ICANN and Registries, Registrars, and Registrants.</w:t>
            </w:r>
            <w:r>
              <w:rPr>
                <w:rFonts w:asciiTheme="majorHAnsi" w:hAnsiTheme="majorHAnsi" w:cs="Arial"/>
                <w:color w:val="262626"/>
                <w:sz w:val="20"/>
                <w:szCs w:val="20"/>
              </w:rPr>
              <w:t xml:space="preserve"> </w:t>
            </w:r>
            <w:r w:rsidRPr="00382481">
              <w:rPr>
                <w:rFonts w:asciiTheme="majorHAnsi" w:hAnsiTheme="majorHAnsi" w:cs="Arial"/>
                <w:color w:val="262626"/>
                <w:sz w:val="20"/>
                <w:szCs w:val="20"/>
              </w:rPr>
              <w:t>Contract lets ICANN impose rules on others only when supported by consensus of affected parties and necessary to protect operation of the DNS.  Disputes go to independent arbitration panel that could issue binding decisions.</w:t>
            </w:r>
          </w:p>
          <w:p w14:paraId="75C82981" w14:textId="77777777" w:rsidR="004F6A9D" w:rsidRPr="00CE3352" w:rsidRDefault="004F6A9D" w:rsidP="00C86B54">
            <w:pPr>
              <w:widowControl w:val="0"/>
              <w:autoSpaceDE w:val="0"/>
              <w:autoSpaceDN w:val="0"/>
              <w:adjustRightInd w:val="0"/>
              <w:rPr>
                <w:rFonts w:asciiTheme="majorHAnsi" w:hAnsiTheme="majorHAnsi" w:cs="Arial"/>
                <w:color w:val="262626"/>
                <w:sz w:val="20"/>
                <w:szCs w:val="20"/>
              </w:rPr>
            </w:pPr>
          </w:p>
        </w:tc>
        <w:tc>
          <w:tcPr>
            <w:tcW w:w="144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73E8DEE" w14:textId="77777777" w:rsidR="006168E3" w:rsidRPr="00CE3352" w:rsidRDefault="006168E3" w:rsidP="001C624E">
            <w:pPr>
              <w:widowControl w:val="0"/>
              <w:autoSpaceDE w:val="0"/>
              <w:autoSpaceDN w:val="0"/>
              <w:adjustRightInd w:val="0"/>
              <w:jc w:val="center"/>
              <w:rPr>
                <w:rFonts w:asciiTheme="majorHAnsi" w:hAnsiTheme="majorHAnsi" w:cs="Arial"/>
                <w:color w:val="262626"/>
                <w:sz w:val="20"/>
                <w:szCs w:val="20"/>
              </w:rPr>
            </w:pPr>
            <w:r w:rsidRPr="00CE3352">
              <w:rPr>
                <w:rFonts w:asciiTheme="majorHAnsi" w:hAnsiTheme="majorHAnsi" w:cs="Arial"/>
                <w:color w:val="262626"/>
                <w:sz w:val="20"/>
                <w:szCs w:val="20"/>
              </w:rPr>
              <w:t>WS1</w:t>
            </w:r>
          </w:p>
        </w:tc>
      </w:tr>
      <w:tr w:rsidR="006168E3" w:rsidRPr="00CE3352" w14:paraId="1F60BA4C" w14:textId="77777777" w:rsidTr="006168E3">
        <w:tc>
          <w:tcPr>
            <w:tcW w:w="811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8D75104" w14:textId="77777777" w:rsidR="001C624E" w:rsidRDefault="001C624E" w:rsidP="00C86B54">
            <w:pPr>
              <w:widowControl w:val="0"/>
              <w:autoSpaceDE w:val="0"/>
              <w:autoSpaceDN w:val="0"/>
              <w:adjustRightInd w:val="0"/>
              <w:rPr>
                <w:rFonts w:asciiTheme="majorHAnsi" w:hAnsiTheme="majorHAnsi" w:cs="Arial"/>
                <w:color w:val="262626"/>
                <w:sz w:val="20"/>
                <w:szCs w:val="20"/>
              </w:rPr>
            </w:pPr>
          </w:p>
          <w:p w14:paraId="074BD701" w14:textId="77777777" w:rsidR="006168E3" w:rsidRDefault="006168E3" w:rsidP="00C86B54">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 xml:space="preserve">Replace </w:t>
            </w:r>
            <w:r w:rsidRPr="00CE3352">
              <w:rPr>
                <w:rFonts w:asciiTheme="majorHAnsi" w:hAnsiTheme="majorHAnsi" w:cs="Arial"/>
                <w:i/>
                <w:iCs/>
                <w:color w:val="262626"/>
                <w:sz w:val="20"/>
                <w:szCs w:val="20"/>
              </w:rPr>
              <w:t>Affirmation</w:t>
            </w:r>
            <w:r w:rsidRPr="00CE3352">
              <w:rPr>
                <w:rFonts w:asciiTheme="majorHAnsi" w:hAnsiTheme="majorHAnsi" w:cs="Arial"/>
                <w:color w:val="262626"/>
                <w:sz w:val="20"/>
                <w:szCs w:val="20"/>
              </w:rPr>
              <w:t xml:space="preserve"> with accountability contract between ICANN and ‘Contract Co.’</w:t>
            </w:r>
          </w:p>
          <w:p w14:paraId="7286B02B" w14:textId="77777777" w:rsidR="001C624E" w:rsidRPr="00CE3352" w:rsidRDefault="001C624E" w:rsidP="00C86B54">
            <w:pPr>
              <w:widowControl w:val="0"/>
              <w:autoSpaceDE w:val="0"/>
              <w:autoSpaceDN w:val="0"/>
              <w:adjustRightInd w:val="0"/>
              <w:rPr>
                <w:rFonts w:asciiTheme="majorHAnsi" w:hAnsiTheme="majorHAnsi" w:cs="Arial"/>
                <w:color w:val="262626"/>
                <w:sz w:val="20"/>
                <w:szCs w:val="20"/>
              </w:rPr>
            </w:pPr>
          </w:p>
        </w:tc>
        <w:tc>
          <w:tcPr>
            <w:tcW w:w="144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098A30F" w14:textId="77777777" w:rsidR="006168E3" w:rsidRPr="00CE3352" w:rsidRDefault="006168E3" w:rsidP="001C624E">
            <w:pPr>
              <w:widowControl w:val="0"/>
              <w:autoSpaceDE w:val="0"/>
              <w:autoSpaceDN w:val="0"/>
              <w:adjustRightInd w:val="0"/>
              <w:jc w:val="center"/>
              <w:rPr>
                <w:rFonts w:asciiTheme="majorHAnsi" w:hAnsiTheme="majorHAnsi" w:cs="Arial"/>
                <w:color w:val="262626"/>
                <w:sz w:val="20"/>
                <w:szCs w:val="20"/>
              </w:rPr>
            </w:pPr>
            <w:r w:rsidRPr="00CE3352">
              <w:rPr>
                <w:rFonts w:asciiTheme="majorHAnsi" w:hAnsiTheme="majorHAnsi" w:cs="Arial"/>
                <w:color w:val="262626"/>
                <w:sz w:val="20"/>
                <w:szCs w:val="20"/>
              </w:rPr>
              <w:t>WS1</w:t>
            </w:r>
          </w:p>
          <w:p w14:paraId="7AB419AA" w14:textId="44D60655" w:rsidR="006168E3" w:rsidRPr="00CE3352" w:rsidRDefault="006168E3" w:rsidP="001C624E">
            <w:pPr>
              <w:widowControl w:val="0"/>
              <w:autoSpaceDE w:val="0"/>
              <w:autoSpaceDN w:val="0"/>
              <w:adjustRightInd w:val="0"/>
              <w:jc w:val="center"/>
              <w:rPr>
                <w:rFonts w:asciiTheme="majorHAnsi" w:hAnsiTheme="majorHAnsi" w:cs="Arial"/>
                <w:color w:val="262626"/>
                <w:sz w:val="20"/>
                <w:szCs w:val="20"/>
              </w:rPr>
            </w:pPr>
          </w:p>
        </w:tc>
      </w:tr>
      <w:tr w:rsidR="006168E3" w:rsidRPr="00CE3352" w14:paraId="113B7AB3" w14:textId="77777777" w:rsidTr="006168E3">
        <w:tblPrEx>
          <w:tblBorders>
            <w:top w:val="nil"/>
          </w:tblBorders>
        </w:tblPrEx>
        <w:tc>
          <w:tcPr>
            <w:tcW w:w="811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383FEF5" w14:textId="77777777" w:rsidR="001C624E" w:rsidRDefault="001C624E" w:rsidP="00C86B54">
            <w:pPr>
              <w:widowControl w:val="0"/>
              <w:autoSpaceDE w:val="0"/>
              <w:autoSpaceDN w:val="0"/>
              <w:adjustRightInd w:val="0"/>
              <w:rPr>
                <w:rFonts w:asciiTheme="majorHAnsi" w:hAnsiTheme="majorHAnsi" w:cs="Arial"/>
                <w:color w:val="262626"/>
                <w:sz w:val="20"/>
                <w:szCs w:val="20"/>
              </w:rPr>
            </w:pPr>
          </w:p>
          <w:p w14:paraId="79D8BC51" w14:textId="17EF6FFB" w:rsidR="006168E3" w:rsidRDefault="006168E3" w:rsidP="00C86B54">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 xml:space="preserve">Independent Appeals Panel for contested </w:t>
            </w:r>
            <w:r w:rsidR="004F6A9D">
              <w:rPr>
                <w:rFonts w:asciiTheme="majorHAnsi" w:hAnsiTheme="majorHAnsi" w:cs="Arial"/>
                <w:color w:val="262626"/>
                <w:sz w:val="20"/>
                <w:szCs w:val="20"/>
              </w:rPr>
              <w:t>delegations, transfers, revocations,</w:t>
            </w:r>
            <w:r w:rsidR="00046168">
              <w:rPr>
                <w:rFonts w:asciiTheme="majorHAnsi" w:hAnsiTheme="majorHAnsi" w:cs="Arial"/>
                <w:color w:val="262626"/>
                <w:sz w:val="20"/>
                <w:szCs w:val="20"/>
              </w:rPr>
              <w:t xml:space="preserve"> </w:t>
            </w:r>
            <w:r w:rsidRPr="00CE3352">
              <w:rPr>
                <w:rFonts w:asciiTheme="majorHAnsi" w:hAnsiTheme="majorHAnsi" w:cs="Arial"/>
                <w:color w:val="262626"/>
                <w:sz w:val="20"/>
                <w:szCs w:val="20"/>
              </w:rPr>
              <w:t>root zone changes &amp; WHOIS</w:t>
            </w:r>
          </w:p>
          <w:p w14:paraId="41EFA84A" w14:textId="76C58D55" w:rsidR="001C624E" w:rsidRPr="00CE3352" w:rsidRDefault="001C624E" w:rsidP="00C86B54">
            <w:pPr>
              <w:widowControl w:val="0"/>
              <w:autoSpaceDE w:val="0"/>
              <w:autoSpaceDN w:val="0"/>
              <w:adjustRightInd w:val="0"/>
              <w:rPr>
                <w:rFonts w:asciiTheme="majorHAnsi" w:hAnsiTheme="majorHAnsi" w:cs="Arial"/>
                <w:color w:val="262626"/>
                <w:sz w:val="20"/>
                <w:szCs w:val="20"/>
              </w:rPr>
            </w:pPr>
          </w:p>
        </w:tc>
        <w:tc>
          <w:tcPr>
            <w:tcW w:w="144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9C52461" w14:textId="77777777" w:rsidR="006168E3" w:rsidRPr="00CE3352" w:rsidRDefault="006168E3" w:rsidP="001C624E">
            <w:pPr>
              <w:widowControl w:val="0"/>
              <w:autoSpaceDE w:val="0"/>
              <w:autoSpaceDN w:val="0"/>
              <w:adjustRightInd w:val="0"/>
              <w:jc w:val="center"/>
              <w:rPr>
                <w:rFonts w:asciiTheme="majorHAnsi" w:hAnsiTheme="majorHAnsi" w:cs="Arial"/>
                <w:color w:val="262626"/>
                <w:sz w:val="20"/>
                <w:szCs w:val="20"/>
              </w:rPr>
            </w:pPr>
            <w:r w:rsidRPr="00CE3352">
              <w:rPr>
                <w:rFonts w:asciiTheme="majorHAnsi" w:hAnsiTheme="majorHAnsi" w:cs="Arial"/>
                <w:color w:val="262626"/>
                <w:sz w:val="20"/>
                <w:szCs w:val="20"/>
              </w:rPr>
              <w:t>WS1</w:t>
            </w:r>
          </w:p>
        </w:tc>
      </w:tr>
      <w:tr w:rsidR="006168E3" w:rsidRPr="00CE3352" w14:paraId="7EE4B58C" w14:textId="77777777" w:rsidTr="006168E3">
        <w:tc>
          <w:tcPr>
            <w:tcW w:w="811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3C3460A" w14:textId="77777777" w:rsidR="001C624E" w:rsidRDefault="001C624E" w:rsidP="00C86B54">
            <w:pPr>
              <w:widowControl w:val="0"/>
              <w:autoSpaceDE w:val="0"/>
              <w:autoSpaceDN w:val="0"/>
              <w:adjustRightInd w:val="0"/>
              <w:rPr>
                <w:rFonts w:asciiTheme="majorHAnsi" w:hAnsiTheme="majorHAnsi" w:cs="Arial"/>
                <w:color w:val="262626"/>
                <w:sz w:val="20"/>
                <w:szCs w:val="20"/>
              </w:rPr>
            </w:pPr>
          </w:p>
          <w:p w14:paraId="3562CC6B" w14:textId="77777777" w:rsidR="006168E3" w:rsidRDefault="006168E3" w:rsidP="00C86B54">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Broadly expand grounds on which ICANN decisions and operations can be challenged; lower threshold to succeed in a challenge</w:t>
            </w:r>
          </w:p>
          <w:p w14:paraId="4E3B485F" w14:textId="77777777" w:rsidR="001C624E" w:rsidRPr="00CE3352" w:rsidRDefault="001C624E" w:rsidP="00C86B54">
            <w:pPr>
              <w:widowControl w:val="0"/>
              <w:autoSpaceDE w:val="0"/>
              <w:autoSpaceDN w:val="0"/>
              <w:adjustRightInd w:val="0"/>
              <w:rPr>
                <w:rFonts w:asciiTheme="majorHAnsi" w:hAnsiTheme="majorHAnsi" w:cs="Arial"/>
                <w:color w:val="262626"/>
                <w:sz w:val="20"/>
                <w:szCs w:val="20"/>
              </w:rPr>
            </w:pPr>
          </w:p>
        </w:tc>
        <w:tc>
          <w:tcPr>
            <w:tcW w:w="144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0424760" w14:textId="77777777" w:rsidR="006168E3" w:rsidRPr="00CE3352" w:rsidRDefault="006168E3" w:rsidP="001C624E">
            <w:pPr>
              <w:widowControl w:val="0"/>
              <w:autoSpaceDE w:val="0"/>
              <w:autoSpaceDN w:val="0"/>
              <w:adjustRightInd w:val="0"/>
              <w:jc w:val="center"/>
              <w:rPr>
                <w:rFonts w:asciiTheme="majorHAnsi" w:hAnsiTheme="majorHAnsi" w:cs="Arial"/>
                <w:color w:val="262626"/>
                <w:sz w:val="20"/>
                <w:szCs w:val="20"/>
              </w:rPr>
            </w:pPr>
            <w:r w:rsidRPr="00CE3352">
              <w:rPr>
                <w:rFonts w:asciiTheme="majorHAnsi" w:hAnsiTheme="majorHAnsi" w:cs="Arial"/>
                <w:color w:val="262626"/>
                <w:sz w:val="20"/>
                <w:szCs w:val="20"/>
              </w:rPr>
              <w:t>WS2</w:t>
            </w:r>
          </w:p>
        </w:tc>
      </w:tr>
      <w:tr w:rsidR="006168E3" w:rsidRPr="00CE3352" w14:paraId="3AE9269E" w14:textId="77777777" w:rsidTr="006168E3">
        <w:tc>
          <w:tcPr>
            <w:tcW w:w="811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88EB198" w14:textId="77777777" w:rsidR="00046168" w:rsidRDefault="00046168" w:rsidP="00C86B54">
            <w:pPr>
              <w:widowControl w:val="0"/>
              <w:autoSpaceDE w:val="0"/>
              <w:autoSpaceDN w:val="0"/>
              <w:adjustRightInd w:val="0"/>
              <w:rPr>
                <w:rFonts w:asciiTheme="majorHAnsi" w:hAnsiTheme="majorHAnsi" w:cs="Arial"/>
                <w:color w:val="262626"/>
                <w:sz w:val="20"/>
                <w:szCs w:val="20"/>
              </w:rPr>
            </w:pPr>
          </w:p>
          <w:p w14:paraId="653FBC3B" w14:textId="77777777" w:rsidR="006168E3" w:rsidRDefault="006168E3" w:rsidP="00C86B54">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Require a defined notion of consensus for any GAC advice that would need to be given deference by the ICANN board</w:t>
            </w:r>
          </w:p>
          <w:p w14:paraId="6ABC7E2F" w14:textId="77777777" w:rsidR="00046168" w:rsidRPr="00CE3352" w:rsidRDefault="00046168" w:rsidP="00C86B54">
            <w:pPr>
              <w:widowControl w:val="0"/>
              <w:autoSpaceDE w:val="0"/>
              <w:autoSpaceDN w:val="0"/>
              <w:adjustRightInd w:val="0"/>
              <w:rPr>
                <w:rFonts w:asciiTheme="majorHAnsi" w:hAnsiTheme="majorHAnsi" w:cs="Arial"/>
                <w:color w:val="262626"/>
                <w:sz w:val="20"/>
                <w:szCs w:val="20"/>
              </w:rPr>
            </w:pPr>
          </w:p>
        </w:tc>
        <w:tc>
          <w:tcPr>
            <w:tcW w:w="144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C3625D3" w14:textId="77777777" w:rsidR="006168E3" w:rsidRPr="00CE3352" w:rsidRDefault="006168E3" w:rsidP="001C624E">
            <w:pPr>
              <w:widowControl w:val="0"/>
              <w:autoSpaceDE w:val="0"/>
              <w:autoSpaceDN w:val="0"/>
              <w:adjustRightInd w:val="0"/>
              <w:jc w:val="center"/>
              <w:rPr>
                <w:rFonts w:asciiTheme="majorHAnsi" w:hAnsiTheme="majorHAnsi" w:cs="Arial"/>
                <w:color w:val="262626"/>
                <w:sz w:val="20"/>
                <w:szCs w:val="20"/>
              </w:rPr>
            </w:pPr>
            <w:r w:rsidRPr="00CE3352">
              <w:rPr>
                <w:rFonts w:asciiTheme="majorHAnsi" w:hAnsiTheme="majorHAnsi" w:cs="Arial"/>
                <w:color w:val="262626"/>
                <w:sz w:val="20"/>
                <w:szCs w:val="20"/>
              </w:rPr>
              <w:t>WS</w:t>
            </w:r>
            <w:r>
              <w:rPr>
                <w:rFonts w:asciiTheme="majorHAnsi" w:hAnsiTheme="majorHAnsi" w:cs="Arial"/>
                <w:color w:val="262626"/>
                <w:sz w:val="20"/>
                <w:szCs w:val="20"/>
              </w:rPr>
              <w:t>2</w:t>
            </w:r>
          </w:p>
        </w:tc>
      </w:tr>
      <w:tr w:rsidR="006168E3" w:rsidRPr="00CE3352" w14:paraId="7E42664B" w14:textId="77777777" w:rsidTr="006168E3">
        <w:tc>
          <w:tcPr>
            <w:tcW w:w="811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7B595658" w14:textId="77777777" w:rsidR="001C624E" w:rsidRDefault="001C624E" w:rsidP="00C86B54">
            <w:pPr>
              <w:widowControl w:val="0"/>
              <w:autoSpaceDE w:val="0"/>
              <w:autoSpaceDN w:val="0"/>
              <w:adjustRightInd w:val="0"/>
              <w:rPr>
                <w:rFonts w:asciiTheme="majorHAnsi" w:hAnsiTheme="majorHAnsi" w:cs="Arial"/>
                <w:color w:val="262626"/>
                <w:sz w:val="20"/>
                <w:szCs w:val="20"/>
              </w:rPr>
            </w:pPr>
          </w:p>
          <w:p w14:paraId="2D525DD7" w14:textId="77777777" w:rsidR="006168E3" w:rsidRDefault="006168E3" w:rsidP="00C86B54">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Establish an independent inspector general for ICANN</w:t>
            </w:r>
          </w:p>
          <w:p w14:paraId="482E1132" w14:textId="77777777" w:rsidR="001C624E" w:rsidRPr="00CE3352" w:rsidRDefault="001C624E" w:rsidP="00C86B54">
            <w:pPr>
              <w:widowControl w:val="0"/>
              <w:autoSpaceDE w:val="0"/>
              <w:autoSpaceDN w:val="0"/>
              <w:adjustRightInd w:val="0"/>
              <w:rPr>
                <w:rFonts w:asciiTheme="majorHAnsi" w:hAnsiTheme="majorHAnsi" w:cs="Arial"/>
                <w:color w:val="262626"/>
                <w:sz w:val="20"/>
                <w:szCs w:val="20"/>
              </w:rPr>
            </w:pPr>
          </w:p>
        </w:tc>
        <w:tc>
          <w:tcPr>
            <w:tcW w:w="144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21A017A" w14:textId="77777777" w:rsidR="006168E3" w:rsidRPr="00CE3352" w:rsidRDefault="006168E3" w:rsidP="001C624E">
            <w:pPr>
              <w:widowControl w:val="0"/>
              <w:autoSpaceDE w:val="0"/>
              <w:autoSpaceDN w:val="0"/>
              <w:adjustRightInd w:val="0"/>
              <w:jc w:val="center"/>
              <w:rPr>
                <w:rFonts w:asciiTheme="majorHAnsi" w:hAnsiTheme="majorHAnsi" w:cs="Arial"/>
                <w:color w:val="262626"/>
                <w:sz w:val="20"/>
                <w:szCs w:val="20"/>
              </w:rPr>
            </w:pPr>
            <w:r w:rsidRPr="00CE3352">
              <w:rPr>
                <w:rFonts w:asciiTheme="majorHAnsi" w:hAnsiTheme="majorHAnsi" w:cs="Arial"/>
                <w:color w:val="262626"/>
                <w:sz w:val="20"/>
                <w:szCs w:val="20"/>
              </w:rPr>
              <w:t>WS2</w:t>
            </w:r>
          </w:p>
        </w:tc>
      </w:tr>
      <w:tr w:rsidR="006168E3" w:rsidRPr="00CE3352" w14:paraId="15B984E1" w14:textId="77777777" w:rsidTr="006168E3">
        <w:tc>
          <w:tcPr>
            <w:tcW w:w="811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143493A" w14:textId="77777777" w:rsidR="001C624E" w:rsidRDefault="001C624E" w:rsidP="001C624E">
            <w:pPr>
              <w:widowControl w:val="0"/>
              <w:autoSpaceDE w:val="0"/>
              <w:autoSpaceDN w:val="0"/>
              <w:adjustRightInd w:val="0"/>
              <w:rPr>
                <w:rFonts w:asciiTheme="majorHAnsi" w:hAnsiTheme="majorHAnsi" w:cs="Arial"/>
                <w:color w:val="262626"/>
                <w:sz w:val="20"/>
                <w:szCs w:val="20"/>
              </w:rPr>
            </w:pPr>
          </w:p>
          <w:p w14:paraId="4D5D002D" w14:textId="77777777" w:rsidR="006168E3" w:rsidRDefault="001C624E" w:rsidP="001C624E">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 xml:space="preserve">Mechanisms that limit ICANN’s ability to </w:t>
            </w:r>
            <w:r w:rsidR="006168E3" w:rsidRPr="00CE3352">
              <w:rPr>
                <w:rFonts w:asciiTheme="majorHAnsi" w:hAnsiTheme="majorHAnsi" w:cs="Arial"/>
                <w:color w:val="262626"/>
                <w:sz w:val="20"/>
                <w:szCs w:val="20"/>
              </w:rPr>
              <w:t xml:space="preserve">change registry or registrar fees </w:t>
            </w:r>
          </w:p>
          <w:p w14:paraId="10D2057A" w14:textId="2FB80277" w:rsidR="001C624E" w:rsidRPr="00CE3352" w:rsidRDefault="001C624E" w:rsidP="001C624E">
            <w:pPr>
              <w:widowControl w:val="0"/>
              <w:autoSpaceDE w:val="0"/>
              <w:autoSpaceDN w:val="0"/>
              <w:adjustRightInd w:val="0"/>
              <w:rPr>
                <w:rFonts w:asciiTheme="majorHAnsi" w:hAnsiTheme="majorHAnsi" w:cs="Arial"/>
                <w:color w:val="262626"/>
                <w:sz w:val="20"/>
                <w:szCs w:val="20"/>
              </w:rPr>
            </w:pPr>
          </w:p>
        </w:tc>
        <w:tc>
          <w:tcPr>
            <w:tcW w:w="144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B038E45" w14:textId="77777777" w:rsidR="006168E3" w:rsidRPr="00CE3352" w:rsidRDefault="006168E3" w:rsidP="001C624E">
            <w:pPr>
              <w:widowControl w:val="0"/>
              <w:autoSpaceDE w:val="0"/>
              <w:autoSpaceDN w:val="0"/>
              <w:adjustRightInd w:val="0"/>
              <w:jc w:val="center"/>
              <w:rPr>
                <w:rFonts w:asciiTheme="majorHAnsi" w:hAnsiTheme="majorHAnsi" w:cs="Arial"/>
                <w:color w:val="262626"/>
                <w:sz w:val="20"/>
                <w:szCs w:val="20"/>
              </w:rPr>
            </w:pPr>
            <w:r w:rsidRPr="00CE3352">
              <w:rPr>
                <w:rFonts w:asciiTheme="majorHAnsi" w:hAnsiTheme="majorHAnsi" w:cs="Arial"/>
                <w:color w:val="262626"/>
                <w:sz w:val="20"/>
                <w:szCs w:val="20"/>
              </w:rPr>
              <w:t>WS1</w:t>
            </w:r>
          </w:p>
        </w:tc>
      </w:tr>
      <w:tr w:rsidR="006168E3" w:rsidRPr="00CE3352" w14:paraId="16C7275E" w14:textId="77777777" w:rsidTr="006168E3">
        <w:tc>
          <w:tcPr>
            <w:tcW w:w="811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3DC8A7B" w14:textId="77777777" w:rsidR="001C624E" w:rsidRDefault="001C624E" w:rsidP="00C86B54">
            <w:pPr>
              <w:widowControl w:val="0"/>
              <w:autoSpaceDE w:val="0"/>
              <w:autoSpaceDN w:val="0"/>
              <w:adjustRightInd w:val="0"/>
              <w:rPr>
                <w:rFonts w:asciiTheme="majorHAnsi" w:hAnsiTheme="majorHAnsi" w:cs="Arial"/>
                <w:color w:val="262626"/>
                <w:sz w:val="20"/>
                <w:szCs w:val="20"/>
              </w:rPr>
            </w:pPr>
          </w:p>
          <w:p w14:paraId="3EB932C7" w14:textId="77777777" w:rsidR="006168E3" w:rsidRDefault="006168E3" w:rsidP="00C86B54">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Create channels for inquiry/complaint/suggestions</w:t>
            </w:r>
          </w:p>
          <w:p w14:paraId="092B5BEC" w14:textId="77777777" w:rsidR="001C624E" w:rsidRPr="00CE3352" w:rsidRDefault="001C624E" w:rsidP="00C86B54">
            <w:pPr>
              <w:widowControl w:val="0"/>
              <w:autoSpaceDE w:val="0"/>
              <w:autoSpaceDN w:val="0"/>
              <w:adjustRightInd w:val="0"/>
              <w:rPr>
                <w:rFonts w:asciiTheme="majorHAnsi" w:hAnsiTheme="majorHAnsi" w:cs="Arial"/>
                <w:color w:val="262626"/>
                <w:sz w:val="20"/>
                <w:szCs w:val="20"/>
              </w:rPr>
            </w:pPr>
          </w:p>
        </w:tc>
        <w:tc>
          <w:tcPr>
            <w:tcW w:w="144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71CB6DE" w14:textId="77777777" w:rsidR="006168E3" w:rsidRPr="00CE3352" w:rsidRDefault="006168E3" w:rsidP="001C624E">
            <w:pPr>
              <w:widowControl w:val="0"/>
              <w:autoSpaceDE w:val="0"/>
              <w:autoSpaceDN w:val="0"/>
              <w:adjustRightInd w:val="0"/>
              <w:jc w:val="center"/>
              <w:rPr>
                <w:rFonts w:asciiTheme="majorHAnsi" w:hAnsiTheme="majorHAnsi" w:cs="Arial"/>
                <w:color w:val="262626"/>
                <w:sz w:val="20"/>
                <w:szCs w:val="20"/>
              </w:rPr>
            </w:pPr>
            <w:r w:rsidRPr="00CE3352">
              <w:rPr>
                <w:rFonts w:asciiTheme="majorHAnsi" w:hAnsiTheme="majorHAnsi" w:cs="Arial"/>
                <w:color w:val="262626"/>
                <w:sz w:val="20"/>
                <w:szCs w:val="20"/>
              </w:rPr>
              <w:t>WS2</w:t>
            </w:r>
          </w:p>
        </w:tc>
      </w:tr>
      <w:tr w:rsidR="006168E3" w:rsidRPr="00CE3352" w14:paraId="6CF39F60" w14:textId="77777777" w:rsidTr="006168E3">
        <w:tc>
          <w:tcPr>
            <w:tcW w:w="811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A76B59C" w14:textId="77777777" w:rsidR="001C624E" w:rsidRDefault="001C624E" w:rsidP="00C86B54">
            <w:pPr>
              <w:widowControl w:val="0"/>
              <w:autoSpaceDE w:val="0"/>
              <w:autoSpaceDN w:val="0"/>
              <w:adjustRightInd w:val="0"/>
              <w:rPr>
                <w:rFonts w:asciiTheme="majorHAnsi" w:hAnsiTheme="majorHAnsi" w:cs="Arial"/>
                <w:color w:val="262626"/>
                <w:sz w:val="20"/>
                <w:szCs w:val="20"/>
              </w:rPr>
            </w:pPr>
          </w:p>
          <w:p w14:paraId="4721F91D" w14:textId="77777777" w:rsidR="006168E3" w:rsidRDefault="006168E3" w:rsidP="00C86B54">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Recall mechanism for any board member selected by an AC/SO</w:t>
            </w:r>
            <w:r w:rsidR="001C624E">
              <w:rPr>
                <w:rFonts w:asciiTheme="majorHAnsi" w:hAnsiTheme="majorHAnsi" w:cs="Arial"/>
                <w:color w:val="262626"/>
                <w:sz w:val="20"/>
                <w:szCs w:val="20"/>
              </w:rPr>
              <w:t xml:space="preserve"> and NomCom</w:t>
            </w:r>
          </w:p>
          <w:p w14:paraId="713DFF09" w14:textId="4BE6BBEC" w:rsidR="001C624E" w:rsidRPr="00CE3352" w:rsidRDefault="001C624E" w:rsidP="00C86B54">
            <w:pPr>
              <w:widowControl w:val="0"/>
              <w:autoSpaceDE w:val="0"/>
              <w:autoSpaceDN w:val="0"/>
              <w:adjustRightInd w:val="0"/>
              <w:rPr>
                <w:rFonts w:asciiTheme="majorHAnsi" w:hAnsiTheme="majorHAnsi" w:cs="Arial"/>
                <w:color w:val="262626"/>
                <w:sz w:val="20"/>
                <w:szCs w:val="20"/>
              </w:rPr>
            </w:pPr>
          </w:p>
        </w:tc>
        <w:tc>
          <w:tcPr>
            <w:tcW w:w="144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0AF3D61" w14:textId="77777777" w:rsidR="006168E3" w:rsidRPr="00CE3352" w:rsidRDefault="006168E3" w:rsidP="001C624E">
            <w:pPr>
              <w:widowControl w:val="0"/>
              <w:autoSpaceDE w:val="0"/>
              <w:autoSpaceDN w:val="0"/>
              <w:adjustRightInd w:val="0"/>
              <w:jc w:val="center"/>
              <w:rPr>
                <w:rFonts w:asciiTheme="majorHAnsi" w:hAnsiTheme="majorHAnsi" w:cs="Arial"/>
                <w:color w:val="262626"/>
                <w:sz w:val="20"/>
                <w:szCs w:val="20"/>
              </w:rPr>
            </w:pPr>
            <w:r w:rsidRPr="00CE3352">
              <w:rPr>
                <w:rFonts w:asciiTheme="majorHAnsi" w:hAnsiTheme="majorHAnsi" w:cs="Arial"/>
                <w:color w:val="262626"/>
                <w:sz w:val="20"/>
                <w:szCs w:val="20"/>
              </w:rPr>
              <w:t>WS2</w:t>
            </w:r>
          </w:p>
        </w:tc>
      </w:tr>
      <w:tr w:rsidR="006168E3" w:rsidRPr="00CE3352" w14:paraId="64912B61" w14:textId="77777777" w:rsidTr="006168E3">
        <w:tc>
          <w:tcPr>
            <w:tcW w:w="811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D1F88AB" w14:textId="6592909A" w:rsidR="001C624E" w:rsidRDefault="001C624E" w:rsidP="00C86B54">
            <w:pPr>
              <w:widowControl w:val="0"/>
              <w:autoSpaceDE w:val="0"/>
              <w:autoSpaceDN w:val="0"/>
              <w:adjustRightInd w:val="0"/>
              <w:rPr>
                <w:rFonts w:asciiTheme="majorHAnsi" w:hAnsiTheme="majorHAnsi" w:cs="Arial"/>
                <w:color w:val="262626"/>
                <w:sz w:val="20"/>
                <w:szCs w:val="20"/>
              </w:rPr>
            </w:pPr>
          </w:p>
          <w:p w14:paraId="7075783C" w14:textId="77777777" w:rsidR="00C16C92" w:rsidRDefault="00C16C92" w:rsidP="00C86B54">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Reform Ombudsman function:</w:t>
            </w:r>
          </w:p>
          <w:p w14:paraId="2062CE72" w14:textId="77777777" w:rsidR="00C16C92" w:rsidRPr="00C16C92" w:rsidRDefault="00C16C92" w:rsidP="00C16C92">
            <w:pPr>
              <w:pStyle w:val="ListParagraph"/>
              <w:widowControl w:val="0"/>
              <w:numPr>
                <w:ilvl w:val="0"/>
                <w:numId w:val="19"/>
              </w:numPr>
              <w:autoSpaceDE w:val="0"/>
              <w:autoSpaceDN w:val="0"/>
              <w:adjustRightInd w:val="0"/>
              <w:rPr>
                <w:rFonts w:asciiTheme="majorHAnsi" w:hAnsiTheme="majorHAnsi" w:cs="Arial"/>
                <w:color w:val="262626"/>
                <w:sz w:val="20"/>
                <w:szCs w:val="20"/>
              </w:rPr>
            </w:pPr>
            <w:r w:rsidRPr="00C16C92">
              <w:rPr>
                <w:rFonts w:asciiTheme="majorHAnsi" w:hAnsiTheme="majorHAnsi" w:cs="Arial"/>
                <w:color w:val="262626"/>
                <w:sz w:val="20"/>
                <w:szCs w:val="20"/>
              </w:rPr>
              <w:t>Strengthen powers of the Ombudsman by granting it powers to set Board’s decisions or policies aside and have authority to investigate any accountability-related complaint brought by an employee (with confidentiality)</w:t>
            </w:r>
          </w:p>
          <w:p w14:paraId="395894A4" w14:textId="77777777" w:rsidR="00C16C92" w:rsidRDefault="006168E3" w:rsidP="00C16C92">
            <w:pPr>
              <w:pStyle w:val="ListParagraph"/>
              <w:widowControl w:val="0"/>
              <w:numPr>
                <w:ilvl w:val="0"/>
                <w:numId w:val="17"/>
              </w:numPr>
              <w:autoSpaceDE w:val="0"/>
              <w:autoSpaceDN w:val="0"/>
              <w:adjustRightInd w:val="0"/>
              <w:rPr>
                <w:rFonts w:asciiTheme="majorHAnsi" w:hAnsiTheme="majorHAnsi" w:cs="Arial"/>
                <w:color w:val="262626"/>
                <w:sz w:val="20"/>
                <w:szCs w:val="20"/>
              </w:rPr>
            </w:pPr>
            <w:r w:rsidRPr="00C16C92">
              <w:rPr>
                <w:rFonts w:asciiTheme="majorHAnsi" w:hAnsiTheme="majorHAnsi" w:cs="Arial"/>
                <w:color w:val="262626"/>
                <w:sz w:val="20"/>
                <w:szCs w:val="20"/>
              </w:rPr>
              <w:t>Give Ombudsman ability to refer a matter to external body</w:t>
            </w:r>
            <w:r w:rsidR="00C16C92">
              <w:rPr>
                <w:rFonts w:asciiTheme="majorHAnsi" w:hAnsiTheme="majorHAnsi" w:cs="Arial"/>
                <w:color w:val="262626"/>
                <w:sz w:val="20"/>
                <w:szCs w:val="20"/>
              </w:rPr>
              <w:t xml:space="preserve"> </w:t>
            </w:r>
          </w:p>
          <w:p w14:paraId="33327455" w14:textId="164B3A30" w:rsidR="00C16C92" w:rsidRPr="00C16C92" w:rsidRDefault="00C16C92" w:rsidP="00C16C92">
            <w:pPr>
              <w:pStyle w:val="ListParagraph"/>
              <w:widowControl w:val="0"/>
              <w:numPr>
                <w:ilvl w:val="0"/>
                <w:numId w:val="17"/>
              </w:numPr>
              <w:autoSpaceDE w:val="0"/>
              <w:autoSpaceDN w:val="0"/>
              <w:adjustRightInd w:val="0"/>
              <w:rPr>
                <w:rFonts w:asciiTheme="majorHAnsi" w:hAnsiTheme="majorHAnsi" w:cs="Arial"/>
                <w:color w:val="262626"/>
                <w:sz w:val="20"/>
                <w:szCs w:val="20"/>
              </w:rPr>
            </w:pPr>
            <w:r w:rsidRPr="00C16C92">
              <w:rPr>
                <w:rFonts w:asciiTheme="majorHAnsi" w:hAnsiTheme="majorHAnsi" w:cs="Arial"/>
                <w:color w:val="262626"/>
                <w:sz w:val="20"/>
                <w:szCs w:val="20"/>
              </w:rPr>
              <w:t>In Bylaws or Articles, add new power for community representatives (Members, CCWG, etc.) to select the ICANN Ombudsman.  By supermajority or simple majority vote?</w:t>
            </w:r>
          </w:p>
          <w:p w14:paraId="75D468A8" w14:textId="365DBE18" w:rsidR="00C16C92" w:rsidRDefault="00C16C92" w:rsidP="00C16C92">
            <w:pPr>
              <w:pStyle w:val="ListParagraph"/>
              <w:widowControl w:val="0"/>
              <w:numPr>
                <w:ilvl w:val="0"/>
                <w:numId w:val="17"/>
              </w:numPr>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In Bylaws or Articles, allow NomCom to select and retain the Ombudsman</w:t>
            </w:r>
          </w:p>
          <w:p w14:paraId="4552726A" w14:textId="09054831" w:rsidR="00C16C92" w:rsidRPr="00C16C92" w:rsidRDefault="00C16C92" w:rsidP="00C16C92">
            <w:pPr>
              <w:pStyle w:val="ListParagraph"/>
              <w:widowControl w:val="0"/>
              <w:numPr>
                <w:ilvl w:val="0"/>
                <w:numId w:val="17"/>
              </w:numPr>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Allow NomCom to select and retain Ombudsman</w:t>
            </w:r>
          </w:p>
          <w:p w14:paraId="7E8ACD8B" w14:textId="77777777" w:rsidR="001C624E" w:rsidRPr="00CE3352" w:rsidRDefault="001C624E" w:rsidP="00C86B54">
            <w:pPr>
              <w:widowControl w:val="0"/>
              <w:autoSpaceDE w:val="0"/>
              <w:autoSpaceDN w:val="0"/>
              <w:adjustRightInd w:val="0"/>
              <w:rPr>
                <w:rFonts w:asciiTheme="majorHAnsi" w:hAnsiTheme="majorHAnsi" w:cs="Arial"/>
                <w:color w:val="262626"/>
                <w:sz w:val="20"/>
                <w:szCs w:val="20"/>
              </w:rPr>
            </w:pPr>
          </w:p>
        </w:tc>
        <w:tc>
          <w:tcPr>
            <w:tcW w:w="144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0ED83F4" w14:textId="77777777" w:rsidR="006168E3" w:rsidRPr="00CE3352" w:rsidRDefault="006168E3" w:rsidP="001C624E">
            <w:pPr>
              <w:widowControl w:val="0"/>
              <w:autoSpaceDE w:val="0"/>
              <w:autoSpaceDN w:val="0"/>
              <w:adjustRightInd w:val="0"/>
              <w:jc w:val="center"/>
              <w:rPr>
                <w:rFonts w:asciiTheme="majorHAnsi" w:hAnsiTheme="majorHAnsi" w:cs="Arial"/>
                <w:color w:val="262626"/>
                <w:sz w:val="20"/>
                <w:szCs w:val="20"/>
              </w:rPr>
            </w:pPr>
            <w:r w:rsidRPr="00CE3352">
              <w:rPr>
                <w:rFonts w:asciiTheme="majorHAnsi" w:hAnsiTheme="majorHAnsi" w:cs="Arial"/>
                <w:color w:val="262626"/>
                <w:sz w:val="20"/>
                <w:szCs w:val="20"/>
              </w:rPr>
              <w:t>WS2</w:t>
            </w:r>
          </w:p>
        </w:tc>
      </w:tr>
      <w:tr w:rsidR="006168E3" w:rsidRPr="00CE3352" w14:paraId="4AE0CD17" w14:textId="77777777" w:rsidTr="006168E3">
        <w:tc>
          <w:tcPr>
            <w:tcW w:w="811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1DDC891" w14:textId="477A8F94" w:rsidR="001C624E" w:rsidRDefault="001C624E" w:rsidP="00C86B54">
            <w:pPr>
              <w:widowControl w:val="0"/>
              <w:autoSpaceDE w:val="0"/>
              <w:autoSpaceDN w:val="0"/>
              <w:adjustRightInd w:val="0"/>
              <w:rPr>
                <w:rFonts w:asciiTheme="majorHAnsi" w:hAnsiTheme="majorHAnsi" w:cs="Arial"/>
                <w:color w:val="262626"/>
                <w:sz w:val="20"/>
                <w:szCs w:val="20"/>
              </w:rPr>
            </w:pPr>
          </w:p>
          <w:p w14:paraId="43E2EB9E" w14:textId="390ED1AD" w:rsidR="001C624E" w:rsidRDefault="001C624E" w:rsidP="00C86B54">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Enhance transparency protections/mechanisms:</w:t>
            </w:r>
          </w:p>
          <w:p w14:paraId="33CF362D" w14:textId="77777777" w:rsidR="00046168" w:rsidRDefault="006168E3" w:rsidP="001C624E">
            <w:pPr>
              <w:pStyle w:val="ListParagraph"/>
              <w:widowControl w:val="0"/>
              <w:numPr>
                <w:ilvl w:val="0"/>
                <w:numId w:val="15"/>
              </w:numPr>
              <w:autoSpaceDE w:val="0"/>
              <w:autoSpaceDN w:val="0"/>
              <w:adjustRightInd w:val="0"/>
              <w:rPr>
                <w:rFonts w:asciiTheme="majorHAnsi" w:hAnsiTheme="majorHAnsi" w:cs="Arial"/>
                <w:color w:val="262626"/>
                <w:sz w:val="20"/>
                <w:szCs w:val="20"/>
              </w:rPr>
            </w:pPr>
            <w:r w:rsidRPr="001C624E">
              <w:rPr>
                <w:rFonts w:asciiTheme="majorHAnsi" w:hAnsiTheme="majorHAnsi" w:cs="Arial"/>
                <w:color w:val="262626"/>
                <w:sz w:val="20"/>
                <w:szCs w:val="20"/>
              </w:rPr>
              <w:t>Have Transparency International conduct audit of all SOs and ACs</w:t>
            </w:r>
          </w:p>
          <w:p w14:paraId="5F536A52" w14:textId="77777777" w:rsidR="00046168" w:rsidRDefault="001C624E" w:rsidP="00046168">
            <w:pPr>
              <w:pStyle w:val="ListParagraph"/>
              <w:widowControl w:val="0"/>
              <w:numPr>
                <w:ilvl w:val="0"/>
                <w:numId w:val="15"/>
              </w:numPr>
              <w:autoSpaceDE w:val="0"/>
              <w:autoSpaceDN w:val="0"/>
              <w:adjustRightInd w:val="0"/>
              <w:rPr>
                <w:rFonts w:asciiTheme="majorHAnsi" w:hAnsiTheme="majorHAnsi" w:cs="Arial"/>
                <w:color w:val="262626"/>
                <w:sz w:val="20"/>
                <w:szCs w:val="20"/>
              </w:rPr>
            </w:pPr>
            <w:r w:rsidRPr="00046168">
              <w:rPr>
                <w:rFonts w:asciiTheme="majorHAnsi" w:hAnsiTheme="majorHAnsi" w:cs="Arial"/>
                <w:color w:val="262626"/>
                <w:sz w:val="20"/>
                <w:szCs w:val="20"/>
              </w:rPr>
              <w:t>Severely limit ICANN ability to deny disclosure/transparency requests</w:t>
            </w:r>
          </w:p>
          <w:p w14:paraId="1DFF0612" w14:textId="77777777" w:rsidR="00046168" w:rsidRDefault="00046168" w:rsidP="00046168">
            <w:pPr>
              <w:pStyle w:val="ListParagraph"/>
              <w:widowControl w:val="0"/>
              <w:numPr>
                <w:ilvl w:val="0"/>
                <w:numId w:val="15"/>
              </w:numPr>
              <w:autoSpaceDE w:val="0"/>
              <w:autoSpaceDN w:val="0"/>
              <w:adjustRightInd w:val="0"/>
              <w:rPr>
                <w:rFonts w:asciiTheme="majorHAnsi" w:hAnsiTheme="majorHAnsi" w:cs="Arial"/>
                <w:color w:val="262626"/>
                <w:sz w:val="20"/>
                <w:szCs w:val="20"/>
              </w:rPr>
            </w:pPr>
            <w:r w:rsidRPr="00046168">
              <w:rPr>
                <w:rFonts w:asciiTheme="majorHAnsi" w:hAnsiTheme="majorHAnsi" w:cs="Arial"/>
                <w:color w:val="262626"/>
                <w:sz w:val="20"/>
                <w:szCs w:val="20"/>
              </w:rPr>
              <w:t>ICANN subject to annual audit of transparency and achievement of goals</w:t>
            </w:r>
          </w:p>
          <w:p w14:paraId="5656EB8B" w14:textId="5B98AD0A" w:rsidR="00046168" w:rsidRDefault="00046168" w:rsidP="00046168">
            <w:pPr>
              <w:pStyle w:val="ListParagraph"/>
              <w:widowControl w:val="0"/>
              <w:numPr>
                <w:ilvl w:val="0"/>
                <w:numId w:val="15"/>
              </w:numPr>
              <w:autoSpaceDE w:val="0"/>
              <w:autoSpaceDN w:val="0"/>
              <w:adjustRightInd w:val="0"/>
              <w:rPr>
                <w:rFonts w:asciiTheme="majorHAnsi" w:hAnsiTheme="majorHAnsi" w:cs="Arial"/>
                <w:color w:val="262626"/>
                <w:sz w:val="20"/>
                <w:szCs w:val="20"/>
              </w:rPr>
            </w:pPr>
            <w:r w:rsidRPr="00046168">
              <w:rPr>
                <w:rFonts w:asciiTheme="majorHAnsi" w:hAnsiTheme="majorHAnsi" w:cs="Arial"/>
                <w:color w:val="262626"/>
                <w:sz w:val="20"/>
                <w:szCs w:val="20"/>
              </w:rPr>
              <w:t>Make all board deliberations transparent (with minimal redaction)</w:t>
            </w:r>
          </w:p>
          <w:p w14:paraId="50A7E367" w14:textId="53CBBF35" w:rsidR="00046168" w:rsidRPr="00046168" w:rsidRDefault="00046168" w:rsidP="00046168">
            <w:pPr>
              <w:pStyle w:val="ListParagraph"/>
              <w:widowControl w:val="0"/>
              <w:numPr>
                <w:ilvl w:val="0"/>
                <w:numId w:val="15"/>
              </w:numPr>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Require more advance notice and detail re: upcoming board meetings</w:t>
            </w:r>
          </w:p>
          <w:p w14:paraId="56D8CDAB" w14:textId="007B0B6B" w:rsidR="00046168" w:rsidRPr="00046168" w:rsidRDefault="00046168" w:rsidP="00046168">
            <w:pPr>
              <w:pStyle w:val="ListParagraph"/>
              <w:widowControl w:val="0"/>
              <w:numPr>
                <w:ilvl w:val="0"/>
                <w:numId w:val="15"/>
              </w:numPr>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Improve mechanism to obtain transparency of ICANN documents (e.g. FOIA)</w:t>
            </w:r>
          </w:p>
          <w:p w14:paraId="750FB18B" w14:textId="0D5704F3" w:rsidR="001C624E" w:rsidRPr="001C624E" w:rsidRDefault="00046168" w:rsidP="001C624E">
            <w:pPr>
              <w:pStyle w:val="ListParagraph"/>
              <w:widowControl w:val="0"/>
              <w:numPr>
                <w:ilvl w:val="0"/>
                <w:numId w:val="15"/>
              </w:numPr>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Establish an Open Data Policy and develop an Open Data action plan, where ICANN documents are open by default.</w:t>
            </w:r>
          </w:p>
          <w:p w14:paraId="17FAB9BD" w14:textId="77777777" w:rsidR="001C624E" w:rsidRPr="00CE3352" w:rsidRDefault="001C624E" w:rsidP="00C86B54">
            <w:pPr>
              <w:widowControl w:val="0"/>
              <w:autoSpaceDE w:val="0"/>
              <w:autoSpaceDN w:val="0"/>
              <w:adjustRightInd w:val="0"/>
              <w:rPr>
                <w:rFonts w:asciiTheme="majorHAnsi" w:hAnsiTheme="majorHAnsi" w:cs="Arial"/>
                <w:color w:val="262626"/>
                <w:sz w:val="20"/>
                <w:szCs w:val="20"/>
              </w:rPr>
            </w:pPr>
          </w:p>
        </w:tc>
        <w:tc>
          <w:tcPr>
            <w:tcW w:w="144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4844872" w14:textId="77777777" w:rsidR="006168E3" w:rsidRPr="00CE3352" w:rsidRDefault="006168E3" w:rsidP="001C624E">
            <w:pPr>
              <w:widowControl w:val="0"/>
              <w:autoSpaceDE w:val="0"/>
              <w:autoSpaceDN w:val="0"/>
              <w:adjustRightInd w:val="0"/>
              <w:jc w:val="center"/>
              <w:rPr>
                <w:rFonts w:asciiTheme="majorHAnsi" w:hAnsiTheme="majorHAnsi" w:cs="Arial"/>
                <w:color w:val="262626"/>
                <w:sz w:val="20"/>
                <w:szCs w:val="20"/>
              </w:rPr>
            </w:pPr>
            <w:r w:rsidRPr="00CE3352">
              <w:rPr>
                <w:rFonts w:asciiTheme="majorHAnsi" w:hAnsiTheme="majorHAnsi" w:cs="Arial"/>
                <w:color w:val="262626"/>
                <w:sz w:val="20"/>
                <w:szCs w:val="20"/>
              </w:rPr>
              <w:t>WS2</w:t>
            </w:r>
          </w:p>
        </w:tc>
      </w:tr>
      <w:tr w:rsidR="006168E3" w:rsidRPr="00CE3352" w14:paraId="047E8866" w14:textId="77777777" w:rsidTr="006168E3">
        <w:tc>
          <w:tcPr>
            <w:tcW w:w="811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2881C95" w14:textId="77777777" w:rsidR="001C624E" w:rsidRDefault="001C624E" w:rsidP="00C86B54">
            <w:pPr>
              <w:widowControl w:val="0"/>
              <w:autoSpaceDE w:val="0"/>
              <w:autoSpaceDN w:val="0"/>
              <w:adjustRightInd w:val="0"/>
              <w:rPr>
                <w:rFonts w:asciiTheme="majorHAnsi" w:hAnsiTheme="majorHAnsi" w:cs="Arial"/>
                <w:color w:val="262626"/>
                <w:sz w:val="20"/>
                <w:szCs w:val="20"/>
              </w:rPr>
            </w:pPr>
          </w:p>
          <w:p w14:paraId="2ABD594C" w14:textId="77777777" w:rsidR="006168E3" w:rsidRDefault="006168E3" w:rsidP="00C86B54">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Requi</w:t>
            </w:r>
            <w:r>
              <w:rPr>
                <w:rFonts w:asciiTheme="majorHAnsi" w:hAnsiTheme="majorHAnsi" w:cs="Arial"/>
                <w:color w:val="262626"/>
                <w:sz w:val="20"/>
                <w:szCs w:val="20"/>
              </w:rPr>
              <w:t xml:space="preserve">re all Advisory Committees (incl GAC) and Supporting Organizations (incl Number and Protocol </w:t>
            </w:r>
            <w:r w:rsidRPr="00CE3352">
              <w:rPr>
                <w:rFonts w:asciiTheme="majorHAnsi" w:hAnsiTheme="majorHAnsi" w:cs="Arial"/>
                <w:color w:val="262626"/>
                <w:sz w:val="20"/>
                <w:szCs w:val="20"/>
              </w:rPr>
              <w:t>entities</w:t>
            </w:r>
            <w:r>
              <w:rPr>
                <w:rFonts w:asciiTheme="majorHAnsi" w:hAnsiTheme="majorHAnsi" w:cs="Arial"/>
                <w:color w:val="262626"/>
                <w:sz w:val="20"/>
                <w:szCs w:val="20"/>
              </w:rPr>
              <w:t>)</w:t>
            </w:r>
            <w:r w:rsidRPr="00CE3352">
              <w:rPr>
                <w:rFonts w:asciiTheme="majorHAnsi" w:hAnsiTheme="majorHAnsi" w:cs="Arial"/>
                <w:color w:val="262626"/>
                <w:sz w:val="20"/>
                <w:szCs w:val="20"/>
              </w:rPr>
              <w:t xml:space="preserve"> to have accountability and transparency mechanisms aligned to those of ICANN</w:t>
            </w:r>
          </w:p>
          <w:p w14:paraId="4491D7CE" w14:textId="77777777" w:rsidR="001C624E" w:rsidRPr="00CE3352" w:rsidRDefault="001C624E" w:rsidP="00C86B54">
            <w:pPr>
              <w:widowControl w:val="0"/>
              <w:autoSpaceDE w:val="0"/>
              <w:autoSpaceDN w:val="0"/>
              <w:adjustRightInd w:val="0"/>
              <w:rPr>
                <w:rFonts w:asciiTheme="majorHAnsi" w:hAnsiTheme="majorHAnsi" w:cs="Arial"/>
                <w:color w:val="262626"/>
                <w:sz w:val="20"/>
                <w:szCs w:val="20"/>
              </w:rPr>
            </w:pPr>
          </w:p>
        </w:tc>
        <w:tc>
          <w:tcPr>
            <w:tcW w:w="144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1D4CE2F" w14:textId="77777777" w:rsidR="006168E3" w:rsidRPr="00CE3352" w:rsidRDefault="006168E3" w:rsidP="001C624E">
            <w:pPr>
              <w:widowControl w:val="0"/>
              <w:autoSpaceDE w:val="0"/>
              <w:autoSpaceDN w:val="0"/>
              <w:adjustRightInd w:val="0"/>
              <w:jc w:val="center"/>
              <w:rPr>
                <w:rFonts w:asciiTheme="majorHAnsi" w:hAnsiTheme="majorHAnsi" w:cs="Arial"/>
                <w:color w:val="262626"/>
                <w:sz w:val="20"/>
                <w:szCs w:val="20"/>
              </w:rPr>
            </w:pPr>
            <w:r w:rsidRPr="00CE3352">
              <w:rPr>
                <w:rFonts w:asciiTheme="majorHAnsi" w:hAnsiTheme="majorHAnsi" w:cs="Arial"/>
                <w:color w:val="262626"/>
                <w:sz w:val="20"/>
                <w:szCs w:val="20"/>
              </w:rPr>
              <w:t>WS2</w:t>
            </w:r>
          </w:p>
        </w:tc>
      </w:tr>
      <w:tr w:rsidR="00C16C92" w:rsidRPr="00CE3352" w14:paraId="1F89D64E" w14:textId="77777777" w:rsidTr="006168E3">
        <w:tc>
          <w:tcPr>
            <w:tcW w:w="811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29ADC76" w14:textId="77777777" w:rsidR="00C16C92" w:rsidRDefault="00C16C92" w:rsidP="00C86B54">
            <w:pPr>
              <w:widowControl w:val="0"/>
              <w:autoSpaceDE w:val="0"/>
              <w:autoSpaceDN w:val="0"/>
              <w:adjustRightInd w:val="0"/>
              <w:rPr>
                <w:rFonts w:asciiTheme="majorHAnsi" w:hAnsiTheme="majorHAnsi" w:cs="Arial"/>
                <w:color w:val="1A1A1A"/>
                <w:sz w:val="20"/>
                <w:szCs w:val="20"/>
              </w:rPr>
            </w:pPr>
          </w:p>
          <w:p w14:paraId="39C6B2AD" w14:textId="77777777" w:rsidR="00C16C92" w:rsidRDefault="00C16C92" w:rsidP="00C86B54">
            <w:pPr>
              <w:widowControl w:val="0"/>
              <w:autoSpaceDE w:val="0"/>
              <w:autoSpaceDN w:val="0"/>
              <w:adjustRightInd w:val="0"/>
              <w:rPr>
                <w:rFonts w:asciiTheme="majorHAnsi" w:hAnsiTheme="majorHAnsi" w:cs="Arial"/>
                <w:color w:val="1A1A1A"/>
                <w:sz w:val="20"/>
                <w:szCs w:val="20"/>
              </w:rPr>
            </w:pPr>
            <w:r w:rsidRPr="003B2AF7">
              <w:rPr>
                <w:rFonts w:asciiTheme="majorHAnsi" w:hAnsiTheme="majorHAnsi" w:cs="Arial"/>
                <w:b/>
                <w:color w:val="1A1A1A"/>
                <w:sz w:val="20"/>
                <w:szCs w:val="20"/>
              </w:rPr>
              <w:t>Community Veto.</w:t>
            </w:r>
            <w:r>
              <w:rPr>
                <w:rFonts w:asciiTheme="majorHAnsi" w:hAnsiTheme="majorHAnsi" w:cs="Arial"/>
                <w:color w:val="1A1A1A"/>
                <w:sz w:val="20"/>
                <w:szCs w:val="20"/>
              </w:rPr>
              <w:t xml:space="preserve">  </w:t>
            </w:r>
            <w:r w:rsidRPr="00D474D9">
              <w:rPr>
                <w:rFonts w:asciiTheme="majorHAnsi" w:hAnsiTheme="majorHAnsi" w:cs="Arial"/>
                <w:color w:val="1A1A1A"/>
                <w:sz w:val="20"/>
                <w:szCs w:val="20"/>
              </w:rPr>
              <w:t>Amend the existing corporate bylaws (and /or articles of incorporation) to create a new mechanism that empowers the Community to overturn board decisions on a limited number of specific, enumerated issues and also to recall nonperforming board members.  This community veto process would be fashioned such that a decision to over-rule the board is determined via aggregation of decisions of the existing ICANN community structures.  Each individual component of the relevant Community (for example, GAC, GNSO, At-Large, CCNSO, etc.) would have a proportional share in the over-all Decision of the Community (to veto or not to veto the board).  Each of these individual structures already has internal mechanisms to make decisions through which the larger Decision of the Community could ultimately be determined.  We must scope what specific enumerated decisions can trigger such a community veto process (ex: the list developed in Frankfurt) and also a specific mechanism for triggering the veto process (ex: complaint supported by relevant 2 community components).</w:t>
            </w:r>
          </w:p>
          <w:p w14:paraId="5B8D019E" w14:textId="131DC3E0" w:rsidR="003B2AF7" w:rsidRDefault="003B2AF7" w:rsidP="00C86B54">
            <w:pPr>
              <w:widowControl w:val="0"/>
              <w:autoSpaceDE w:val="0"/>
              <w:autoSpaceDN w:val="0"/>
              <w:adjustRightInd w:val="0"/>
              <w:rPr>
                <w:rFonts w:asciiTheme="majorHAnsi" w:hAnsiTheme="majorHAnsi" w:cs="Arial"/>
                <w:color w:val="262626"/>
                <w:sz w:val="20"/>
                <w:szCs w:val="20"/>
              </w:rPr>
            </w:pPr>
          </w:p>
        </w:tc>
        <w:tc>
          <w:tcPr>
            <w:tcW w:w="144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B83EF8D" w14:textId="75758D9D" w:rsidR="00C16C92" w:rsidRPr="00CE3352" w:rsidRDefault="00C16C92" w:rsidP="001C624E">
            <w:pPr>
              <w:widowControl w:val="0"/>
              <w:autoSpaceDE w:val="0"/>
              <w:autoSpaceDN w:val="0"/>
              <w:adjustRightInd w:val="0"/>
              <w:jc w:val="center"/>
              <w:rPr>
                <w:rFonts w:asciiTheme="majorHAnsi" w:hAnsiTheme="majorHAnsi" w:cs="Arial"/>
                <w:color w:val="262626"/>
                <w:sz w:val="20"/>
                <w:szCs w:val="20"/>
              </w:rPr>
            </w:pPr>
          </w:p>
        </w:tc>
      </w:tr>
      <w:tr w:rsidR="003B2AF7" w:rsidRPr="00CE3352" w14:paraId="0DE48D11" w14:textId="77777777" w:rsidTr="006168E3">
        <w:tc>
          <w:tcPr>
            <w:tcW w:w="811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D21F2FC" w14:textId="77777777" w:rsidR="003B2AF7" w:rsidRDefault="003B2AF7" w:rsidP="003B2AF7">
            <w:pPr>
              <w:widowControl w:val="0"/>
              <w:autoSpaceDE w:val="0"/>
              <w:autoSpaceDN w:val="0"/>
              <w:adjustRightInd w:val="0"/>
              <w:rPr>
                <w:rFonts w:asciiTheme="majorHAnsi" w:hAnsiTheme="majorHAnsi" w:cs="Arial"/>
                <w:color w:val="262626"/>
                <w:sz w:val="20"/>
                <w:szCs w:val="20"/>
              </w:rPr>
            </w:pPr>
          </w:p>
          <w:p w14:paraId="140489AA" w14:textId="6AD62CE3" w:rsidR="003B2AF7" w:rsidRDefault="003B2AF7" w:rsidP="003B2AF7">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 xml:space="preserve">Amend Articles or Bylaws to create a permanent standing Independent Review Panel </w:t>
            </w:r>
            <w:r>
              <w:rPr>
                <w:rFonts w:asciiTheme="majorHAnsi" w:hAnsiTheme="majorHAnsi" w:cs="Arial"/>
                <w:color w:val="262626"/>
                <w:sz w:val="20"/>
                <w:szCs w:val="20"/>
              </w:rPr>
              <w:t xml:space="preserve">that </w:t>
            </w:r>
            <w:r>
              <w:rPr>
                <w:rFonts w:asciiTheme="majorHAnsi" w:hAnsiTheme="majorHAnsi" w:cs="Arial"/>
                <w:color w:val="262626"/>
                <w:sz w:val="20"/>
                <w:szCs w:val="20"/>
              </w:rPr>
              <w:t xml:space="preserve">could make binding decisions on any Board Decision (as per ATRT recommendations). </w:t>
            </w:r>
          </w:p>
          <w:p w14:paraId="79296D1D" w14:textId="77777777" w:rsidR="003B2AF7" w:rsidRDefault="003B2AF7" w:rsidP="00C86B54">
            <w:pPr>
              <w:widowControl w:val="0"/>
              <w:autoSpaceDE w:val="0"/>
              <w:autoSpaceDN w:val="0"/>
              <w:adjustRightInd w:val="0"/>
              <w:rPr>
                <w:rFonts w:asciiTheme="majorHAnsi" w:hAnsiTheme="majorHAnsi" w:cs="Arial"/>
                <w:color w:val="1A1A1A"/>
                <w:sz w:val="20"/>
                <w:szCs w:val="20"/>
              </w:rPr>
            </w:pPr>
          </w:p>
        </w:tc>
        <w:tc>
          <w:tcPr>
            <w:tcW w:w="144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54BF436" w14:textId="77777777" w:rsidR="003B2AF7" w:rsidRPr="00CE3352" w:rsidRDefault="003B2AF7" w:rsidP="001C624E">
            <w:pPr>
              <w:widowControl w:val="0"/>
              <w:autoSpaceDE w:val="0"/>
              <w:autoSpaceDN w:val="0"/>
              <w:adjustRightInd w:val="0"/>
              <w:jc w:val="center"/>
              <w:rPr>
                <w:rFonts w:asciiTheme="majorHAnsi" w:hAnsiTheme="majorHAnsi" w:cs="Arial"/>
                <w:color w:val="262626"/>
                <w:sz w:val="20"/>
                <w:szCs w:val="20"/>
              </w:rPr>
            </w:pPr>
          </w:p>
        </w:tc>
      </w:tr>
    </w:tbl>
    <w:p w14:paraId="31782E50" w14:textId="77777777" w:rsidR="00795D7C" w:rsidRDefault="00795D7C" w:rsidP="00C86B54">
      <w:pPr>
        <w:rPr>
          <w:rFonts w:asciiTheme="majorHAnsi" w:hAnsiTheme="majorHAnsi"/>
          <w:sz w:val="22"/>
          <w:szCs w:val="22"/>
        </w:rPr>
      </w:pPr>
    </w:p>
    <w:p w14:paraId="6A9585B5" w14:textId="373803BE" w:rsidR="00795D7C" w:rsidRPr="00795D7C" w:rsidRDefault="00795D7C" w:rsidP="00C86B54">
      <w:pPr>
        <w:rPr>
          <w:rFonts w:asciiTheme="majorHAnsi" w:hAnsiTheme="majorHAnsi"/>
          <w:b/>
          <w:sz w:val="32"/>
          <w:szCs w:val="32"/>
        </w:rPr>
      </w:pPr>
      <w:r w:rsidRPr="00795D7C">
        <w:rPr>
          <w:rFonts w:asciiTheme="majorHAnsi" w:hAnsiTheme="majorHAnsi"/>
          <w:b/>
          <w:sz w:val="32"/>
          <w:szCs w:val="32"/>
        </w:rPr>
        <w:t>Possible Implementation Approaches</w:t>
      </w:r>
    </w:p>
    <w:p w14:paraId="05375802" w14:textId="77777777" w:rsidR="00795D7C" w:rsidRDefault="00795D7C" w:rsidP="00C86B54">
      <w:pPr>
        <w:rPr>
          <w:rFonts w:asciiTheme="majorHAnsi" w:hAnsiTheme="majorHAnsi"/>
          <w:sz w:val="22"/>
          <w:szCs w:val="22"/>
        </w:rPr>
      </w:pPr>
    </w:p>
    <w:p w14:paraId="0C2C84DE" w14:textId="77777777" w:rsidR="00795D7C" w:rsidRDefault="00795D7C" w:rsidP="00795D7C">
      <w:pPr>
        <w:rPr>
          <w:rFonts w:asciiTheme="majorHAnsi" w:hAnsiTheme="majorHAnsi" w:cs="Arial"/>
          <w:color w:val="262626"/>
          <w:sz w:val="22"/>
          <w:szCs w:val="20"/>
        </w:rPr>
      </w:pPr>
      <w:r>
        <w:rPr>
          <w:rFonts w:asciiTheme="majorHAnsi" w:hAnsiTheme="majorHAnsi" w:cs="Arial"/>
          <w:b/>
          <w:color w:val="262626"/>
          <w:sz w:val="22"/>
          <w:szCs w:val="20"/>
        </w:rPr>
        <w:t>Existing SO/AC Structure</w:t>
      </w:r>
    </w:p>
    <w:p w14:paraId="22F1F3EB" w14:textId="77777777" w:rsidR="00795D7C" w:rsidRPr="00024639" w:rsidRDefault="00795D7C" w:rsidP="00795D7C">
      <w:pPr>
        <w:ind w:left="720"/>
        <w:rPr>
          <w:rFonts w:asciiTheme="majorHAnsi" w:hAnsiTheme="majorHAnsi" w:cs="Arial"/>
          <w:color w:val="262626"/>
          <w:sz w:val="22"/>
          <w:szCs w:val="20"/>
        </w:rPr>
      </w:pPr>
      <w:r>
        <w:rPr>
          <w:rFonts w:asciiTheme="majorHAnsi" w:hAnsiTheme="majorHAnsi" w:cs="Arial"/>
          <w:color w:val="262626"/>
          <w:sz w:val="22"/>
          <w:szCs w:val="20"/>
        </w:rPr>
        <w:t xml:space="preserve">Powers would be exercised by use of existing SO/AC structures, following the process noted in the table above and further set out by the proposer (see blog post at </w:t>
      </w:r>
      <w:hyperlink r:id="rId9" w:history="1">
        <w:r w:rsidRPr="00986C8D">
          <w:rPr>
            <w:rStyle w:val="Hyperlink"/>
            <w:rFonts w:asciiTheme="majorHAnsi" w:hAnsiTheme="majorHAnsi" w:cs="Arial"/>
            <w:sz w:val="22"/>
            <w:szCs w:val="20"/>
          </w:rPr>
          <w:t>http://www.circleid.com/posts/20150203_proposal_for_creation_of_community_veto_for_key_icann_decisions/</w:t>
        </w:r>
      </w:hyperlink>
      <w:r>
        <w:rPr>
          <w:rFonts w:asciiTheme="majorHAnsi" w:hAnsiTheme="majorHAnsi" w:cs="Arial"/>
          <w:color w:val="262626"/>
          <w:sz w:val="22"/>
          <w:szCs w:val="20"/>
        </w:rPr>
        <w:t xml:space="preserve"> for details)</w:t>
      </w:r>
    </w:p>
    <w:p w14:paraId="37274BD9" w14:textId="77777777" w:rsidR="00795D7C" w:rsidRDefault="00795D7C" w:rsidP="00795D7C">
      <w:pPr>
        <w:rPr>
          <w:rFonts w:asciiTheme="majorHAnsi" w:hAnsiTheme="majorHAnsi" w:cs="Arial"/>
          <w:color w:val="262626"/>
          <w:sz w:val="22"/>
          <w:szCs w:val="20"/>
        </w:rPr>
      </w:pPr>
    </w:p>
    <w:p w14:paraId="799596A0" w14:textId="77777777" w:rsidR="00795D7C" w:rsidRPr="00145FED" w:rsidRDefault="00795D7C" w:rsidP="00795D7C">
      <w:pPr>
        <w:rPr>
          <w:rFonts w:asciiTheme="majorHAnsi" w:hAnsiTheme="majorHAnsi" w:cs="Arial"/>
          <w:b/>
          <w:color w:val="262626"/>
          <w:sz w:val="22"/>
          <w:szCs w:val="20"/>
        </w:rPr>
      </w:pPr>
      <w:r w:rsidRPr="00145FED">
        <w:rPr>
          <w:rFonts w:asciiTheme="majorHAnsi" w:hAnsiTheme="majorHAnsi" w:cs="Arial"/>
          <w:b/>
          <w:color w:val="262626"/>
          <w:sz w:val="22"/>
          <w:szCs w:val="20"/>
        </w:rPr>
        <w:t>Permanent Cross Community Working Group (CCWG)</w:t>
      </w:r>
    </w:p>
    <w:p w14:paraId="7AC06D4F" w14:textId="77777777" w:rsidR="00795D7C" w:rsidRDefault="00795D7C" w:rsidP="00795D7C">
      <w:pPr>
        <w:ind w:left="720"/>
        <w:rPr>
          <w:rFonts w:asciiTheme="majorHAnsi" w:hAnsiTheme="majorHAnsi" w:cs="Arial"/>
          <w:color w:val="262626"/>
          <w:sz w:val="22"/>
          <w:szCs w:val="20"/>
        </w:rPr>
      </w:pPr>
      <w:r>
        <w:rPr>
          <w:rFonts w:asciiTheme="majorHAnsi" w:hAnsiTheme="majorHAnsi" w:cs="Arial"/>
          <w:color w:val="262626"/>
          <w:sz w:val="22"/>
          <w:szCs w:val="20"/>
        </w:rPr>
        <w:t>Each AC/SO/SG would designate its representative to a permanent CCWG that stands ready to vote on challenges or initiatives filed by any AC/SO/SG.</w:t>
      </w:r>
    </w:p>
    <w:p w14:paraId="432E7333" w14:textId="77777777" w:rsidR="00795D7C" w:rsidRDefault="00795D7C" w:rsidP="00795D7C">
      <w:pPr>
        <w:rPr>
          <w:rFonts w:asciiTheme="majorHAnsi" w:hAnsiTheme="majorHAnsi" w:cs="Arial"/>
          <w:color w:val="262626"/>
          <w:sz w:val="22"/>
          <w:szCs w:val="20"/>
        </w:rPr>
      </w:pPr>
    </w:p>
    <w:p w14:paraId="68063CF9" w14:textId="77777777" w:rsidR="00795D7C" w:rsidRDefault="00795D7C" w:rsidP="00795D7C">
      <w:pPr>
        <w:rPr>
          <w:rFonts w:asciiTheme="majorHAnsi" w:hAnsiTheme="majorHAnsi" w:cs="Arial"/>
          <w:b/>
          <w:color w:val="262626"/>
          <w:sz w:val="22"/>
          <w:szCs w:val="20"/>
        </w:rPr>
      </w:pPr>
      <w:r>
        <w:rPr>
          <w:rFonts w:asciiTheme="majorHAnsi" w:hAnsiTheme="majorHAnsi" w:cs="Arial"/>
          <w:b/>
          <w:color w:val="262626"/>
          <w:sz w:val="22"/>
          <w:szCs w:val="20"/>
        </w:rPr>
        <w:t>Statutory Delegates</w:t>
      </w:r>
    </w:p>
    <w:p w14:paraId="525E074E" w14:textId="77777777" w:rsidR="00795D7C" w:rsidRPr="005B0133" w:rsidRDefault="00795D7C" w:rsidP="00795D7C">
      <w:pPr>
        <w:ind w:left="709"/>
        <w:rPr>
          <w:rFonts w:asciiTheme="majorHAnsi" w:hAnsiTheme="majorHAnsi" w:cs="Arial"/>
          <w:color w:val="262626"/>
          <w:sz w:val="22"/>
          <w:szCs w:val="20"/>
        </w:rPr>
      </w:pPr>
      <w:r w:rsidRPr="00E75D7F">
        <w:rPr>
          <w:rFonts w:asciiTheme="majorHAnsi" w:hAnsiTheme="majorHAnsi" w:cs="Arial"/>
          <w:color w:val="262626"/>
          <w:sz w:val="22"/>
          <w:szCs w:val="20"/>
        </w:rPr>
        <w:t xml:space="preserve">California non-profit law states that a non-profit corporation may have delegates, who would have some or all of the powers of members.  </w:t>
      </w:r>
      <w:r>
        <w:rPr>
          <w:rFonts w:asciiTheme="majorHAnsi" w:hAnsiTheme="majorHAnsi" w:cs="Arial"/>
          <w:color w:val="262626"/>
          <w:sz w:val="22"/>
          <w:szCs w:val="20"/>
        </w:rPr>
        <w:t>Such</w:t>
      </w:r>
      <w:r w:rsidRPr="00E75D7F">
        <w:rPr>
          <w:rFonts w:asciiTheme="majorHAnsi" w:hAnsiTheme="majorHAnsi" w:cs="Arial"/>
          <w:color w:val="262626"/>
          <w:sz w:val="22"/>
          <w:szCs w:val="20"/>
        </w:rPr>
        <w:t xml:space="preserve"> delegates would not be "statutory" members of the organization (and that the organization would not be a "membership" non-profit).</w:t>
      </w:r>
      <w:r>
        <w:rPr>
          <w:rFonts w:asciiTheme="majorHAnsi" w:hAnsiTheme="majorHAnsi" w:cs="Arial"/>
          <w:color w:val="262626"/>
          <w:sz w:val="22"/>
          <w:szCs w:val="20"/>
        </w:rPr>
        <w:t xml:space="preserve"> </w:t>
      </w:r>
      <w:r w:rsidRPr="00E75D7F">
        <w:rPr>
          <w:rFonts w:asciiTheme="majorHAnsi" w:hAnsiTheme="majorHAnsi" w:cs="Arial"/>
          <w:color w:val="262626"/>
          <w:sz w:val="22"/>
          <w:szCs w:val="20"/>
        </w:rPr>
        <w:t>Here is the statutory language, from Cal. Corp. Code §5152:</w:t>
      </w:r>
      <w:r>
        <w:rPr>
          <w:rFonts w:asciiTheme="majorHAnsi" w:hAnsiTheme="majorHAnsi" w:cs="Arial"/>
          <w:color w:val="262626"/>
          <w:sz w:val="22"/>
          <w:szCs w:val="20"/>
        </w:rPr>
        <w:t xml:space="preserve"> </w:t>
      </w:r>
      <w:r w:rsidRPr="00E75D7F">
        <w:rPr>
          <w:rFonts w:asciiTheme="majorHAnsi" w:hAnsiTheme="majorHAnsi" w:cs="Arial"/>
          <w:i/>
          <w:color w:val="262626"/>
          <w:sz w:val="22"/>
          <w:szCs w:val="20"/>
        </w:rPr>
        <w:t xml:space="preserve">A corporation may provide in its bylaws for delegates having some or all of the authority of members. </w:t>
      </w:r>
    </w:p>
    <w:p w14:paraId="7C4B15EC" w14:textId="77777777" w:rsidR="00795D7C" w:rsidRDefault="00795D7C" w:rsidP="00795D7C">
      <w:pPr>
        <w:rPr>
          <w:rFonts w:asciiTheme="majorHAnsi" w:hAnsiTheme="majorHAnsi" w:cs="Arial"/>
          <w:b/>
          <w:color w:val="262626"/>
          <w:sz w:val="22"/>
          <w:szCs w:val="20"/>
        </w:rPr>
      </w:pPr>
    </w:p>
    <w:p w14:paraId="6794EFB9" w14:textId="77777777" w:rsidR="00795D7C" w:rsidRDefault="00795D7C" w:rsidP="00795D7C">
      <w:pPr>
        <w:rPr>
          <w:rFonts w:asciiTheme="majorHAnsi" w:hAnsiTheme="majorHAnsi" w:cs="Arial"/>
          <w:b/>
          <w:color w:val="262626"/>
          <w:sz w:val="22"/>
          <w:szCs w:val="20"/>
        </w:rPr>
      </w:pPr>
      <w:r w:rsidRPr="00145FED">
        <w:rPr>
          <w:rFonts w:asciiTheme="majorHAnsi" w:hAnsiTheme="majorHAnsi" w:cs="Arial"/>
          <w:b/>
          <w:color w:val="262626"/>
          <w:sz w:val="22"/>
          <w:szCs w:val="20"/>
        </w:rPr>
        <w:t>Statutory Members</w:t>
      </w:r>
    </w:p>
    <w:p w14:paraId="57BD891D" w14:textId="77777777" w:rsidR="00795D7C" w:rsidRPr="00145FED" w:rsidRDefault="00795D7C" w:rsidP="00795D7C">
      <w:pPr>
        <w:ind w:left="720"/>
        <w:rPr>
          <w:rFonts w:asciiTheme="majorHAnsi" w:hAnsiTheme="majorHAnsi" w:cs="Arial"/>
          <w:color w:val="262626"/>
          <w:sz w:val="22"/>
          <w:szCs w:val="20"/>
        </w:rPr>
      </w:pPr>
      <w:r w:rsidRPr="00145FED">
        <w:rPr>
          <w:rFonts w:asciiTheme="majorHAnsi" w:hAnsiTheme="majorHAnsi" w:cs="Arial"/>
          <w:color w:val="262626"/>
          <w:sz w:val="22"/>
          <w:szCs w:val="20"/>
        </w:rPr>
        <w:t xml:space="preserve">California Nonprofit Corporation Law expressly authorizes non-profit organizations to have Members with ultimate authority to control the organization. Under Cal. Corp. Code § 5310 </w:t>
      </w:r>
      <w:r w:rsidRPr="00AC603B">
        <w:rPr>
          <w:rFonts w:asciiTheme="majorHAnsi" w:hAnsiTheme="majorHAnsi"/>
          <w:i/>
          <w:color w:val="262626"/>
          <w:sz w:val="22"/>
        </w:rPr>
        <w:t>“A corporation may admit persons to Membership, as provided in its Articles or Bylaws”.</w:t>
      </w:r>
      <w:r w:rsidRPr="00145FED">
        <w:rPr>
          <w:rFonts w:asciiTheme="majorHAnsi" w:hAnsiTheme="majorHAnsi" w:cs="Arial"/>
          <w:color w:val="262626"/>
          <w:sz w:val="22"/>
          <w:szCs w:val="20"/>
        </w:rPr>
        <w:t xml:space="preserve"> California law recognizes that Members may reserve the right to approve nonprofit actions and oversee the Board of Directors. (§ 5210) A Board of Directors’ authority to conduct the affairs of a nonprofit may be limited by the rights of the Members specified in the law or in the nonprofit corporation’s Articles or Bylaws.</w:t>
      </w:r>
    </w:p>
    <w:p w14:paraId="1D41EF82" w14:textId="77777777" w:rsidR="00795D7C" w:rsidRDefault="00795D7C" w:rsidP="00795D7C">
      <w:pPr>
        <w:ind w:left="720"/>
        <w:rPr>
          <w:rFonts w:asciiTheme="majorHAnsi" w:hAnsiTheme="majorHAnsi" w:cs="Arial"/>
          <w:color w:val="262626"/>
          <w:sz w:val="22"/>
          <w:szCs w:val="20"/>
        </w:rPr>
      </w:pPr>
    </w:p>
    <w:p w14:paraId="058E1D21" w14:textId="77777777" w:rsidR="00795D7C" w:rsidRDefault="00795D7C" w:rsidP="00795D7C">
      <w:pPr>
        <w:ind w:left="720"/>
        <w:rPr>
          <w:rFonts w:asciiTheme="majorHAnsi" w:hAnsiTheme="majorHAnsi" w:cs="Arial"/>
          <w:color w:val="262626"/>
          <w:sz w:val="22"/>
          <w:szCs w:val="20"/>
        </w:rPr>
      </w:pPr>
      <w:r w:rsidRPr="00145FED">
        <w:rPr>
          <w:rFonts w:asciiTheme="majorHAnsi" w:hAnsiTheme="majorHAnsi" w:cs="Arial"/>
          <w:color w:val="262626"/>
          <w:sz w:val="22"/>
          <w:szCs w:val="20"/>
        </w:rPr>
        <w:t xml:space="preserve">Although ICANN does not currently have Members under Article XVII of its Bylaws, ICANN’s Articles of Incorporation expressly anticipate that ICANN </w:t>
      </w:r>
      <w:r w:rsidRPr="00145FED">
        <w:rPr>
          <w:rFonts w:asciiTheme="majorHAnsi" w:hAnsiTheme="majorHAnsi" w:cs="Arial"/>
          <w:color w:val="262626"/>
          <w:sz w:val="22"/>
          <w:szCs w:val="20"/>
          <w:u w:val="single"/>
        </w:rPr>
        <w:t>may</w:t>
      </w:r>
      <w:r w:rsidRPr="00145FED">
        <w:rPr>
          <w:rFonts w:asciiTheme="majorHAnsi" w:hAnsiTheme="majorHAnsi" w:cs="Arial"/>
          <w:color w:val="262626"/>
          <w:sz w:val="22"/>
          <w:szCs w:val="20"/>
        </w:rPr>
        <w:t xml:space="preserve"> have Members: “These Articles may be amended by the affirmative of at least two-thirds of the directors of the Corporation. When the Corporation has Members, amendments must be ratified by a two-thirds (2/3) majority of the Members voting on any proposed amendment.”  (Section 9)</w:t>
      </w:r>
    </w:p>
    <w:p w14:paraId="380038BB" w14:textId="77777777" w:rsidR="00795D7C" w:rsidRDefault="00795D7C" w:rsidP="00795D7C">
      <w:pPr>
        <w:ind w:left="720"/>
        <w:rPr>
          <w:rFonts w:asciiTheme="majorHAnsi" w:hAnsiTheme="majorHAnsi" w:cs="Arial"/>
          <w:color w:val="262626"/>
          <w:sz w:val="22"/>
          <w:szCs w:val="20"/>
        </w:rPr>
      </w:pPr>
    </w:p>
    <w:p w14:paraId="7B8D2B2E" w14:textId="77777777" w:rsidR="00795D7C" w:rsidRDefault="00795D7C" w:rsidP="00795D7C">
      <w:pPr>
        <w:ind w:left="720"/>
        <w:rPr>
          <w:rFonts w:asciiTheme="majorHAnsi" w:hAnsiTheme="majorHAnsi" w:cs="Arial"/>
          <w:color w:val="262626"/>
          <w:sz w:val="22"/>
          <w:szCs w:val="20"/>
        </w:rPr>
      </w:pPr>
      <w:r>
        <w:rPr>
          <w:rFonts w:asciiTheme="majorHAnsi" w:hAnsiTheme="majorHAnsi" w:cs="Arial"/>
          <w:color w:val="262626"/>
          <w:sz w:val="22"/>
          <w:szCs w:val="20"/>
        </w:rPr>
        <w:t>Each AC/SO/SG would designate its Member representative.  The Members stand ready to vote on challenges or initiatives filed by any Member</w:t>
      </w:r>
    </w:p>
    <w:p w14:paraId="71BE8E53" w14:textId="77777777" w:rsidR="00795D7C" w:rsidRDefault="00795D7C" w:rsidP="00795D7C">
      <w:pPr>
        <w:rPr>
          <w:rFonts w:asciiTheme="majorHAnsi" w:hAnsiTheme="majorHAnsi" w:cs="Arial"/>
          <w:b/>
          <w:color w:val="262626"/>
          <w:sz w:val="22"/>
          <w:szCs w:val="20"/>
        </w:rPr>
      </w:pPr>
    </w:p>
    <w:p w14:paraId="366707DB" w14:textId="77777777" w:rsidR="00795D7C" w:rsidRDefault="00795D7C" w:rsidP="00795D7C">
      <w:pPr>
        <w:rPr>
          <w:rFonts w:asciiTheme="majorHAnsi" w:hAnsiTheme="majorHAnsi" w:cs="Arial"/>
          <w:b/>
          <w:color w:val="262626"/>
          <w:sz w:val="22"/>
          <w:szCs w:val="20"/>
        </w:rPr>
      </w:pPr>
      <w:r>
        <w:rPr>
          <w:rFonts w:asciiTheme="majorHAnsi" w:hAnsiTheme="majorHAnsi" w:cs="Arial"/>
          <w:b/>
          <w:color w:val="262626"/>
          <w:sz w:val="22"/>
          <w:szCs w:val="20"/>
        </w:rPr>
        <w:t>Supervisory Board</w:t>
      </w:r>
    </w:p>
    <w:p w14:paraId="29A52038" w14:textId="77777777" w:rsidR="00795D7C" w:rsidRDefault="00795D7C" w:rsidP="00795D7C">
      <w:pPr>
        <w:ind w:left="720"/>
        <w:rPr>
          <w:rFonts w:asciiTheme="majorHAnsi" w:hAnsiTheme="majorHAnsi" w:cs="Arial"/>
          <w:color w:val="262626"/>
          <w:sz w:val="22"/>
          <w:szCs w:val="20"/>
        </w:rPr>
      </w:pPr>
      <w:r>
        <w:rPr>
          <w:rFonts w:asciiTheme="majorHAnsi" w:hAnsiTheme="majorHAnsi" w:cs="Arial"/>
          <w:color w:val="262626"/>
          <w:sz w:val="22"/>
          <w:szCs w:val="20"/>
        </w:rPr>
        <w:t xml:space="preserve">Create a two-tier board structure for ICANN as is common in some European companies, where the community’s representatives sit in the Supervisory Board and have specific enumerated powers, and the general governance of ICANN remains the role of the ICANN Board </w:t>
      </w:r>
      <w:r>
        <w:rPr>
          <w:rFonts w:asciiTheme="majorHAnsi" w:hAnsiTheme="majorHAnsi" w:cs="Arial"/>
          <w:color w:val="262626"/>
          <w:sz w:val="22"/>
          <w:szCs w:val="20"/>
        </w:rPr>
        <w:br/>
      </w:r>
      <w:r>
        <w:rPr>
          <w:rFonts w:asciiTheme="majorHAnsi" w:hAnsiTheme="majorHAnsi" w:cs="Arial"/>
          <w:color w:val="262626"/>
          <w:sz w:val="22"/>
          <w:szCs w:val="20"/>
        </w:rPr>
        <w:br/>
        <w:t>[get details from Roelof</w:t>
      </w:r>
      <w:bookmarkStart w:id="0" w:name="_GoBack"/>
      <w:bookmarkEnd w:id="0"/>
      <w:r>
        <w:rPr>
          <w:rFonts w:asciiTheme="majorHAnsi" w:hAnsiTheme="majorHAnsi" w:cs="Arial"/>
          <w:color w:val="262626"/>
          <w:sz w:val="22"/>
          <w:szCs w:val="20"/>
        </w:rPr>
        <w:t xml:space="preserve"> Meijer]</w:t>
      </w:r>
    </w:p>
    <w:p w14:paraId="3ED1DF02" w14:textId="77777777" w:rsidR="00795D7C" w:rsidRDefault="00795D7C" w:rsidP="00795D7C">
      <w:pPr>
        <w:rPr>
          <w:rFonts w:asciiTheme="majorHAnsi" w:hAnsiTheme="majorHAnsi" w:cs="Arial"/>
          <w:color w:val="262626"/>
          <w:sz w:val="22"/>
          <w:szCs w:val="20"/>
        </w:rPr>
      </w:pPr>
    </w:p>
    <w:p w14:paraId="46FEB6A9" w14:textId="77777777" w:rsidR="00795D7C" w:rsidRDefault="00795D7C">
      <w:pPr>
        <w:rPr>
          <w:rFonts w:asciiTheme="majorHAnsi" w:hAnsiTheme="majorHAnsi" w:cs="Arial"/>
          <w:b/>
          <w:color w:val="262626"/>
          <w:sz w:val="32"/>
          <w:szCs w:val="20"/>
        </w:rPr>
      </w:pPr>
      <w:r>
        <w:rPr>
          <w:rFonts w:asciiTheme="majorHAnsi" w:hAnsiTheme="majorHAnsi" w:cs="Arial"/>
          <w:b/>
          <w:color w:val="262626"/>
          <w:sz w:val="32"/>
          <w:szCs w:val="20"/>
        </w:rPr>
        <w:br w:type="page"/>
      </w:r>
    </w:p>
    <w:p w14:paraId="1C5262CA" w14:textId="344E9D8B" w:rsidR="00795D7C" w:rsidRPr="005B0133" w:rsidRDefault="00795D7C" w:rsidP="00795D7C">
      <w:pPr>
        <w:rPr>
          <w:rFonts w:asciiTheme="majorHAnsi" w:hAnsiTheme="majorHAnsi" w:cs="Arial"/>
          <w:b/>
          <w:color w:val="262626"/>
          <w:sz w:val="22"/>
          <w:szCs w:val="20"/>
        </w:rPr>
      </w:pPr>
      <w:r w:rsidRPr="005B0133">
        <w:rPr>
          <w:rFonts w:asciiTheme="majorHAnsi" w:hAnsiTheme="majorHAnsi" w:cs="Arial"/>
          <w:b/>
          <w:color w:val="262626"/>
          <w:sz w:val="32"/>
          <w:szCs w:val="20"/>
        </w:rPr>
        <w:t>Appendix</w:t>
      </w:r>
    </w:p>
    <w:p w14:paraId="1FA49482" w14:textId="77777777" w:rsidR="00795D7C" w:rsidRPr="00AC603B" w:rsidRDefault="00795D7C" w:rsidP="00795D7C">
      <w:pPr>
        <w:rPr>
          <w:rFonts w:asciiTheme="majorHAnsi" w:hAnsiTheme="majorHAnsi"/>
          <w:color w:val="262626"/>
          <w:sz w:val="22"/>
        </w:rPr>
      </w:pPr>
    </w:p>
    <w:p w14:paraId="07E210C1" w14:textId="77777777" w:rsidR="00795D7C" w:rsidRPr="005B0133" w:rsidRDefault="00795D7C" w:rsidP="00795D7C">
      <w:pPr>
        <w:rPr>
          <w:rFonts w:asciiTheme="majorHAnsi" w:hAnsiTheme="majorHAnsi" w:cs="Arial"/>
          <w:b/>
          <w:color w:val="262626"/>
          <w:sz w:val="32"/>
          <w:szCs w:val="20"/>
        </w:rPr>
      </w:pPr>
      <w:r w:rsidRPr="00AC603B">
        <w:rPr>
          <w:rFonts w:asciiTheme="majorHAnsi" w:hAnsiTheme="majorHAnsi"/>
          <w:b/>
          <w:color w:val="262626"/>
          <w:sz w:val="32"/>
        </w:rPr>
        <w:t>Background</w:t>
      </w:r>
      <w:r w:rsidRPr="005B0133">
        <w:rPr>
          <w:rFonts w:asciiTheme="majorHAnsi" w:hAnsiTheme="majorHAnsi" w:cs="Arial"/>
          <w:b/>
          <w:color w:val="262626"/>
          <w:sz w:val="32"/>
          <w:szCs w:val="20"/>
        </w:rPr>
        <w:t xml:space="preserve"> for this work</w:t>
      </w:r>
    </w:p>
    <w:p w14:paraId="06A96135" w14:textId="77777777" w:rsidR="00795D7C" w:rsidRPr="00AC603B" w:rsidRDefault="00795D7C" w:rsidP="00795D7C">
      <w:pPr>
        <w:rPr>
          <w:rFonts w:asciiTheme="majorHAnsi" w:hAnsiTheme="majorHAnsi"/>
          <w:color w:val="262626"/>
          <w:sz w:val="22"/>
        </w:rPr>
      </w:pPr>
    </w:p>
    <w:p w14:paraId="2B02DE5C" w14:textId="77777777" w:rsidR="00795D7C" w:rsidRDefault="00795D7C" w:rsidP="00795D7C">
      <w:pPr>
        <w:widowControl w:val="0"/>
        <w:autoSpaceDE w:val="0"/>
        <w:autoSpaceDN w:val="0"/>
        <w:adjustRightInd w:val="0"/>
        <w:rPr>
          <w:rFonts w:asciiTheme="majorHAnsi" w:hAnsiTheme="majorHAnsi" w:cs="Arial"/>
          <w:bCs/>
          <w:color w:val="262626"/>
          <w:sz w:val="22"/>
          <w:szCs w:val="20"/>
        </w:rPr>
      </w:pPr>
      <w:r>
        <w:rPr>
          <w:rFonts w:asciiTheme="majorHAnsi" w:hAnsiTheme="majorHAnsi" w:cs="Arial"/>
          <w:bCs/>
          <w:color w:val="262626"/>
          <w:sz w:val="22"/>
          <w:szCs w:val="20"/>
        </w:rPr>
        <w:t xml:space="preserve">CCWG Work Team 2 developed an inventory of accountability suggestions gathered from previous public comments and WG input.  This inventory was last updated 15-Jan and published </w:t>
      </w:r>
      <w:hyperlink r:id="rId10" w:history="1">
        <w:r w:rsidRPr="00F432FA">
          <w:rPr>
            <w:rStyle w:val="Hyperlink"/>
            <w:rFonts w:asciiTheme="majorHAnsi" w:hAnsiTheme="majorHAnsi" w:cs="Arial"/>
            <w:bCs/>
            <w:sz w:val="22"/>
            <w:szCs w:val="20"/>
          </w:rPr>
          <w:t>here</w:t>
        </w:r>
      </w:hyperlink>
      <w:r>
        <w:rPr>
          <w:rFonts w:asciiTheme="majorHAnsi" w:hAnsiTheme="majorHAnsi" w:cs="Arial"/>
          <w:bCs/>
          <w:color w:val="262626"/>
          <w:sz w:val="22"/>
          <w:szCs w:val="20"/>
        </w:rPr>
        <w:t xml:space="preserve">.  </w:t>
      </w:r>
    </w:p>
    <w:p w14:paraId="28193A6D" w14:textId="77777777" w:rsidR="00795D7C" w:rsidRDefault="00795D7C" w:rsidP="00795D7C">
      <w:pPr>
        <w:widowControl w:val="0"/>
        <w:autoSpaceDE w:val="0"/>
        <w:autoSpaceDN w:val="0"/>
        <w:adjustRightInd w:val="0"/>
        <w:rPr>
          <w:rFonts w:asciiTheme="majorHAnsi" w:hAnsiTheme="majorHAnsi" w:cs="Arial"/>
          <w:bCs/>
          <w:color w:val="262626"/>
          <w:sz w:val="22"/>
          <w:szCs w:val="20"/>
        </w:rPr>
      </w:pPr>
    </w:p>
    <w:p w14:paraId="6AE33A9E" w14:textId="77777777" w:rsidR="00795D7C" w:rsidRPr="009D739B" w:rsidRDefault="00795D7C" w:rsidP="00795D7C">
      <w:pPr>
        <w:widowControl w:val="0"/>
        <w:autoSpaceDE w:val="0"/>
        <w:autoSpaceDN w:val="0"/>
        <w:adjustRightInd w:val="0"/>
        <w:rPr>
          <w:rFonts w:asciiTheme="majorHAnsi" w:hAnsiTheme="majorHAnsi" w:cs="Arial"/>
          <w:bCs/>
          <w:color w:val="262626"/>
          <w:sz w:val="22"/>
          <w:szCs w:val="20"/>
        </w:rPr>
      </w:pPr>
      <w:r>
        <w:rPr>
          <w:rFonts w:asciiTheme="majorHAnsi" w:hAnsiTheme="majorHAnsi" w:cs="Arial"/>
          <w:bCs/>
          <w:color w:val="262626"/>
          <w:sz w:val="22"/>
          <w:szCs w:val="20"/>
        </w:rPr>
        <w:t>At its Frankfurt meetings, the CCWG used that inventory to develop high-level requirements for accountability measures, portrayed in the ‘mind map’ shown below (1/2 designate Work Stream):</w:t>
      </w:r>
    </w:p>
    <w:p w14:paraId="2A4CA321" w14:textId="77777777" w:rsidR="00795D7C" w:rsidRDefault="00795D7C" w:rsidP="00795D7C">
      <w:pPr>
        <w:widowControl w:val="0"/>
        <w:autoSpaceDE w:val="0"/>
        <w:autoSpaceDN w:val="0"/>
        <w:adjustRightInd w:val="0"/>
        <w:rPr>
          <w:rFonts w:asciiTheme="majorHAnsi" w:hAnsiTheme="majorHAnsi" w:cs="Arial"/>
          <w:color w:val="262626"/>
          <w:sz w:val="20"/>
          <w:szCs w:val="20"/>
        </w:rPr>
      </w:pPr>
      <w:r w:rsidRPr="00AC603B">
        <w:rPr>
          <w:rFonts w:asciiTheme="majorHAnsi" w:hAnsiTheme="majorHAnsi" w:cs="Arial"/>
          <w:noProof/>
          <w:color w:val="262626"/>
          <w:sz w:val="20"/>
          <w:szCs w:val="20"/>
        </w:rPr>
        <w:drawing>
          <wp:inline distT="0" distB="0" distL="0" distR="0" wp14:anchorId="6FE05063" wp14:editId="0B78CC9F">
            <wp:extent cx="6245605" cy="4893522"/>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 Map 2015-01-20 from Frankfurt.png"/>
                    <pic:cNvPicPr/>
                  </pic:nvPicPr>
                  <pic:blipFill>
                    <a:blip r:embed="rId11">
                      <a:extLst>
                        <a:ext uri="{28A0092B-C50C-407E-A947-70E740481C1C}">
                          <a14:useLocalDpi xmlns:a14="http://schemas.microsoft.com/office/drawing/2010/main" val="0"/>
                        </a:ext>
                      </a:extLst>
                    </a:blip>
                    <a:stretch>
                      <a:fillRect/>
                    </a:stretch>
                  </pic:blipFill>
                  <pic:spPr>
                    <a:xfrm>
                      <a:off x="0" y="0"/>
                      <a:ext cx="6245605" cy="4893522"/>
                    </a:xfrm>
                    <a:prstGeom prst="rect">
                      <a:avLst/>
                    </a:prstGeom>
                  </pic:spPr>
                </pic:pic>
              </a:graphicData>
            </a:graphic>
          </wp:inline>
        </w:drawing>
      </w:r>
    </w:p>
    <w:p w14:paraId="591AF9D6" w14:textId="77777777" w:rsidR="00795D7C" w:rsidRDefault="00795D7C" w:rsidP="00795D7C">
      <w:pPr>
        <w:widowControl w:val="0"/>
        <w:autoSpaceDE w:val="0"/>
        <w:autoSpaceDN w:val="0"/>
        <w:adjustRightInd w:val="0"/>
        <w:rPr>
          <w:rFonts w:asciiTheme="majorHAnsi" w:hAnsiTheme="majorHAnsi" w:cs="Arial"/>
          <w:color w:val="262626"/>
          <w:sz w:val="20"/>
          <w:szCs w:val="20"/>
        </w:rPr>
      </w:pPr>
    </w:p>
    <w:p w14:paraId="7AEF6034" w14:textId="77777777" w:rsidR="00795D7C" w:rsidRDefault="00795D7C" w:rsidP="00795D7C">
      <w:pPr>
        <w:rPr>
          <w:rFonts w:asciiTheme="majorHAnsi" w:hAnsiTheme="majorHAnsi" w:cs="Arial"/>
          <w:color w:val="262626"/>
          <w:sz w:val="22"/>
          <w:szCs w:val="20"/>
        </w:rPr>
      </w:pPr>
    </w:p>
    <w:p w14:paraId="4C4AA672" w14:textId="77777777" w:rsidR="00795D7C" w:rsidRPr="0023756E" w:rsidRDefault="00795D7C" w:rsidP="00795D7C">
      <w:pPr>
        <w:rPr>
          <w:rFonts w:asciiTheme="majorHAnsi" w:hAnsiTheme="majorHAnsi" w:cs="Arial"/>
          <w:color w:val="262626"/>
          <w:sz w:val="22"/>
          <w:szCs w:val="20"/>
        </w:rPr>
      </w:pPr>
    </w:p>
    <w:p w14:paraId="66E0517B" w14:textId="77777777" w:rsidR="00795D7C" w:rsidRPr="00CE3352" w:rsidRDefault="00795D7C" w:rsidP="00795D7C">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 </w:t>
      </w:r>
    </w:p>
    <w:p w14:paraId="46A2D55E" w14:textId="77777777" w:rsidR="00795D7C" w:rsidRPr="00CE3352" w:rsidRDefault="00795D7C" w:rsidP="00795D7C">
      <w:pPr>
        <w:widowControl w:val="0"/>
        <w:autoSpaceDE w:val="0"/>
        <w:autoSpaceDN w:val="0"/>
        <w:adjustRightInd w:val="0"/>
        <w:rPr>
          <w:rFonts w:asciiTheme="majorHAnsi" w:hAnsiTheme="majorHAnsi" w:cs="Arial"/>
          <w:color w:val="262626"/>
          <w:sz w:val="20"/>
          <w:szCs w:val="20"/>
          <w:u w:color="262626"/>
        </w:rPr>
      </w:pPr>
      <w:r w:rsidRPr="00CE3352">
        <w:rPr>
          <w:rFonts w:asciiTheme="majorHAnsi" w:hAnsiTheme="majorHAnsi" w:cs="Arial"/>
          <w:color w:val="262626"/>
          <w:sz w:val="20"/>
          <w:szCs w:val="20"/>
          <w:u w:color="262626"/>
        </w:rPr>
        <w:t> </w:t>
      </w:r>
    </w:p>
    <w:p w14:paraId="7AF460A5" w14:textId="0FED43E5" w:rsidR="00795D7C" w:rsidRPr="00795D7C" w:rsidRDefault="00795D7C" w:rsidP="00795D7C">
      <w:pPr>
        <w:rPr>
          <w:rFonts w:asciiTheme="majorHAnsi" w:hAnsiTheme="majorHAnsi"/>
          <w:b/>
          <w:sz w:val="32"/>
          <w:szCs w:val="32"/>
        </w:rPr>
      </w:pPr>
    </w:p>
    <w:sectPr w:rsidR="00795D7C" w:rsidRPr="00795D7C" w:rsidSect="009372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FC84A" w14:textId="77777777" w:rsidR="00C16C92" w:rsidRDefault="00C16C92" w:rsidP="007F2C4D">
      <w:r>
        <w:separator/>
      </w:r>
    </w:p>
  </w:endnote>
  <w:endnote w:type="continuationSeparator" w:id="0">
    <w:p w14:paraId="1CFB7993" w14:textId="77777777" w:rsidR="00C16C92" w:rsidRDefault="00C16C92" w:rsidP="007F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Light">
    <w:panose1 w:val="020B0403020202020204"/>
    <w:charset w:val="00"/>
    <w:family w:val="auto"/>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901AC" w14:textId="77777777" w:rsidR="00C16C92" w:rsidRDefault="00C16C92" w:rsidP="007F2C4D">
      <w:r>
        <w:separator/>
      </w:r>
    </w:p>
  </w:footnote>
  <w:footnote w:type="continuationSeparator" w:id="0">
    <w:p w14:paraId="207AE41F" w14:textId="77777777" w:rsidR="00C16C92" w:rsidRDefault="00C16C92" w:rsidP="007F2C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8FA"/>
    <w:multiLevelType w:val="hybridMultilevel"/>
    <w:tmpl w:val="F77E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D2A8E"/>
    <w:multiLevelType w:val="hybridMultilevel"/>
    <w:tmpl w:val="81284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9672F4"/>
    <w:multiLevelType w:val="hybridMultilevel"/>
    <w:tmpl w:val="A6B61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E2786"/>
    <w:multiLevelType w:val="hybridMultilevel"/>
    <w:tmpl w:val="08948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AB6FA2"/>
    <w:multiLevelType w:val="hybridMultilevel"/>
    <w:tmpl w:val="E4EA7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B65BC3"/>
    <w:multiLevelType w:val="hybridMultilevel"/>
    <w:tmpl w:val="B0984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56CE5"/>
    <w:multiLevelType w:val="hybridMultilevel"/>
    <w:tmpl w:val="9B1AD4D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E20B42"/>
    <w:multiLevelType w:val="hybridMultilevel"/>
    <w:tmpl w:val="56EA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2F599B"/>
    <w:multiLevelType w:val="hybridMultilevel"/>
    <w:tmpl w:val="B15E0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F8616A"/>
    <w:multiLevelType w:val="hybridMultilevel"/>
    <w:tmpl w:val="DFA09F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1E7C80"/>
    <w:multiLevelType w:val="hybridMultilevel"/>
    <w:tmpl w:val="B0984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C134DF"/>
    <w:multiLevelType w:val="hybridMultilevel"/>
    <w:tmpl w:val="F412D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2B4790"/>
    <w:multiLevelType w:val="hybridMultilevel"/>
    <w:tmpl w:val="29808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D9F202A"/>
    <w:multiLevelType w:val="hybridMultilevel"/>
    <w:tmpl w:val="5C1C1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DE2285"/>
    <w:multiLevelType w:val="hybridMultilevel"/>
    <w:tmpl w:val="EAD2342A"/>
    <w:lvl w:ilvl="0" w:tplc="C7243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66332D"/>
    <w:multiLevelType w:val="hybridMultilevel"/>
    <w:tmpl w:val="1A1AC150"/>
    <w:lvl w:ilvl="0" w:tplc="ABB0ED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5A6353"/>
    <w:multiLevelType w:val="hybridMultilevel"/>
    <w:tmpl w:val="51D2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C1150D"/>
    <w:multiLevelType w:val="hybridMultilevel"/>
    <w:tmpl w:val="881C2932"/>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8">
    <w:nsid w:val="73750FB1"/>
    <w:multiLevelType w:val="hybridMultilevel"/>
    <w:tmpl w:val="770EB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14"/>
  </w:num>
  <w:num w:numId="4">
    <w:abstractNumId w:val="9"/>
  </w:num>
  <w:num w:numId="5">
    <w:abstractNumId w:val="6"/>
  </w:num>
  <w:num w:numId="6">
    <w:abstractNumId w:val="0"/>
  </w:num>
  <w:num w:numId="7">
    <w:abstractNumId w:val="5"/>
  </w:num>
  <w:num w:numId="8">
    <w:abstractNumId w:val="1"/>
  </w:num>
  <w:num w:numId="9">
    <w:abstractNumId w:val="7"/>
  </w:num>
  <w:num w:numId="10">
    <w:abstractNumId w:val="15"/>
  </w:num>
  <w:num w:numId="11">
    <w:abstractNumId w:val="17"/>
  </w:num>
  <w:num w:numId="12">
    <w:abstractNumId w:val="16"/>
  </w:num>
  <w:num w:numId="13">
    <w:abstractNumId w:val="12"/>
  </w:num>
  <w:num w:numId="14">
    <w:abstractNumId w:val="13"/>
  </w:num>
  <w:num w:numId="15">
    <w:abstractNumId w:val="18"/>
  </w:num>
  <w:num w:numId="16">
    <w:abstractNumId w:val="8"/>
  </w:num>
  <w:num w:numId="17">
    <w:abstractNumId w:val="11"/>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0E"/>
    <w:rsid w:val="00046168"/>
    <w:rsid w:val="001C624E"/>
    <w:rsid w:val="002E12E3"/>
    <w:rsid w:val="00337277"/>
    <w:rsid w:val="003B2AF7"/>
    <w:rsid w:val="003F3F83"/>
    <w:rsid w:val="004D3A24"/>
    <w:rsid w:val="004F6A9D"/>
    <w:rsid w:val="006168E3"/>
    <w:rsid w:val="006D3F24"/>
    <w:rsid w:val="00795D7C"/>
    <w:rsid w:val="007F2C4D"/>
    <w:rsid w:val="0093720E"/>
    <w:rsid w:val="00AA039C"/>
    <w:rsid w:val="00C16C92"/>
    <w:rsid w:val="00C86B54"/>
    <w:rsid w:val="00DC41BD"/>
    <w:rsid w:val="00E3783F"/>
    <w:rsid w:val="00F73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CD3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2E3"/>
    <w:pPr>
      <w:ind w:left="720"/>
      <w:contextualSpacing/>
    </w:pPr>
  </w:style>
  <w:style w:type="table" w:styleId="TableGrid">
    <w:name w:val="Table Grid"/>
    <w:basedOn w:val="TableNormal"/>
    <w:uiPriority w:val="59"/>
    <w:rsid w:val="007F2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7F2C4D"/>
    <w:rPr>
      <w:vertAlign w:val="superscript"/>
    </w:rPr>
  </w:style>
  <w:style w:type="character" w:styleId="Hyperlink">
    <w:name w:val="Hyperlink"/>
    <w:basedOn w:val="DefaultParagraphFont"/>
    <w:uiPriority w:val="99"/>
    <w:unhideWhenUsed/>
    <w:rsid w:val="00795D7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2E3"/>
    <w:pPr>
      <w:ind w:left="720"/>
      <w:contextualSpacing/>
    </w:pPr>
  </w:style>
  <w:style w:type="table" w:styleId="TableGrid">
    <w:name w:val="Table Grid"/>
    <w:basedOn w:val="TableNormal"/>
    <w:uiPriority w:val="59"/>
    <w:rsid w:val="007F2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7F2C4D"/>
    <w:rPr>
      <w:vertAlign w:val="superscript"/>
    </w:rPr>
  </w:style>
  <w:style w:type="character" w:styleId="Hyperlink">
    <w:name w:val="Hyperlink"/>
    <w:basedOn w:val="DefaultParagraphFont"/>
    <w:uiPriority w:val="99"/>
    <w:unhideWhenUsed/>
    <w:rsid w:val="00795D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ircleid.com/posts/20150203_proposal_for_creation_of_community_veto_for_key_icann_decisions/" TargetMode="External"/><Relationship Id="rId10" Type="http://schemas.openxmlformats.org/officeDocument/2006/relationships/hyperlink" Target="https://community.icann.org/download/attachments/51414327/WA2%20Inventory%2015-Jan-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01F1A-8964-FD46-A820-7A4113F9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2008</Words>
  <Characters>11448</Characters>
  <Application>Microsoft Macintosh Word</Application>
  <DocSecurity>0</DocSecurity>
  <Lines>95</Lines>
  <Paragraphs>26</Paragraphs>
  <ScaleCrop>false</ScaleCrop>
  <Company/>
  <LinksUpToDate>false</LinksUpToDate>
  <CharactersWithSpaces>13430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Burr</dc:creator>
  <cp:keywords/>
  <dc:description/>
  <cp:lastModifiedBy>Becky Burr</cp:lastModifiedBy>
  <cp:revision>7</cp:revision>
  <dcterms:created xsi:type="dcterms:W3CDTF">2015-02-09T22:55:00Z</dcterms:created>
  <dcterms:modified xsi:type="dcterms:W3CDTF">2015-02-10T09:45:00Z</dcterms:modified>
</cp:coreProperties>
</file>