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EE300" w14:textId="77777777" w:rsidR="00B35C31" w:rsidRPr="0069319A" w:rsidRDefault="00B35C31" w:rsidP="00B35C31">
      <w:pPr>
        <w:pStyle w:val="Title"/>
        <w:jc w:val="center"/>
        <w:rPr>
          <w:sz w:val="40"/>
          <w:szCs w:val="40"/>
        </w:rPr>
      </w:pPr>
      <w:r w:rsidRPr="0069319A">
        <w:rPr>
          <w:sz w:val="40"/>
          <w:szCs w:val="40"/>
        </w:rPr>
        <w:t>CCWG Accountability</w:t>
      </w:r>
    </w:p>
    <w:p w14:paraId="50877A33" w14:textId="77777777" w:rsidR="00B35C31" w:rsidRPr="0069319A" w:rsidRDefault="00B35C31" w:rsidP="00B35C31">
      <w:pPr>
        <w:pStyle w:val="Title"/>
        <w:jc w:val="center"/>
        <w:rPr>
          <w:sz w:val="40"/>
          <w:szCs w:val="40"/>
        </w:rPr>
      </w:pPr>
      <w:r w:rsidRPr="0069319A">
        <w:rPr>
          <w:sz w:val="40"/>
          <w:szCs w:val="40"/>
        </w:rPr>
        <w:t>Mailing List Discussions</w:t>
      </w:r>
    </w:p>
    <w:p w14:paraId="7867D276" w14:textId="77777777" w:rsidR="00B35C31" w:rsidRPr="0069319A" w:rsidRDefault="00B35C31" w:rsidP="00B35C31">
      <w:pPr>
        <w:pStyle w:val="Title"/>
        <w:jc w:val="center"/>
        <w:rPr>
          <w:sz w:val="40"/>
          <w:szCs w:val="40"/>
        </w:rPr>
      </w:pPr>
      <w:r w:rsidRPr="0069319A">
        <w:rPr>
          <w:sz w:val="40"/>
          <w:szCs w:val="40"/>
        </w:rPr>
        <w:t xml:space="preserve">Week: </w:t>
      </w:r>
      <w:r w:rsidR="00CB3C53" w:rsidRPr="0069319A">
        <w:rPr>
          <w:sz w:val="40"/>
          <w:szCs w:val="40"/>
        </w:rPr>
        <w:t>30 January – 5 February</w:t>
      </w:r>
      <w:r w:rsidRPr="0069319A">
        <w:rPr>
          <w:sz w:val="40"/>
          <w:szCs w:val="40"/>
        </w:rPr>
        <w:t xml:space="preserve"> 2015</w:t>
      </w:r>
    </w:p>
    <w:p w14:paraId="4201F433" w14:textId="77777777" w:rsidR="00B35C31" w:rsidRPr="00715D97" w:rsidRDefault="00B35C31" w:rsidP="00B35C31">
      <w:pPr>
        <w:pStyle w:val="Heading2"/>
      </w:pPr>
      <w:r w:rsidRPr="00715D97">
        <w:t>CCWG accountability (</w:t>
      </w:r>
      <w:hyperlink r:id="rId6" w:anchor="start" w:history="1">
        <w:r w:rsidRPr="00715D97">
          <w:rPr>
            <w:rStyle w:val="Hyperlink"/>
            <w:rFonts w:cs="Helvetica"/>
          </w:rPr>
          <w:t>archives</w:t>
        </w:r>
      </w:hyperlink>
      <w:r w:rsidRPr="00715D97">
        <w:t>)</w:t>
      </w:r>
    </w:p>
    <w:p w14:paraId="600221C4" w14:textId="77777777" w:rsidR="00B35C31" w:rsidRPr="00715D97" w:rsidRDefault="00B35C31" w:rsidP="00B35C31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4CD642DB" w14:textId="77777777" w:rsidR="00B01630" w:rsidRPr="00E3139B" w:rsidRDefault="00BC1B35" w:rsidP="00B0163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Helvetica"/>
          <w:b/>
        </w:rPr>
      </w:pPr>
      <w:r w:rsidRPr="00E3139B">
        <w:rPr>
          <w:rFonts w:asciiTheme="majorHAnsi" w:hAnsiTheme="majorHAnsi" w:cs="Helvetica"/>
          <w:b/>
        </w:rPr>
        <w:t>Affirmation of Commitments (</w:t>
      </w:r>
      <w:proofErr w:type="spellStart"/>
      <w:r w:rsidRPr="00E3139B">
        <w:rPr>
          <w:rFonts w:asciiTheme="majorHAnsi" w:hAnsiTheme="majorHAnsi" w:cs="Helvetica"/>
          <w:b/>
        </w:rPr>
        <w:t>AoC</w:t>
      </w:r>
      <w:proofErr w:type="spellEnd"/>
      <w:r w:rsidRPr="00E3139B">
        <w:rPr>
          <w:rFonts w:asciiTheme="majorHAnsi" w:hAnsiTheme="majorHAnsi" w:cs="Helvetica"/>
          <w:b/>
        </w:rPr>
        <w:t>)</w:t>
      </w:r>
    </w:p>
    <w:p w14:paraId="52CF9F8D" w14:textId="77777777" w:rsidR="00215FA0" w:rsidRPr="00E3139B" w:rsidRDefault="00A93FC2" w:rsidP="00CA6C4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left="720"/>
        <w:rPr>
          <w:rFonts w:asciiTheme="majorHAnsi" w:hAnsiTheme="majorHAnsi" w:cs="Helvetica"/>
        </w:rPr>
      </w:pPr>
      <w:r w:rsidRPr="00E3139B">
        <w:rPr>
          <w:rFonts w:asciiTheme="majorHAnsi" w:hAnsiTheme="majorHAnsi" w:cs="Helvetica"/>
        </w:rPr>
        <w:t>Group members discussed measures to solve for potential termination of Affirmation of Commitments. A</w:t>
      </w:r>
      <w:r w:rsidR="00622EEB" w:rsidRPr="00E3139B">
        <w:rPr>
          <w:rFonts w:asciiTheme="majorHAnsi" w:hAnsiTheme="majorHAnsi" w:cs="Helvetica"/>
        </w:rPr>
        <w:t xml:space="preserve"> </w:t>
      </w:r>
      <w:r w:rsidR="00457297" w:rsidRPr="00E3139B">
        <w:rPr>
          <w:rFonts w:asciiTheme="majorHAnsi" w:hAnsiTheme="majorHAnsi" w:cs="Helvetica"/>
        </w:rPr>
        <w:t xml:space="preserve">suggestion was made </w:t>
      </w:r>
      <w:r w:rsidR="00CF1D8B" w:rsidRPr="00E3139B">
        <w:rPr>
          <w:rFonts w:asciiTheme="majorHAnsi" w:hAnsiTheme="majorHAnsi" w:cs="Helvetica"/>
        </w:rPr>
        <w:t xml:space="preserve">to consider persistent rights for NTIA post transition. </w:t>
      </w:r>
      <w:r w:rsidR="00FC46D7" w:rsidRPr="00E3139B">
        <w:rPr>
          <w:rFonts w:asciiTheme="majorHAnsi" w:hAnsiTheme="majorHAnsi" w:cs="Helvetica"/>
        </w:rPr>
        <w:t xml:space="preserve">Another suggestion proposed replacing </w:t>
      </w:r>
      <w:proofErr w:type="spellStart"/>
      <w:r w:rsidR="00FC46D7" w:rsidRPr="00E3139B">
        <w:rPr>
          <w:rFonts w:asciiTheme="majorHAnsi" w:hAnsiTheme="majorHAnsi" w:cs="Helvetica"/>
        </w:rPr>
        <w:t>AoC</w:t>
      </w:r>
      <w:proofErr w:type="spellEnd"/>
      <w:r w:rsidR="00FC46D7" w:rsidRPr="00E3139B">
        <w:rPr>
          <w:rFonts w:asciiTheme="majorHAnsi" w:hAnsiTheme="majorHAnsi" w:cs="Helvetica"/>
        </w:rPr>
        <w:t xml:space="preserve"> with </w:t>
      </w:r>
      <w:r w:rsidR="005F544F">
        <w:rPr>
          <w:rFonts w:asciiTheme="majorHAnsi" w:hAnsiTheme="majorHAnsi" w:cs="Helvetica"/>
        </w:rPr>
        <w:t xml:space="preserve">an </w:t>
      </w:r>
      <w:r w:rsidR="00FC46D7" w:rsidRPr="00E3139B">
        <w:rPr>
          <w:rFonts w:asciiTheme="majorHAnsi" w:hAnsiTheme="majorHAnsi" w:cs="Helvetica"/>
        </w:rPr>
        <w:t>accountability contract between ICANN and ‘Contract Co.’</w:t>
      </w:r>
    </w:p>
    <w:p w14:paraId="0228D5D1" w14:textId="77777777" w:rsidR="0051067B" w:rsidRPr="00E3139B" w:rsidRDefault="008514F4" w:rsidP="00CA6C4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left="720"/>
        <w:rPr>
          <w:rFonts w:asciiTheme="majorHAnsi" w:hAnsiTheme="majorHAnsi" w:cs="Helvetica"/>
        </w:rPr>
      </w:pPr>
      <w:r w:rsidRPr="00E3139B">
        <w:rPr>
          <w:rFonts w:asciiTheme="majorHAnsi" w:hAnsiTheme="majorHAnsi" w:cs="Helvetica"/>
        </w:rPr>
        <w:t xml:space="preserve">Migrating the </w:t>
      </w:r>
      <w:proofErr w:type="spellStart"/>
      <w:r w:rsidRPr="00E3139B">
        <w:rPr>
          <w:rFonts w:asciiTheme="majorHAnsi" w:hAnsiTheme="majorHAnsi" w:cs="Helvetica"/>
        </w:rPr>
        <w:t>AoC</w:t>
      </w:r>
      <w:proofErr w:type="spellEnd"/>
      <w:r w:rsidRPr="00E3139B">
        <w:rPr>
          <w:rFonts w:asciiTheme="majorHAnsi" w:hAnsiTheme="majorHAnsi" w:cs="Helvetica"/>
        </w:rPr>
        <w:t xml:space="preserve"> provisions to the ICANN Bylaws is the preferred way forward. </w:t>
      </w:r>
      <w:r w:rsidR="005F544F">
        <w:rPr>
          <w:rFonts w:asciiTheme="majorHAnsi" w:hAnsiTheme="majorHAnsi" w:cs="Helvetica"/>
        </w:rPr>
        <w:t>The following s</w:t>
      </w:r>
      <w:r w:rsidR="00215FA0" w:rsidRPr="00E3139B">
        <w:rPr>
          <w:rFonts w:asciiTheme="majorHAnsi" w:hAnsiTheme="majorHAnsi" w:cs="Helvetica"/>
        </w:rPr>
        <w:t>uggest</w:t>
      </w:r>
      <w:r w:rsidR="00FC46D7" w:rsidRPr="00E3139B">
        <w:rPr>
          <w:rFonts w:asciiTheme="majorHAnsi" w:hAnsiTheme="majorHAnsi" w:cs="Helvetica"/>
        </w:rPr>
        <w:t xml:space="preserve">ed amendments were put forward: ICANN </w:t>
      </w:r>
      <w:r w:rsidR="00211F4F">
        <w:rPr>
          <w:rFonts w:asciiTheme="majorHAnsi" w:hAnsiTheme="majorHAnsi" w:cs="Helvetica"/>
        </w:rPr>
        <w:t xml:space="preserve">Members </w:t>
      </w:r>
      <w:r w:rsidR="00FC46D7" w:rsidRPr="00E3139B">
        <w:rPr>
          <w:rFonts w:asciiTheme="majorHAnsi" w:hAnsiTheme="majorHAnsi" w:cs="Helvetica"/>
        </w:rPr>
        <w:t xml:space="preserve">or permanent Cross-Community Working Group to select review teams; review teams </w:t>
      </w:r>
      <w:r w:rsidR="00211F4F">
        <w:rPr>
          <w:rFonts w:asciiTheme="majorHAnsi" w:hAnsiTheme="majorHAnsi" w:cs="Helvetica"/>
        </w:rPr>
        <w:t xml:space="preserve">to </w:t>
      </w:r>
      <w:r w:rsidR="00FC46D7" w:rsidRPr="00E3139B">
        <w:rPr>
          <w:rFonts w:asciiTheme="majorHAnsi" w:hAnsiTheme="majorHAnsi" w:cs="Helvetica"/>
        </w:rPr>
        <w:t>get access to all internal documents; potential creation of new reviews; change reviews from “in the public interest” to “for protection and advance of human rights and internet freedoms”.</w:t>
      </w:r>
    </w:p>
    <w:p w14:paraId="739F747C" w14:textId="77777777" w:rsidR="00CA6C4E" w:rsidRPr="00E3139B" w:rsidRDefault="00CA6C4E" w:rsidP="00CA6C4E">
      <w:pPr>
        <w:pStyle w:val="ListParagraph"/>
        <w:widowControl w:val="0"/>
        <w:autoSpaceDE w:val="0"/>
        <w:autoSpaceDN w:val="0"/>
        <w:adjustRightInd w:val="0"/>
        <w:ind w:left="1080"/>
        <w:rPr>
          <w:rFonts w:asciiTheme="majorHAnsi" w:hAnsiTheme="majorHAnsi" w:cs="Helvetica"/>
        </w:rPr>
      </w:pPr>
    </w:p>
    <w:p w14:paraId="4744B6C7" w14:textId="77777777" w:rsidR="00BC1B35" w:rsidRPr="00E3139B" w:rsidRDefault="00505DBA" w:rsidP="00BC1B3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Helvetica"/>
          <w:b/>
        </w:rPr>
      </w:pPr>
      <w:r w:rsidRPr="00E3139B">
        <w:rPr>
          <w:rFonts w:asciiTheme="majorHAnsi" w:hAnsiTheme="majorHAnsi" w:cs="Helvetica"/>
          <w:b/>
        </w:rPr>
        <w:t xml:space="preserve">Standing Panel </w:t>
      </w:r>
      <w:r w:rsidR="00853B87" w:rsidRPr="00E3139B">
        <w:rPr>
          <w:rFonts w:asciiTheme="majorHAnsi" w:hAnsiTheme="majorHAnsi" w:cs="Helvetica"/>
          <w:b/>
        </w:rPr>
        <w:t>&amp; Independent Review Process</w:t>
      </w:r>
    </w:p>
    <w:p w14:paraId="3224D945" w14:textId="77777777" w:rsidR="00BC1B35" w:rsidRPr="00E3139B" w:rsidRDefault="00692E8B" w:rsidP="00CA6C4E">
      <w:pPr>
        <w:pStyle w:val="HTMLPreformatted"/>
        <w:numPr>
          <w:ilvl w:val="0"/>
          <w:numId w:val="15"/>
        </w:numPr>
        <w:rPr>
          <w:rFonts w:asciiTheme="majorHAnsi" w:hAnsiTheme="majorHAnsi" w:cs="Courier"/>
          <w:color w:val="000000"/>
          <w:sz w:val="24"/>
          <w:szCs w:val="24"/>
        </w:rPr>
      </w:pPr>
      <w:r w:rsidRPr="00E3139B">
        <w:rPr>
          <w:rFonts w:asciiTheme="majorHAnsi" w:hAnsiTheme="majorHAnsi" w:cs="Helvetica"/>
          <w:sz w:val="24"/>
          <w:szCs w:val="24"/>
        </w:rPr>
        <w:t xml:space="preserve">Contributors observed that a </w:t>
      </w:r>
      <w:hyperlink r:id="rId7" w:anchor="IV" w:history="1">
        <w:r w:rsidRPr="00E3139B">
          <w:rPr>
            <w:rStyle w:val="Hyperlink"/>
            <w:rFonts w:asciiTheme="majorHAnsi" w:hAnsiTheme="majorHAnsi" w:cs="Helvetica"/>
            <w:sz w:val="24"/>
            <w:szCs w:val="24"/>
          </w:rPr>
          <w:t>Bylaws</w:t>
        </w:r>
      </w:hyperlink>
      <w:r w:rsidRPr="00E3139B">
        <w:rPr>
          <w:rFonts w:asciiTheme="majorHAnsi" w:hAnsiTheme="majorHAnsi" w:cs="Helvetica"/>
          <w:sz w:val="24"/>
          <w:szCs w:val="24"/>
        </w:rPr>
        <w:t xml:space="preserve"> provision calling for</w:t>
      </w:r>
      <w:r w:rsidR="00505DBA" w:rsidRPr="00E3139B">
        <w:rPr>
          <w:rFonts w:asciiTheme="majorHAnsi" w:hAnsiTheme="majorHAnsi" w:cs="Helvetica"/>
          <w:sz w:val="24"/>
          <w:szCs w:val="24"/>
        </w:rPr>
        <w:t xml:space="preserve"> </w:t>
      </w:r>
      <w:r w:rsidR="008514F4" w:rsidRPr="00E3139B">
        <w:rPr>
          <w:rFonts w:asciiTheme="majorHAnsi" w:hAnsiTheme="majorHAnsi" w:cs="Helvetica"/>
          <w:sz w:val="24"/>
          <w:szCs w:val="24"/>
        </w:rPr>
        <w:t xml:space="preserve">a </w:t>
      </w:r>
      <w:r w:rsidR="00505DBA" w:rsidRPr="00E3139B">
        <w:rPr>
          <w:rFonts w:asciiTheme="majorHAnsi" w:hAnsiTheme="majorHAnsi" w:cs="Helvetica"/>
          <w:sz w:val="24"/>
          <w:szCs w:val="24"/>
        </w:rPr>
        <w:t xml:space="preserve">standing </w:t>
      </w:r>
      <w:r w:rsidR="00BC1B35" w:rsidRPr="00E3139B">
        <w:rPr>
          <w:rFonts w:asciiTheme="majorHAnsi" w:hAnsiTheme="majorHAnsi" w:cs="Helvetica"/>
          <w:sz w:val="24"/>
          <w:szCs w:val="24"/>
        </w:rPr>
        <w:t xml:space="preserve">panel </w:t>
      </w:r>
      <w:r w:rsidRPr="00E3139B">
        <w:rPr>
          <w:rFonts w:asciiTheme="majorHAnsi" w:hAnsiTheme="majorHAnsi" w:cs="Helvetica"/>
          <w:sz w:val="24"/>
          <w:szCs w:val="24"/>
        </w:rPr>
        <w:t xml:space="preserve">was not implemented and </w:t>
      </w:r>
      <w:r w:rsidR="00DB68C8" w:rsidRPr="00E3139B">
        <w:rPr>
          <w:rFonts w:asciiTheme="majorHAnsi" w:hAnsiTheme="majorHAnsi" w:cs="Helvetica"/>
          <w:sz w:val="24"/>
          <w:szCs w:val="24"/>
        </w:rPr>
        <w:t xml:space="preserve">raised concern as to implementation of </w:t>
      </w:r>
      <w:r w:rsidR="008514F4" w:rsidRPr="00E3139B">
        <w:rPr>
          <w:rFonts w:asciiTheme="majorHAnsi" w:hAnsiTheme="majorHAnsi" w:cs="Helvetica"/>
          <w:sz w:val="24"/>
          <w:szCs w:val="24"/>
        </w:rPr>
        <w:t xml:space="preserve">potential </w:t>
      </w:r>
      <w:r w:rsidR="00DB68C8" w:rsidRPr="00E3139B">
        <w:rPr>
          <w:rFonts w:asciiTheme="majorHAnsi" w:hAnsiTheme="majorHAnsi" w:cs="Helvetica"/>
          <w:sz w:val="24"/>
          <w:szCs w:val="24"/>
        </w:rPr>
        <w:t xml:space="preserve">WS 1 </w:t>
      </w:r>
      <w:r w:rsidRPr="00E3139B">
        <w:rPr>
          <w:rFonts w:asciiTheme="majorHAnsi" w:hAnsiTheme="majorHAnsi" w:cs="Helvetica"/>
          <w:sz w:val="24"/>
          <w:szCs w:val="24"/>
        </w:rPr>
        <w:t xml:space="preserve">measures and </w:t>
      </w:r>
      <w:r w:rsidR="008514F4" w:rsidRPr="00E3139B">
        <w:rPr>
          <w:rFonts w:asciiTheme="majorHAnsi" w:hAnsiTheme="majorHAnsi" w:cs="Helvetica"/>
          <w:sz w:val="24"/>
          <w:szCs w:val="24"/>
        </w:rPr>
        <w:t xml:space="preserve">general </w:t>
      </w:r>
      <w:r w:rsidR="009F3310" w:rsidRPr="00E3139B">
        <w:rPr>
          <w:rFonts w:asciiTheme="majorHAnsi" w:hAnsiTheme="majorHAnsi" w:cs="Helvetica"/>
          <w:sz w:val="24"/>
          <w:szCs w:val="24"/>
        </w:rPr>
        <w:t>enforcement of bylaws</w:t>
      </w:r>
      <w:r w:rsidR="00770DD7" w:rsidRPr="00E3139B">
        <w:rPr>
          <w:rFonts w:asciiTheme="majorHAnsi" w:hAnsiTheme="majorHAnsi" w:cs="Helvetica"/>
          <w:sz w:val="24"/>
          <w:szCs w:val="24"/>
        </w:rPr>
        <w:t xml:space="preserve">. </w:t>
      </w:r>
      <w:r w:rsidR="00505DBA" w:rsidRPr="00E3139B">
        <w:rPr>
          <w:rFonts w:asciiTheme="majorHAnsi" w:hAnsiTheme="majorHAnsi" w:cs="Helvetica"/>
          <w:sz w:val="24"/>
          <w:szCs w:val="24"/>
        </w:rPr>
        <w:t xml:space="preserve">A comment was made that </w:t>
      </w:r>
      <w:r w:rsidR="00505DBA" w:rsidRPr="00E3139B">
        <w:rPr>
          <w:rFonts w:asciiTheme="majorHAnsi" w:hAnsiTheme="majorHAnsi" w:cs="Courier"/>
          <w:color w:val="000000"/>
          <w:sz w:val="24"/>
          <w:szCs w:val="24"/>
        </w:rPr>
        <w:t>there was</w:t>
      </w:r>
      <w:r w:rsidR="00211F4F">
        <w:rPr>
          <w:rFonts w:asciiTheme="majorHAnsi" w:hAnsiTheme="majorHAnsi" w:cs="Courier"/>
          <w:color w:val="000000"/>
          <w:sz w:val="24"/>
          <w:szCs w:val="24"/>
        </w:rPr>
        <w:t xml:space="preserve"> no B</w:t>
      </w:r>
      <w:r w:rsidR="00FD0274" w:rsidRPr="00E3139B">
        <w:rPr>
          <w:rFonts w:asciiTheme="majorHAnsi" w:hAnsiTheme="majorHAnsi" w:cs="Courier"/>
          <w:color w:val="000000"/>
          <w:sz w:val="24"/>
          <w:szCs w:val="24"/>
        </w:rPr>
        <w:t>oard decis</w:t>
      </w:r>
      <w:r w:rsidR="00505DBA" w:rsidRPr="00E3139B">
        <w:rPr>
          <w:rFonts w:asciiTheme="majorHAnsi" w:hAnsiTheme="majorHAnsi" w:cs="Courier"/>
          <w:color w:val="000000"/>
          <w:sz w:val="24"/>
          <w:szCs w:val="24"/>
        </w:rPr>
        <w:t>ion not to establish the panel.</w:t>
      </w:r>
    </w:p>
    <w:p w14:paraId="4AAFF1E6" w14:textId="77777777" w:rsidR="00853B87" w:rsidRPr="00E3139B" w:rsidRDefault="008514F4" w:rsidP="008514F4">
      <w:pPr>
        <w:pStyle w:val="HTMLPreformatted"/>
        <w:numPr>
          <w:ilvl w:val="0"/>
          <w:numId w:val="13"/>
        </w:numPr>
        <w:rPr>
          <w:rFonts w:asciiTheme="majorHAnsi" w:hAnsiTheme="majorHAnsi" w:cs="Helvetica"/>
          <w:sz w:val="24"/>
          <w:szCs w:val="24"/>
        </w:rPr>
      </w:pPr>
      <w:r w:rsidRPr="00E3139B">
        <w:rPr>
          <w:rFonts w:asciiTheme="majorHAnsi" w:hAnsiTheme="majorHAnsi" w:cs="Helvetica"/>
          <w:sz w:val="24"/>
          <w:szCs w:val="24"/>
        </w:rPr>
        <w:t xml:space="preserve">A reference was made to the </w:t>
      </w:r>
      <w:hyperlink r:id="rId8" w:history="1">
        <w:r w:rsidRPr="00E3139B">
          <w:rPr>
            <w:rStyle w:val="Hyperlink"/>
            <w:rFonts w:asciiTheme="majorHAnsi" w:hAnsiTheme="majorHAnsi" w:cs="Helvetica"/>
            <w:sz w:val="24"/>
            <w:szCs w:val="24"/>
          </w:rPr>
          <w:t>Accountability Structures Expert Panel Report </w:t>
        </w:r>
      </w:hyperlink>
      <w:r w:rsidRPr="00E3139B">
        <w:rPr>
          <w:rFonts w:asciiTheme="majorHAnsi" w:hAnsiTheme="majorHAnsi" w:cs="Helvetica"/>
          <w:sz w:val="24"/>
          <w:szCs w:val="24"/>
        </w:rPr>
        <w:t xml:space="preserve">(ASEP) recommendations. </w:t>
      </w:r>
    </w:p>
    <w:p w14:paraId="5ADFE97B" w14:textId="77777777" w:rsidR="008514F4" w:rsidRDefault="008514F4" w:rsidP="008514F4">
      <w:pPr>
        <w:pStyle w:val="HTMLPreformatted"/>
        <w:numPr>
          <w:ilvl w:val="0"/>
          <w:numId w:val="13"/>
        </w:numPr>
        <w:rPr>
          <w:rFonts w:asciiTheme="majorHAnsi" w:hAnsiTheme="majorHAnsi" w:cs="Helvetica"/>
          <w:sz w:val="24"/>
          <w:szCs w:val="24"/>
        </w:rPr>
      </w:pPr>
      <w:r w:rsidRPr="00E3139B">
        <w:rPr>
          <w:rFonts w:asciiTheme="majorHAnsi" w:hAnsiTheme="majorHAnsi" w:cs="Helvetica"/>
          <w:sz w:val="24"/>
          <w:szCs w:val="24"/>
        </w:rPr>
        <w:t xml:space="preserve">The linkage between standing panel and IRP was flagged as an item that would require discussion. </w:t>
      </w:r>
    </w:p>
    <w:p w14:paraId="5B0D0739" w14:textId="77777777" w:rsidR="00864B98" w:rsidRPr="00864B98" w:rsidRDefault="00864B98" w:rsidP="008514F4">
      <w:pPr>
        <w:pStyle w:val="HTMLPreformatted"/>
        <w:numPr>
          <w:ilvl w:val="0"/>
          <w:numId w:val="13"/>
        </w:numPr>
        <w:rPr>
          <w:rFonts w:asciiTheme="majorHAnsi" w:hAnsiTheme="majorHAnsi" w:cs="Helvetica"/>
          <w:sz w:val="24"/>
          <w:szCs w:val="24"/>
        </w:rPr>
      </w:pPr>
      <w:r w:rsidRPr="00864B98">
        <w:rPr>
          <w:rFonts w:asciiTheme="majorHAnsi" w:hAnsiTheme="majorHAnsi" w:cs="Helvetica"/>
          <w:sz w:val="24"/>
          <w:szCs w:val="24"/>
        </w:rPr>
        <w:t xml:space="preserve">A list of </w:t>
      </w:r>
      <w:hyperlink r:id="rId9" w:history="1">
        <w:r w:rsidRPr="00864B98">
          <w:rPr>
            <w:rStyle w:val="Hyperlink"/>
            <w:rFonts w:asciiTheme="majorHAnsi" w:hAnsiTheme="majorHAnsi" w:cs="Helvetica"/>
            <w:sz w:val="24"/>
            <w:szCs w:val="24"/>
          </w:rPr>
          <w:t>ASEP recommendations</w:t>
        </w:r>
      </w:hyperlink>
      <w:r>
        <w:rPr>
          <w:rFonts w:asciiTheme="majorHAnsi" w:hAnsiTheme="majorHAnsi" w:cs="Helvetica"/>
          <w:sz w:val="24"/>
          <w:szCs w:val="24"/>
        </w:rPr>
        <w:t xml:space="preserve"> was provided.</w:t>
      </w:r>
      <w:r w:rsidRPr="00864B98">
        <w:rPr>
          <w:rFonts w:asciiTheme="majorHAnsi" w:hAnsiTheme="majorHAnsi" w:cs="Helvetica"/>
          <w:sz w:val="24"/>
          <w:szCs w:val="24"/>
        </w:rPr>
        <w:t xml:space="preserve">  These include issues listed under categories of reconsideration and Independent Review</w:t>
      </w:r>
      <w:r>
        <w:rPr>
          <w:rFonts w:asciiTheme="majorHAnsi" w:hAnsiTheme="majorHAnsi" w:cs="Helvetica"/>
          <w:sz w:val="24"/>
          <w:szCs w:val="24"/>
        </w:rPr>
        <w:t>.</w:t>
      </w:r>
    </w:p>
    <w:p w14:paraId="1DDAF2FF" w14:textId="77777777" w:rsidR="00125F04" w:rsidRPr="00E3139B" w:rsidRDefault="00125F04" w:rsidP="00125F04">
      <w:pPr>
        <w:pStyle w:val="HTMLPreformatted"/>
        <w:ind w:left="720"/>
        <w:rPr>
          <w:rFonts w:asciiTheme="majorHAnsi" w:hAnsiTheme="majorHAnsi" w:cs="Helvetica"/>
          <w:sz w:val="24"/>
          <w:szCs w:val="24"/>
        </w:rPr>
      </w:pPr>
    </w:p>
    <w:p w14:paraId="73A8D994" w14:textId="77777777" w:rsidR="002A7FF8" w:rsidRPr="00E3139B" w:rsidRDefault="00125F04" w:rsidP="002A7FF8">
      <w:pPr>
        <w:pStyle w:val="HTMLPreformatted"/>
        <w:numPr>
          <w:ilvl w:val="0"/>
          <w:numId w:val="16"/>
        </w:numPr>
        <w:rPr>
          <w:rFonts w:asciiTheme="majorHAnsi" w:hAnsiTheme="majorHAnsi" w:cs="Helvetica"/>
          <w:b/>
          <w:sz w:val="24"/>
          <w:szCs w:val="24"/>
        </w:rPr>
      </w:pPr>
      <w:r w:rsidRPr="00E3139B">
        <w:rPr>
          <w:rFonts w:asciiTheme="majorHAnsi" w:hAnsiTheme="majorHAnsi" w:cs="Helvetica"/>
          <w:b/>
          <w:sz w:val="24"/>
          <w:szCs w:val="24"/>
        </w:rPr>
        <w:t>Affordability</w:t>
      </w:r>
    </w:p>
    <w:p w14:paraId="2FB004C4" w14:textId="77777777" w:rsidR="002A7FF8" w:rsidRPr="00E3139B" w:rsidRDefault="002A7FF8" w:rsidP="002A7FF8">
      <w:pPr>
        <w:pStyle w:val="HTMLPreformatted"/>
        <w:numPr>
          <w:ilvl w:val="0"/>
          <w:numId w:val="13"/>
        </w:numPr>
        <w:rPr>
          <w:rFonts w:asciiTheme="majorHAnsi" w:hAnsiTheme="majorHAnsi" w:cs="Helvetica"/>
          <w:sz w:val="24"/>
          <w:szCs w:val="24"/>
        </w:rPr>
      </w:pPr>
      <w:r w:rsidRPr="00E3139B">
        <w:rPr>
          <w:rFonts w:asciiTheme="majorHAnsi" w:hAnsiTheme="majorHAnsi" w:cs="Helvetica"/>
          <w:sz w:val="24"/>
          <w:szCs w:val="24"/>
        </w:rPr>
        <w:t xml:space="preserve">Affordability of </w:t>
      </w:r>
      <w:r w:rsidR="00125F04" w:rsidRPr="00E3139B">
        <w:rPr>
          <w:rFonts w:asciiTheme="majorHAnsi" w:hAnsiTheme="majorHAnsi" w:cs="Helvetica"/>
          <w:sz w:val="24"/>
          <w:szCs w:val="24"/>
        </w:rPr>
        <w:t xml:space="preserve">the </w:t>
      </w:r>
      <w:r w:rsidRPr="00E3139B">
        <w:rPr>
          <w:rFonts w:asciiTheme="majorHAnsi" w:hAnsiTheme="majorHAnsi" w:cs="Helvetica"/>
          <w:sz w:val="24"/>
          <w:szCs w:val="24"/>
        </w:rPr>
        <w:t>I</w:t>
      </w:r>
      <w:r w:rsidR="00125F04" w:rsidRPr="00E3139B">
        <w:rPr>
          <w:rFonts w:asciiTheme="majorHAnsi" w:hAnsiTheme="majorHAnsi" w:cs="Helvetica"/>
          <w:sz w:val="24"/>
          <w:szCs w:val="24"/>
        </w:rPr>
        <w:t>RP was flagged as problematic: a</w:t>
      </w:r>
      <w:r w:rsidRPr="00E3139B">
        <w:rPr>
          <w:rFonts w:asciiTheme="majorHAnsi" w:hAnsiTheme="majorHAnsi" w:cs="Helvetica"/>
          <w:sz w:val="24"/>
          <w:szCs w:val="24"/>
        </w:rPr>
        <w:t>ccess to IRP is currently d</w:t>
      </w:r>
      <w:r w:rsidR="00125F04" w:rsidRPr="00E3139B">
        <w:rPr>
          <w:rFonts w:asciiTheme="majorHAnsi" w:hAnsiTheme="majorHAnsi" w:cs="Helvetica"/>
          <w:sz w:val="24"/>
          <w:szCs w:val="24"/>
        </w:rPr>
        <w:t>enied to</w:t>
      </w:r>
      <w:r w:rsidRPr="00E3139B">
        <w:rPr>
          <w:rFonts w:asciiTheme="majorHAnsi" w:hAnsiTheme="majorHAnsi" w:cs="Helvetica"/>
          <w:sz w:val="24"/>
          <w:szCs w:val="24"/>
        </w:rPr>
        <w:t xml:space="preserve"> those without extensive resources and therefore limits ICANN’s accountability for its actions</w:t>
      </w:r>
      <w:r w:rsidR="00125F04" w:rsidRPr="00E3139B">
        <w:rPr>
          <w:rFonts w:asciiTheme="majorHAnsi" w:hAnsiTheme="majorHAnsi" w:cs="Helvetica"/>
          <w:sz w:val="24"/>
          <w:szCs w:val="24"/>
        </w:rPr>
        <w:t>.</w:t>
      </w:r>
    </w:p>
    <w:p w14:paraId="0EB3B2BD" w14:textId="77777777" w:rsidR="00B32CF2" w:rsidRPr="00E3139B" w:rsidRDefault="00B32CF2" w:rsidP="00B32CF2">
      <w:pPr>
        <w:pStyle w:val="HTMLPreformatted"/>
        <w:numPr>
          <w:ilvl w:val="0"/>
          <w:numId w:val="13"/>
        </w:numPr>
        <w:rPr>
          <w:rFonts w:asciiTheme="majorHAnsi" w:hAnsiTheme="majorHAnsi" w:cs="Courier"/>
          <w:color w:val="000000"/>
          <w:sz w:val="24"/>
          <w:szCs w:val="24"/>
        </w:rPr>
      </w:pPr>
      <w:r w:rsidRPr="00E3139B">
        <w:rPr>
          <w:rFonts w:asciiTheme="majorHAnsi" w:hAnsiTheme="majorHAnsi" w:cs="Helvetica"/>
          <w:sz w:val="24"/>
          <w:szCs w:val="24"/>
        </w:rPr>
        <w:t xml:space="preserve">The CCWG was invited to consider funding mechanisms where a bottom-up community process is used to formally file an objection under an accountability mechanism while noting that a reasonable threshold is needed. </w:t>
      </w:r>
    </w:p>
    <w:p w14:paraId="1EDCC6D7" w14:textId="77777777" w:rsidR="00BC1B35" w:rsidRPr="00E3139B" w:rsidRDefault="00BC1B35" w:rsidP="00505DBA">
      <w:pPr>
        <w:pStyle w:val="HTMLPreformatted"/>
        <w:ind w:left="360"/>
        <w:rPr>
          <w:rFonts w:asciiTheme="majorHAnsi" w:hAnsiTheme="majorHAnsi" w:cs="Helvetica"/>
          <w:sz w:val="24"/>
          <w:szCs w:val="24"/>
        </w:rPr>
      </w:pPr>
    </w:p>
    <w:p w14:paraId="16C4F934" w14:textId="301A5C74" w:rsidR="00505DBA" w:rsidRDefault="002F7592" w:rsidP="00853B87">
      <w:pPr>
        <w:pStyle w:val="HTMLPreformatted"/>
        <w:numPr>
          <w:ilvl w:val="0"/>
          <w:numId w:val="14"/>
        </w:numPr>
        <w:rPr>
          <w:rFonts w:asciiTheme="majorHAnsi" w:hAnsiTheme="majorHAnsi" w:cs="Helvetica"/>
          <w:b/>
          <w:sz w:val="24"/>
          <w:szCs w:val="24"/>
        </w:rPr>
      </w:pPr>
      <w:r>
        <w:rPr>
          <w:rFonts w:asciiTheme="majorHAnsi" w:hAnsiTheme="majorHAnsi" w:cs="Helvetica"/>
          <w:b/>
          <w:sz w:val="24"/>
          <w:szCs w:val="24"/>
        </w:rPr>
        <w:t xml:space="preserve">Work Party </w:t>
      </w:r>
      <w:r w:rsidR="00505DBA" w:rsidRPr="00E3139B">
        <w:rPr>
          <w:rFonts w:asciiTheme="majorHAnsi" w:hAnsiTheme="majorHAnsi" w:cs="Helvetica"/>
          <w:b/>
          <w:sz w:val="24"/>
          <w:szCs w:val="24"/>
        </w:rPr>
        <w:t>1</w:t>
      </w:r>
      <w:r>
        <w:rPr>
          <w:rFonts w:asciiTheme="majorHAnsi" w:hAnsiTheme="majorHAnsi" w:cs="Helvetica"/>
          <w:b/>
          <w:sz w:val="24"/>
          <w:szCs w:val="24"/>
        </w:rPr>
        <w:t xml:space="preserve"> and 2</w:t>
      </w:r>
      <w:r w:rsidR="00505DBA" w:rsidRPr="00E3139B">
        <w:rPr>
          <w:rFonts w:asciiTheme="majorHAnsi" w:hAnsiTheme="majorHAnsi" w:cs="Helvetica"/>
          <w:b/>
          <w:sz w:val="24"/>
          <w:szCs w:val="24"/>
        </w:rPr>
        <w:t xml:space="preserve"> </w:t>
      </w:r>
    </w:p>
    <w:p w14:paraId="0BD71C8F" w14:textId="4EC63AF5" w:rsidR="002F7592" w:rsidRPr="002F7592" w:rsidRDefault="002F7592" w:rsidP="002F7592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 w:rsidRPr="002F7592">
        <w:rPr>
          <w:rFonts w:asciiTheme="majorHAnsi" w:hAnsiTheme="majorHAnsi" w:cs="Helvetica"/>
        </w:rPr>
        <w:t xml:space="preserve">Two new work groups created: Work Party 1 </w:t>
      </w:r>
      <w:hyperlink r:id="rId10" w:history="1">
        <w:r w:rsidRPr="002F7592">
          <w:rPr>
            <w:rStyle w:val="Hyperlink"/>
            <w:rFonts w:asciiTheme="majorHAnsi" w:hAnsiTheme="majorHAnsi" w:cs="Helvetica"/>
          </w:rPr>
          <w:t>Community Empowerment</w:t>
        </w:r>
      </w:hyperlink>
      <w:r w:rsidRPr="002F7592">
        <w:rPr>
          <w:rFonts w:asciiTheme="majorHAnsi" w:hAnsiTheme="majorHAnsi" w:cs="Helvetica"/>
        </w:rPr>
        <w:t xml:space="preserve"> and Work Party 2 </w:t>
      </w:r>
      <w:hyperlink r:id="rId11" w:history="1">
        <w:r w:rsidRPr="002F7592">
          <w:rPr>
            <w:rStyle w:val="Hyperlink"/>
            <w:rFonts w:asciiTheme="majorHAnsi" w:hAnsiTheme="majorHAnsi" w:cs="Helvetica"/>
          </w:rPr>
          <w:t>Review &amp; Redress</w:t>
        </w:r>
      </w:hyperlink>
    </w:p>
    <w:p w14:paraId="1D99043A" w14:textId="3146368E" w:rsidR="00BC1B35" w:rsidRPr="003D06EF" w:rsidRDefault="00AF7708" w:rsidP="00BC1B3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 w:rsidRPr="003D06EF">
        <w:rPr>
          <w:rFonts w:asciiTheme="majorHAnsi" w:hAnsiTheme="majorHAnsi" w:cs="Helvetica"/>
        </w:rPr>
        <w:lastRenderedPageBreak/>
        <w:t xml:space="preserve">A </w:t>
      </w:r>
      <w:hyperlink r:id="rId12" w:history="1">
        <w:r w:rsidRPr="003D06EF">
          <w:rPr>
            <w:rStyle w:val="Hyperlink"/>
            <w:rFonts w:asciiTheme="majorHAnsi" w:hAnsiTheme="majorHAnsi" w:cs="Helvetica"/>
          </w:rPr>
          <w:t>wiki page</w:t>
        </w:r>
      </w:hyperlink>
      <w:r w:rsidRPr="003D06EF">
        <w:rPr>
          <w:rFonts w:asciiTheme="majorHAnsi" w:hAnsiTheme="majorHAnsi" w:cs="Helvetica"/>
        </w:rPr>
        <w:t> was set</w:t>
      </w:r>
      <w:r w:rsidR="002F7592">
        <w:rPr>
          <w:rFonts w:asciiTheme="majorHAnsi" w:hAnsiTheme="majorHAnsi" w:cs="Helvetica"/>
        </w:rPr>
        <w:t>-up to list requirements of WP1</w:t>
      </w:r>
      <w:r w:rsidR="00CB1044">
        <w:rPr>
          <w:rFonts w:asciiTheme="majorHAnsi" w:hAnsiTheme="majorHAnsi" w:cs="Helvetica"/>
        </w:rPr>
        <w:t xml:space="preserve"> and WP2 </w:t>
      </w:r>
      <w:r w:rsidRPr="003D06EF">
        <w:rPr>
          <w:rFonts w:asciiTheme="majorHAnsi" w:hAnsiTheme="majorHAnsi" w:cs="Helvetica"/>
        </w:rPr>
        <w:t xml:space="preserve">that had been mentioned on the CCWG accountability list.  The list was intended to ensure there was a clear distinction between the </w:t>
      </w:r>
      <w:proofErr w:type="gramStart"/>
      <w:r w:rsidRPr="003D06EF">
        <w:rPr>
          <w:rFonts w:asciiTheme="majorHAnsi" w:hAnsiTheme="majorHAnsi" w:cs="Helvetica"/>
        </w:rPr>
        <w:t>scope</w:t>
      </w:r>
      <w:proofErr w:type="gramEnd"/>
      <w:r w:rsidRPr="003D06EF">
        <w:rPr>
          <w:rFonts w:asciiTheme="majorHAnsi" w:hAnsiTheme="majorHAnsi" w:cs="Helvetica"/>
        </w:rPr>
        <w:t xml:space="preserve"> of the two work parties, however further discussion suggested a blurring and overlap of issues. </w:t>
      </w:r>
    </w:p>
    <w:p w14:paraId="1243F1BA" w14:textId="77777777" w:rsidR="008D7CCA" w:rsidRPr="00E3139B" w:rsidRDefault="008D7CCA" w:rsidP="00FC46D7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539D1914" w14:textId="77777777" w:rsidR="00FC46D7" w:rsidRPr="00E3139B" w:rsidRDefault="00FC46D7" w:rsidP="00FC46D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Helvetica"/>
          <w:b/>
        </w:rPr>
      </w:pPr>
      <w:r w:rsidRPr="00E3139B">
        <w:rPr>
          <w:rFonts w:asciiTheme="majorHAnsi" w:hAnsiTheme="majorHAnsi" w:cs="Helvetica"/>
          <w:b/>
        </w:rPr>
        <w:t xml:space="preserve">Membership </w:t>
      </w:r>
      <w:r w:rsidR="003014B1" w:rsidRPr="00E3139B">
        <w:rPr>
          <w:rFonts w:asciiTheme="majorHAnsi" w:hAnsiTheme="majorHAnsi" w:cs="Helvetica"/>
          <w:b/>
        </w:rPr>
        <w:t>Structure</w:t>
      </w:r>
    </w:p>
    <w:p w14:paraId="4CD7EA0F" w14:textId="77777777" w:rsidR="003D063C" w:rsidRPr="00E3139B" w:rsidRDefault="00190FD2" w:rsidP="003014B1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 w:rsidRPr="00E3139B">
        <w:rPr>
          <w:rFonts w:asciiTheme="majorHAnsi" w:hAnsiTheme="majorHAnsi" w:cs="Courier"/>
          <w:color w:val="000000"/>
        </w:rPr>
        <w:t>It was called to the group’s attention that m</w:t>
      </w:r>
      <w:r w:rsidR="003014B1" w:rsidRPr="00E3139B">
        <w:rPr>
          <w:rFonts w:asciiTheme="majorHAnsi" w:hAnsiTheme="majorHAnsi" w:cs="Courier"/>
          <w:color w:val="000000"/>
        </w:rPr>
        <w:t xml:space="preserve">embers </w:t>
      </w:r>
      <w:r w:rsidR="003D063C" w:rsidRPr="00E3139B">
        <w:rPr>
          <w:rFonts w:asciiTheme="majorHAnsi" w:hAnsiTheme="majorHAnsi" w:cs="Courier"/>
          <w:color w:val="000000"/>
        </w:rPr>
        <w:t>of a California public benefits corporation a</w:t>
      </w:r>
      <w:r w:rsidRPr="00E3139B">
        <w:rPr>
          <w:rFonts w:asciiTheme="majorHAnsi" w:hAnsiTheme="majorHAnsi" w:cs="Courier"/>
          <w:color w:val="000000"/>
        </w:rPr>
        <w:t xml:space="preserve">re entitled to file derivative </w:t>
      </w:r>
      <w:r w:rsidR="003D063C" w:rsidRPr="00E3139B">
        <w:rPr>
          <w:rFonts w:asciiTheme="majorHAnsi" w:hAnsiTheme="majorHAnsi" w:cs="Courier"/>
          <w:color w:val="000000"/>
        </w:rPr>
        <w:t>actions against the Board and Board membe</w:t>
      </w:r>
      <w:r w:rsidRPr="00E3139B">
        <w:rPr>
          <w:rFonts w:asciiTheme="majorHAnsi" w:hAnsiTheme="majorHAnsi" w:cs="Courier"/>
          <w:color w:val="000000"/>
        </w:rPr>
        <w:t xml:space="preserve">rs thereof for fraud and other </w:t>
      </w:r>
      <w:r w:rsidR="003D063C" w:rsidRPr="00E3139B">
        <w:rPr>
          <w:rFonts w:asciiTheme="majorHAnsi" w:hAnsiTheme="majorHAnsi" w:cs="Courier"/>
          <w:color w:val="000000"/>
        </w:rPr>
        <w:t>egregious actions contrary to the best interests of the corporation.</w:t>
      </w:r>
    </w:p>
    <w:p w14:paraId="123B1A78" w14:textId="77777777" w:rsidR="002005F5" w:rsidRPr="00E3139B" w:rsidRDefault="002005F5" w:rsidP="00146D81">
      <w:pPr>
        <w:pStyle w:val="HTMLPreformatted"/>
        <w:rPr>
          <w:rFonts w:asciiTheme="majorHAnsi" w:hAnsiTheme="majorHAnsi" w:cs="Courier"/>
          <w:color w:val="000000"/>
          <w:sz w:val="24"/>
          <w:szCs w:val="24"/>
        </w:rPr>
      </w:pPr>
    </w:p>
    <w:p w14:paraId="007318FB" w14:textId="77777777" w:rsidR="00A9449B" w:rsidRPr="00E3139B" w:rsidRDefault="002005F5" w:rsidP="00A9449B">
      <w:pPr>
        <w:pStyle w:val="HTMLPreformatted"/>
        <w:numPr>
          <w:ilvl w:val="0"/>
          <w:numId w:val="17"/>
        </w:numPr>
        <w:rPr>
          <w:rFonts w:asciiTheme="majorHAnsi" w:hAnsiTheme="majorHAnsi" w:cs="Courier"/>
          <w:b/>
          <w:color w:val="000000"/>
          <w:sz w:val="24"/>
          <w:szCs w:val="24"/>
        </w:rPr>
      </w:pPr>
      <w:r w:rsidRPr="00E3139B">
        <w:rPr>
          <w:rFonts w:asciiTheme="majorHAnsi" w:hAnsiTheme="majorHAnsi" w:cs="Courier"/>
          <w:b/>
          <w:color w:val="000000"/>
          <w:sz w:val="24"/>
          <w:szCs w:val="24"/>
        </w:rPr>
        <w:t>Community Veto</w:t>
      </w:r>
    </w:p>
    <w:p w14:paraId="5A920F2D" w14:textId="77777777" w:rsidR="002005F5" w:rsidRPr="00E3139B" w:rsidRDefault="00B50814" w:rsidP="00A9449B">
      <w:pPr>
        <w:pStyle w:val="HTMLPreformatted"/>
        <w:numPr>
          <w:ilvl w:val="1"/>
          <w:numId w:val="17"/>
        </w:numPr>
        <w:rPr>
          <w:rFonts w:asciiTheme="majorHAnsi" w:hAnsiTheme="majorHAnsi" w:cs="Courier"/>
          <w:b/>
          <w:color w:val="000000"/>
          <w:sz w:val="24"/>
          <w:szCs w:val="24"/>
        </w:rPr>
      </w:pPr>
      <w:r w:rsidRPr="00E3139B">
        <w:rPr>
          <w:rFonts w:asciiTheme="majorHAnsi" w:hAnsiTheme="majorHAnsi" w:cs="Courier"/>
          <w:color w:val="000000"/>
          <w:sz w:val="24"/>
          <w:szCs w:val="24"/>
        </w:rPr>
        <w:t>The proposal suggests a</w:t>
      </w:r>
      <w:r w:rsidR="002005F5" w:rsidRPr="00E3139B">
        <w:rPr>
          <w:rFonts w:asciiTheme="majorHAnsi" w:hAnsiTheme="majorHAnsi" w:cs="Courier"/>
          <w:color w:val="000000"/>
          <w:sz w:val="24"/>
          <w:szCs w:val="24"/>
        </w:rPr>
        <w:t>mend</w:t>
      </w:r>
      <w:r w:rsidRPr="00E3139B">
        <w:rPr>
          <w:rFonts w:asciiTheme="majorHAnsi" w:hAnsiTheme="majorHAnsi" w:cs="Courier"/>
          <w:color w:val="000000"/>
          <w:sz w:val="24"/>
          <w:szCs w:val="24"/>
        </w:rPr>
        <w:t>ing</w:t>
      </w:r>
      <w:r w:rsidR="002005F5" w:rsidRPr="00E3139B">
        <w:rPr>
          <w:rFonts w:asciiTheme="majorHAnsi" w:hAnsiTheme="majorHAnsi" w:cs="Courier"/>
          <w:color w:val="000000"/>
          <w:sz w:val="24"/>
          <w:szCs w:val="24"/>
        </w:rPr>
        <w:t xml:space="preserve"> </w:t>
      </w:r>
      <w:r w:rsidRPr="00E3139B">
        <w:rPr>
          <w:rFonts w:asciiTheme="majorHAnsi" w:hAnsiTheme="majorHAnsi" w:cs="Courier"/>
          <w:color w:val="000000"/>
          <w:sz w:val="24"/>
          <w:szCs w:val="24"/>
        </w:rPr>
        <w:t>existing bylaws and/or articles of incorporation</w:t>
      </w:r>
      <w:r w:rsidR="002005F5" w:rsidRPr="00E3139B">
        <w:rPr>
          <w:rFonts w:asciiTheme="majorHAnsi" w:hAnsiTheme="majorHAnsi" w:cs="Courier"/>
          <w:color w:val="000000"/>
          <w:sz w:val="24"/>
          <w:szCs w:val="24"/>
        </w:rPr>
        <w:t xml:space="preserve"> to create a new mechanism that empowers the Community to overturn board decisions on a limited number of issues and also to recall nonperforming board members. This community veto process would be </w:t>
      </w:r>
      <w:r w:rsidR="00A9449B" w:rsidRPr="00E3139B">
        <w:rPr>
          <w:rFonts w:asciiTheme="majorHAnsi" w:hAnsiTheme="majorHAnsi" w:cs="Courier"/>
          <w:color w:val="000000"/>
          <w:sz w:val="24"/>
          <w:szCs w:val="24"/>
        </w:rPr>
        <w:t>designed in a way that</w:t>
      </w:r>
      <w:r w:rsidR="008B7C4F" w:rsidRPr="00E3139B">
        <w:rPr>
          <w:rFonts w:asciiTheme="majorHAnsi" w:hAnsiTheme="majorHAnsi" w:cs="Courier"/>
          <w:color w:val="000000"/>
          <w:sz w:val="24"/>
          <w:szCs w:val="24"/>
        </w:rPr>
        <w:t xml:space="preserve"> a decision to over-rule the B</w:t>
      </w:r>
      <w:r w:rsidR="002005F5" w:rsidRPr="00E3139B">
        <w:rPr>
          <w:rFonts w:asciiTheme="majorHAnsi" w:hAnsiTheme="majorHAnsi" w:cs="Courier"/>
          <w:color w:val="000000"/>
          <w:sz w:val="24"/>
          <w:szCs w:val="24"/>
        </w:rPr>
        <w:t xml:space="preserve">oard is determined via aggregation of decisions of the existing ICANN community structures. The </w:t>
      </w:r>
      <w:r w:rsidR="008B7C4F" w:rsidRPr="00E3139B">
        <w:rPr>
          <w:rFonts w:asciiTheme="majorHAnsi" w:hAnsiTheme="majorHAnsi" w:cs="Courier"/>
          <w:color w:val="000000"/>
          <w:sz w:val="24"/>
          <w:szCs w:val="24"/>
        </w:rPr>
        <w:t>O</w:t>
      </w:r>
      <w:r w:rsidR="002005F5" w:rsidRPr="00E3139B">
        <w:rPr>
          <w:rFonts w:asciiTheme="majorHAnsi" w:hAnsiTheme="majorHAnsi" w:cs="Courier"/>
          <w:color w:val="000000"/>
          <w:sz w:val="24"/>
          <w:szCs w:val="24"/>
        </w:rPr>
        <w:t>mbudsman (or neutral 3rd-party) could act as the facilitator i</w:t>
      </w:r>
      <w:r w:rsidR="008B7C4F" w:rsidRPr="00E3139B">
        <w:rPr>
          <w:rFonts w:asciiTheme="majorHAnsi" w:hAnsiTheme="majorHAnsi" w:cs="Courier"/>
          <w:color w:val="000000"/>
          <w:sz w:val="24"/>
          <w:szCs w:val="24"/>
        </w:rPr>
        <w:t xml:space="preserve">n a purely administrative role. </w:t>
      </w:r>
      <w:r w:rsidR="00FA5E0C" w:rsidRPr="00E3139B">
        <w:rPr>
          <w:rFonts w:asciiTheme="majorHAnsi" w:hAnsiTheme="majorHAnsi" w:cs="Courier"/>
          <w:color w:val="000000"/>
          <w:sz w:val="24"/>
          <w:szCs w:val="24"/>
        </w:rPr>
        <w:t>In this model, t</w:t>
      </w:r>
      <w:r w:rsidR="002005F5" w:rsidRPr="00E3139B">
        <w:rPr>
          <w:rFonts w:asciiTheme="majorHAnsi" w:hAnsiTheme="majorHAnsi" w:cs="Courier"/>
          <w:color w:val="000000"/>
          <w:sz w:val="24"/>
          <w:szCs w:val="24"/>
        </w:rPr>
        <w:t>he</w:t>
      </w:r>
      <w:r w:rsidR="008B7C4F" w:rsidRPr="00E3139B">
        <w:rPr>
          <w:rFonts w:asciiTheme="majorHAnsi" w:hAnsiTheme="majorHAnsi" w:cs="Courier"/>
          <w:color w:val="000000"/>
          <w:sz w:val="24"/>
          <w:szCs w:val="24"/>
        </w:rPr>
        <w:t xml:space="preserve"> Board</w:t>
      </w:r>
      <w:r w:rsidR="00FA5E0C" w:rsidRPr="00E3139B">
        <w:rPr>
          <w:rFonts w:asciiTheme="majorHAnsi" w:hAnsiTheme="majorHAnsi" w:cs="Courier"/>
          <w:color w:val="000000"/>
          <w:sz w:val="24"/>
          <w:szCs w:val="24"/>
        </w:rPr>
        <w:t xml:space="preserve"> would </w:t>
      </w:r>
      <w:r w:rsidR="002005F5" w:rsidRPr="00E3139B">
        <w:rPr>
          <w:rFonts w:asciiTheme="majorHAnsi" w:hAnsiTheme="majorHAnsi" w:cs="Courier"/>
          <w:color w:val="000000"/>
          <w:sz w:val="24"/>
          <w:szCs w:val="24"/>
        </w:rPr>
        <w:t xml:space="preserve">be required to adopt this </w:t>
      </w:r>
      <w:r w:rsidR="00FA5E0C" w:rsidRPr="00E3139B">
        <w:rPr>
          <w:rFonts w:asciiTheme="majorHAnsi" w:hAnsiTheme="majorHAnsi" w:cs="Courier"/>
          <w:color w:val="000000"/>
          <w:sz w:val="24"/>
          <w:szCs w:val="24"/>
        </w:rPr>
        <w:t>d</w:t>
      </w:r>
      <w:r w:rsidR="002005F5" w:rsidRPr="00E3139B">
        <w:rPr>
          <w:rFonts w:asciiTheme="majorHAnsi" w:hAnsiTheme="majorHAnsi" w:cs="Courier"/>
          <w:color w:val="000000"/>
          <w:sz w:val="24"/>
          <w:szCs w:val="24"/>
        </w:rPr>
        <w:t xml:space="preserve">ecision of the </w:t>
      </w:r>
      <w:r w:rsidR="00FA5E0C" w:rsidRPr="00E3139B">
        <w:rPr>
          <w:rFonts w:asciiTheme="majorHAnsi" w:hAnsiTheme="majorHAnsi" w:cs="Courier"/>
          <w:color w:val="000000"/>
          <w:sz w:val="24"/>
          <w:szCs w:val="24"/>
        </w:rPr>
        <w:t>c</w:t>
      </w:r>
      <w:r w:rsidR="002005F5" w:rsidRPr="00E3139B">
        <w:rPr>
          <w:rFonts w:asciiTheme="majorHAnsi" w:hAnsiTheme="majorHAnsi" w:cs="Courier"/>
          <w:color w:val="000000"/>
          <w:sz w:val="24"/>
          <w:szCs w:val="24"/>
        </w:rPr>
        <w:t xml:space="preserve">ommunity unless it </w:t>
      </w:r>
      <w:r w:rsidR="00FA5E0C" w:rsidRPr="00E3139B">
        <w:rPr>
          <w:rFonts w:asciiTheme="majorHAnsi" w:hAnsiTheme="majorHAnsi" w:cs="Courier"/>
          <w:color w:val="000000"/>
          <w:sz w:val="24"/>
          <w:szCs w:val="24"/>
        </w:rPr>
        <w:t xml:space="preserve">is </w:t>
      </w:r>
      <w:r w:rsidR="002005F5" w:rsidRPr="00E3139B">
        <w:rPr>
          <w:rFonts w:asciiTheme="majorHAnsi" w:hAnsiTheme="majorHAnsi" w:cs="Courier"/>
          <w:color w:val="000000"/>
          <w:sz w:val="24"/>
          <w:szCs w:val="24"/>
        </w:rPr>
        <w:t xml:space="preserve">voted (unanimous or super-majority) to reject the </w:t>
      </w:r>
      <w:r w:rsidR="00FA5E0C" w:rsidRPr="00E3139B">
        <w:rPr>
          <w:rFonts w:asciiTheme="majorHAnsi" w:hAnsiTheme="majorHAnsi" w:cs="Courier"/>
          <w:color w:val="000000"/>
          <w:sz w:val="24"/>
          <w:szCs w:val="24"/>
        </w:rPr>
        <w:t>decision of the community</w:t>
      </w:r>
      <w:r w:rsidR="002005F5" w:rsidRPr="00E3139B">
        <w:rPr>
          <w:rFonts w:asciiTheme="majorHAnsi" w:hAnsiTheme="majorHAnsi" w:cs="Courier"/>
          <w:color w:val="000000"/>
          <w:sz w:val="24"/>
          <w:szCs w:val="24"/>
        </w:rPr>
        <w:t xml:space="preserve">. Coupled with another bylaws revision providing for the ability of the community to recall recalcitrant </w:t>
      </w:r>
      <w:r w:rsidR="00FA5E0C" w:rsidRPr="00E3139B">
        <w:rPr>
          <w:rFonts w:asciiTheme="majorHAnsi" w:hAnsiTheme="majorHAnsi" w:cs="Courier"/>
          <w:color w:val="000000"/>
          <w:sz w:val="24"/>
          <w:szCs w:val="24"/>
        </w:rPr>
        <w:t>B</w:t>
      </w:r>
      <w:r w:rsidR="002005F5" w:rsidRPr="00E3139B">
        <w:rPr>
          <w:rFonts w:asciiTheme="majorHAnsi" w:hAnsiTheme="majorHAnsi" w:cs="Courier"/>
          <w:color w:val="000000"/>
          <w:sz w:val="24"/>
          <w:szCs w:val="24"/>
        </w:rPr>
        <w:t xml:space="preserve">oard members, it would be difficult for the </w:t>
      </w:r>
      <w:r w:rsidR="00894E26" w:rsidRPr="00E3139B">
        <w:rPr>
          <w:rFonts w:asciiTheme="majorHAnsi" w:hAnsiTheme="majorHAnsi" w:cs="Courier"/>
          <w:color w:val="000000"/>
          <w:sz w:val="24"/>
          <w:szCs w:val="24"/>
        </w:rPr>
        <w:t>B</w:t>
      </w:r>
      <w:r w:rsidR="002005F5" w:rsidRPr="00E3139B">
        <w:rPr>
          <w:rFonts w:asciiTheme="majorHAnsi" w:hAnsiTheme="majorHAnsi" w:cs="Courier"/>
          <w:color w:val="000000"/>
          <w:sz w:val="24"/>
          <w:szCs w:val="24"/>
        </w:rPr>
        <w:t xml:space="preserve">oard to disregard </w:t>
      </w:r>
      <w:r w:rsidR="00FA5E0C" w:rsidRPr="00E3139B">
        <w:rPr>
          <w:rFonts w:asciiTheme="majorHAnsi" w:hAnsiTheme="majorHAnsi" w:cs="Courier"/>
          <w:color w:val="000000"/>
          <w:sz w:val="24"/>
          <w:szCs w:val="24"/>
        </w:rPr>
        <w:t xml:space="preserve">community decision </w:t>
      </w:r>
      <w:r w:rsidR="002005F5" w:rsidRPr="00E3139B">
        <w:rPr>
          <w:rFonts w:asciiTheme="majorHAnsi" w:hAnsiTheme="majorHAnsi" w:cs="Courier"/>
          <w:color w:val="000000"/>
          <w:sz w:val="24"/>
          <w:szCs w:val="24"/>
        </w:rPr>
        <w:t xml:space="preserve">on a few specific matters. </w:t>
      </w:r>
    </w:p>
    <w:p w14:paraId="305D21D1" w14:textId="77777777" w:rsidR="00894E26" w:rsidRPr="00E3139B" w:rsidRDefault="00894E26" w:rsidP="00A9449B">
      <w:pPr>
        <w:pStyle w:val="HTMLPreformatted"/>
        <w:numPr>
          <w:ilvl w:val="1"/>
          <w:numId w:val="17"/>
        </w:numPr>
        <w:rPr>
          <w:rFonts w:asciiTheme="majorHAnsi" w:hAnsiTheme="majorHAnsi" w:cs="Courier"/>
          <w:b/>
          <w:color w:val="000000"/>
          <w:sz w:val="24"/>
          <w:szCs w:val="24"/>
        </w:rPr>
      </w:pPr>
      <w:r w:rsidRPr="00E3139B">
        <w:rPr>
          <w:rFonts w:asciiTheme="majorHAnsi" w:hAnsiTheme="majorHAnsi" w:cs="Courier"/>
          <w:color w:val="000000"/>
          <w:sz w:val="24"/>
          <w:szCs w:val="24"/>
        </w:rPr>
        <w:t xml:space="preserve">There was a call for a definition of “relevant community” with a note that IANA customers and other important actors be considered. </w:t>
      </w:r>
    </w:p>
    <w:p w14:paraId="7FE72683" w14:textId="77777777" w:rsidR="008C319E" w:rsidRPr="00E3139B" w:rsidRDefault="00D828E9" w:rsidP="008C319E">
      <w:pPr>
        <w:pStyle w:val="HTMLPreformatted"/>
        <w:numPr>
          <w:ilvl w:val="1"/>
          <w:numId w:val="17"/>
        </w:numPr>
        <w:rPr>
          <w:rFonts w:asciiTheme="majorHAnsi" w:hAnsiTheme="majorHAnsi" w:cs="Courier"/>
          <w:b/>
          <w:color w:val="000000"/>
          <w:sz w:val="24"/>
          <w:szCs w:val="24"/>
        </w:rPr>
      </w:pPr>
      <w:r w:rsidRPr="00E3139B">
        <w:rPr>
          <w:rFonts w:asciiTheme="majorHAnsi" w:hAnsiTheme="majorHAnsi" w:cs="Courier"/>
          <w:color w:val="000000"/>
          <w:sz w:val="24"/>
          <w:szCs w:val="24"/>
        </w:rPr>
        <w:t>The ability of the community to recall recalcitrant Board members</w:t>
      </w:r>
      <w:r w:rsidR="008C319E" w:rsidRPr="00E3139B">
        <w:rPr>
          <w:rFonts w:asciiTheme="majorHAnsi" w:hAnsiTheme="majorHAnsi" w:cs="Courier"/>
          <w:color w:val="000000"/>
          <w:sz w:val="24"/>
          <w:szCs w:val="24"/>
        </w:rPr>
        <w:t xml:space="preserve"> should be viewed separately in this model. </w:t>
      </w:r>
    </w:p>
    <w:p w14:paraId="61BD7CC1" w14:textId="77777777" w:rsidR="00FB401A" w:rsidRPr="00E3139B" w:rsidRDefault="008C319E" w:rsidP="002005F5">
      <w:pPr>
        <w:pStyle w:val="HTMLPreformatted"/>
        <w:numPr>
          <w:ilvl w:val="1"/>
          <w:numId w:val="17"/>
        </w:numPr>
        <w:rPr>
          <w:rFonts w:asciiTheme="majorHAnsi" w:hAnsiTheme="majorHAnsi" w:cs="Courier"/>
          <w:b/>
          <w:color w:val="000000"/>
          <w:sz w:val="24"/>
          <w:szCs w:val="24"/>
        </w:rPr>
      </w:pPr>
      <w:r w:rsidRPr="00E3139B">
        <w:rPr>
          <w:rFonts w:asciiTheme="majorHAnsi" w:hAnsiTheme="majorHAnsi" w:cs="Courier"/>
          <w:color w:val="000000"/>
          <w:sz w:val="24"/>
          <w:szCs w:val="24"/>
        </w:rPr>
        <w:t xml:space="preserve">It was suggested that a removal of single Board members be considered, involving processes within </w:t>
      </w:r>
      <w:proofErr w:type="spellStart"/>
      <w:r w:rsidRPr="00E3139B">
        <w:rPr>
          <w:rFonts w:asciiTheme="majorHAnsi" w:hAnsiTheme="majorHAnsi" w:cs="Courier"/>
          <w:color w:val="000000"/>
          <w:sz w:val="24"/>
          <w:szCs w:val="24"/>
        </w:rPr>
        <w:t>NomCom</w:t>
      </w:r>
      <w:proofErr w:type="spellEnd"/>
      <w:r w:rsidRPr="00E3139B">
        <w:rPr>
          <w:rFonts w:asciiTheme="majorHAnsi" w:hAnsiTheme="majorHAnsi" w:cs="Courier"/>
          <w:color w:val="000000"/>
          <w:sz w:val="24"/>
          <w:szCs w:val="24"/>
        </w:rPr>
        <w:t xml:space="preserve"> and selecting SO/ACs. </w:t>
      </w:r>
      <w:r w:rsidR="00EA6A39" w:rsidRPr="00E3139B">
        <w:rPr>
          <w:rFonts w:asciiTheme="majorHAnsi" w:hAnsiTheme="majorHAnsi" w:cs="Courier"/>
          <w:color w:val="000000"/>
          <w:sz w:val="24"/>
          <w:szCs w:val="24"/>
        </w:rPr>
        <w:t xml:space="preserve"> Contributors touched on removal of the entire board</w:t>
      </w:r>
      <w:r w:rsidR="00FB401A" w:rsidRPr="00E3139B">
        <w:rPr>
          <w:rFonts w:asciiTheme="majorHAnsi" w:hAnsiTheme="majorHAnsi" w:cs="Courier"/>
          <w:color w:val="000000"/>
          <w:sz w:val="24"/>
          <w:szCs w:val="24"/>
        </w:rPr>
        <w:t xml:space="preserve"> though removal of the </w:t>
      </w:r>
      <w:r w:rsidR="00EA6A39" w:rsidRPr="00E3139B">
        <w:rPr>
          <w:rFonts w:asciiTheme="majorHAnsi" w:hAnsiTheme="majorHAnsi" w:cs="Courier"/>
          <w:color w:val="000000"/>
          <w:sz w:val="24"/>
          <w:szCs w:val="24"/>
        </w:rPr>
        <w:t>C</w:t>
      </w:r>
      <w:r w:rsidR="00FB401A" w:rsidRPr="00E3139B">
        <w:rPr>
          <w:rFonts w:asciiTheme="majorHAnsi" w:hAnsiTheme="majorHAnsi" w:cs="Courier"/>
          <w:color w:val="000000"/>
          <w:sz w:val="24"/>
          <w:szCs w:val="24"/>
        </w:rPr>
        <w:t>hair by a community</w:t>
      </w:r>
      <w:r w:rsidR="00EA6A39" w:rsidRPr="00E3139B">
        <w:rPr>
          <w:rFonts w:asciiTheme="majorHAnsi" w:hAnsiTheme="majorHAnsi" w:cs="Courier"/>
          <w:color w:val="000000"/>
          <w:sz w:val="24"/>
          <w:szCs w:val="24"/>
        </w:rPr>
        <w:t>, need for Board members to serve public interest while noting its inherent diversity</w:t>
      </w:r>
      <w:r w:rsidR="00540BC7" w:rsidRPr="00E3139B">
        <w:rPr>
          <w:rFonts w:asciiTheme="majorHAnsi" w:hAnsiTheme="majorHAnsi" w:cs="Courier"/>
          <w:color w:val="000000"/>
          <w:sz w:val="24"/>
          <w:szCs w:val="24"/>
        </w:rPr>
        <w:t xml:space="preserve"> of interests and need for representation of all viewpoints</w:t>
      </w:r>
      <w:r w:rsidR="00EA6A39" w:rsidRPr="00E3139B">
        <w:rPr>
          <w:rFonts w:asciiTheme="majorHAnsi" w:hAnsiTheme="majorHAnsi" w:cs="Courier"/>
          <w:color w:val="000000"/>
          <w:sz w:val="24"/>
          <w:szCs w:val="24"/>
        </w:rPr>
        <w:t xml:space="preserve">, </w:t>
      </w:r>
      <w:r w:rsidR="00211F4F">
        <w:rPr>
          <w:rFonts w:asciiTheme="majorHAnsi" w:hAnsiTheme="majorHAnsi" w:cs="Courier"/>
          <w:color w:val="000000"/>
          <w:sz w:val="24"/>
          <w:szCs w:val="24"/>
        </w:rPr>
        <w:t xml:space="preserve">as well as </w:t>
      </w:r>
      <w:r w:rsidR="00EA6A39" w:rsidRPr="00E3139B">
        <w:rPr>
          <w:rFonts w:asciiTheme="majorHAnsi" w:hAnsiTheme="majorHAnsi" w:cs="Courier"/>
          <w:color w:val="000000"/>
          <w:sz w:val="24"/>
          <w:szCs w:val="24"/>
        </w:rPr>
        <w:t>need for a level of consensus</w:t>
      </w:r>
      <w:r w:rsidR="00FB401A" w:rsidRPr="00E3139B">
        <w:rPr>
          <w:rFonts w:asciiTheme="majorHAnsi" w:hAnsiTheme="majorHAnsi" w:cs="Courier"/>
          <w:color w:val="000000"/>
          <w:sz w:val="24"/>
          <w:szCs w:val="24"/>
        </w:rPr>
        <w:t xml:space="preserve"> wide consensus</w:t>
      </w:r>
      <w:r w:rsidR="00211F4F">
        <w:rPr>
          <w:rFonts w:asciiTheme="majorHAnsi" w:hAnsiTheme="majorHAnsi" w:cs="Courier"/>
          <w:color w:val="000000"/>
          <w:sz w:val="24"/>
          <w:szCs w:val="24"/>
        </w:rPr>
        <w:t>.</w:t>
      </w:r>
    </w:p>
    <w:p w14:paraId="3D67DA0C" w14:textId="77777777" w:rsidR="009E1529" w:rsidRPr="00E3139B" w:rsidRDefault="009E1529" w:rsidP="002005F5">
      <w:pPr>
        <w:pStyle w:val="HTMLPreformatted"/>
        <w:rPr>
          <w:rFonts w:asciiTheme="majorHAnsi" w:hAnsiTheme="majorHAnsi" w:cs="Courier"/>
          <w:color w:val="000000"/>
          <w:sz w:val="24"/>
          <w:szCs w:val="24"/>
        </w:rPr>
      </w:pPr>
    </w:p>
    <w:p w14:paraId="5424C158" w14:textId="77777777" w:rsidR="002005F5" w:rsidRPr="00E3139B" w:rsidRDefault="00540BC7" w:rsidP="00540BC7">
      <w:pPr>
        <w:pStyle w:val="HTMLPreformatted"/>
        <w:numPr>
          <w:ilvl w:val="0"/>
          <w:numId w:val="19"/>
        </w:numPr>
        <w:ind w:left="360"/>
        <w:rPr>
          <w:rFonts w:asciiTheme="majorHAnsi" w:hAnsiTheme="majorHAnsi" w:cs="Courier"/>
          <w:b/>
          <w:color w:val="000000"/>
          <w:sz w:val="24"/>
          <w:szCs w:val="24"/>
        </w:rPr>
      </w:pPr>
      <w:r w:rsidRPr="00E3139B">
        <w:rPr>
          <w:rFonts w:asciiTheme="majorHAnsi" w:hAnsiTheme="majorHAnsi" w:cs="Courier"/>
          <w:b/>
          <w:color w:val="000000"/>
          <w:sz w:val="24"/>
          <w:szCs w:val="24"/>
        </w:rPr>
        <w:t>Timeframe</w:t>
      </w:r>
    </w:p>
    <w:p w14:paraId="211A35A5" w14:textId="77777777" w:rsidR="002005F5" w:rsidRPr="00E3139B" w:rsidRDefault="00E3139B" w:rsidP="002005F5">
      <w:pPr>
        <w:pStyle w:val="HTMLPreformatted"/>
        <w:numPr>
          <w:ilvl w:val="0"/>
          <w:numId w:val="20"/>
        </w:numPr>
        <w:ind w:left="1080"/>
        <w:rPr>
          <w:rFonts w:asciiTheme="majorHAnsi" w:hAnsiTheme="majorHAnsi" w:cs="Courier"/>
          <w:color w:val="000000"/>
          <w:sz w:val="24"/>
          <w:szCs w:val="24"/>
        </w:rPr>
      </w:pPr>
      <w:r w:rsidRPr="00E3139B">
        <w:rPr>
          <w:rFonts w:asciiTheme="majorHAnsi" w:hAnsiTheme="majorHAnsi" w:cs="Courier"/>
          <w:color w:val="000000"/>
          <w:sz w:val="24"/>
          <w:szCs w:val="24"/>
        </w:rPr>
        <w:t xml:space="preserve">Contributors raised concerns about how the timeline for Bylaws amendments </w:t>
      </w:r>
      <w:r w:rsidR="00D419DF" w:rsidRPr="00E3139B">
        <w:rPr>
          <w:rFonts w:asciiTheme="majorHAnsi" w:hAnsiTheme="majorHAnsi" w:cs="Courier"/>
          <w:color w:val="000000"/>
          <w:sz w:val="24"/>
          <w:szCs w:val="24"/>
        </w:rPr>
        <w:t xml:space="preserve">will fit with </w:t>
      </w:r>
      <w:r w:rsidRPr="00E3139B">
        <w:rPr>
          <w:rFonts w:asciiTheme="majorHAnsi" w:hAnsiTheme="majorHAnsi" w:cs="Courier"/>
          <w:color w:val="000000"/>
          <w:sz w:val="24"/>
          <w:szCs w:val="24"/>
        </w:rPr>
        <w:t xml:space="preserve">process requirements. </w:t>
      </w:r>
    </w:p>
    <w:p w14:paraId="0588CB45" w14:textId="77777777" w:rsidR="002005F5" w:rsidRPr="00715D97" w:rsidRDefault="002005F5" w:rsidP="00200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color w:val="000000"/>
        </w:rPr>
      </w:pPr>
    </w:p>
    <w:p w14:paraId="6BEABEC0" w14:textId="77777777" w:rsidR="000413E2" w:rsidRPr="0051120C" w:rsidRDefault="00B12E61" w:rsidP="00E3139B">
      <w:pPr>
        <w:pStyle w:val="HTMLPreformatted"/>
        <w:numPr>
          <w:ilvl w:val="0"/>
          <w:numId w:val="21"/>
        </w:numPr>
        <w:rPr>
          <w:rFonts w:asciiTheme="majorHAnsi" w:hAnsiTheme="majorHAnsi" w:cs="Courier"/>
          <w:b/>
          <w:color w:val="000000"/>
          <w:sz w:val="24"/>
          <w:szCs w:val="24"/>
        </w:rPr>
      </w:pPr>
      <w:r w:rsidRPr="0051120C">
        <w:rPr>
          <w:rFonts w:asciiTheme="majorHAnsi" w:hAnsiTheme="majorHAnsi" w:cs="Courier"/>
          <w:b/>
          <w:color w:val="000000"/>
          <w:sz w:val="24"/>
          <w:szCs w:val="24"/>
        </w:rPr>
        <w:t xml:space="preserve">Voting </w:t>
      </w:r>
    </w:p>
    <w:p w14:paraId="25E165DC" w14:textId="53C3494D" w:rsidR="00A04E50" w:rsidRPr="00F05B13" w:rsidRDefault="00CB1044" w:rsidP="00F05B13">
      <w:pPr>
        <w:pStyle w:val="ListParagraph"/>
        <w:numPr>
          <w:ilvl w:val="1"/>
          <w:numId w:val="2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"/>
          <w:color w:val="000000"/>
        </w:rPr>
      </w:pPr>
      <w:hyperlink r:id="rId13" w:history="1">
        <w:r w:rsidR="0051120C" w:rsidRPr="00F05B13">
          <w:rPr>
            <w:rStyle w:val="Hyperlink"/>
            <w:rFonts w:asciiTheme="majorHAnsi" w:hAnsiTheme="majorHAnsi" w:cs="Courier"/>
          </w:rPr>
          <w:t>I</w:t>
        </w:r>
        <w:r w:rsidR="00B12E61" w:rsidRPr="00F05B13">
          <w:rPr>
            <w:rStyle w:val="Hyperlink"/>
            <w:rFonts w:asciiTheme="majorHAnsi" w:hAnsiTheme="majorHAnsi" w:cs="Courier"/>
          </w:rPr>
          <w:t>nformation</w:t>
        </w:r>
      </w:hyperlink>
      <w:r w:rsidR="00B12E61" w:rsidRPr="00F05B13">
        <w:rPr>
          <w:rFonts w:asciiTheme="majorHAnsi" w:hAnsiTheme="majorHAnsi" w:cs="Courier"/>
          <w:color w:val="000000"/>
        </w:rPr>
        <w:t xml:space="preserve"> on the community reexamination </w:t>
      </w:r>
      <w:r w:rsidR="0051120C" w:rsidRPr="00F05B13">
        <w:rPr>
          <w:rFonts w:asciiTheme="majorHAnsi" w:hAnsiTheme="majorHAnsi" w:cs="Courier"/>
          <w:color w:val="000000"/>
        </w:rPr>
        <w:t xml:space="preserve">of </w:t>
      </w:r>
      <w:r w:rsidR="00B12E61" w:rsidRPr="00F05B13">
        <w:rPr>
          <w:rFonts w:asciiTheme="majorHAnsi" w:hAnsiTheme="majorHAnsi" w:cs="Courier"/>
          <w:color w:val="000000"/>
        </w:rPr>
        <w:t>vote proposal that arose out of the 2009 President’s Strategy Committee work on Imp</w:t>
      </w:r>
      <w:r w:rsidR="0051120C" w:rsidRPr="00F05B13">
        <w:rPr>
          <w:rFonts w:asciiTheme="majorHAnsi" w:hAnsiTheme="majorHAnsi" w:cs="Courier"/>
          <w:color w:val="000000"/>
        </w:rPr>
        <w:t>roving Institutional Con</w:t>
      </w:r>
      <w:r w:rsidR="0069319A" w:rsidRPr="00F05B13">
        <w:rPr>
          <w:rFonts w:asciiTheme="majorHAnsi" w:hAnsiTheme="majorHAnsi" w:cs="Courier"/>
          <w:color w:val="000000"/>
        </w:rPr>
        <w:t>fidence was shared on the list.</w:t>
      </w:r>
      <w:bookmarkStart w:id="0" w:name="_GoBack"/>
      <w:bookmarkEnd w:id="0"/>
    </w:p>
    <w:sectPr w:rsidR="00A04E50" w:rsidRPr="00F05B13" w:rsidSect="007461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7B8"/>
    <w:multiLevelType w:val="hybridMultilevel"/>
    <w:tmpl w:val="A46A0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B04D79"/>
    <w:multiLevelType w:val="hybridMultilevel"/>
    <w:tmpl w:val="2F900E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9E585A"/>
    <w:multiLevelType w:val="hybridMultilevel"/>
    <w:tmpl w:val="7932DF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963442"/>
    <w:multiLevelType w:val="hybridMultilevel"/>
    <w:tmpl w:val="01DA4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4F6104"/>
    <w:multiLevelType w:val="hybridMultilevel"/>
    <w:tmpl w:val="64081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37D79"/>
    <w:multiLevelType w:val="hybridMultilevel"/>
    <w:tmpl w:val="B23E7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22A0D"/>
    <w:multiLevelType w:val="hybridMultilevel"/>
    <w:tmpl w:val="730C1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452DC5"/>
    <w:multiLevelType w:val="hybridMultilevel"/>
    <w:tmpl w:val="587C16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C579BE"/>
    <w:multiLevelType w:val="hybridMultilevel"/>
    <w:tmpl w:val="EE0A77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7C30D0"/>
    <w:multiLevelType w:val="hybridMultilevel"/>
    <w:tmpl w:val="C1D0B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34497"/>
    <w:multiLevelType w:val="hybridMultilevel"/>
    <w:tmpl w:val="37E6BC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466724"/>
    <w:multiLevelType w:val="hybridMultilevel"/>
    <w:tmpl w:val="4ECAF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414209"/>
    <w:multiLevelType w:val="hybridMultilevel"/>
    <w:tmpl w:val="06D226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C7DB1"/>
    <w:multiLevelType w:val="hybridMultilevel"/>
    <w:tmpl w:val="94760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3F408D"/>
    <w:multiLevelType w:val="hybridMultilevel"/>
    <w:tmpl w:val="35E84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64111B2"/>
    <w:multiLevelType w:val="hybridMultilevel"/>
    <w:tmpl w:val="0E70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D21C4B"/>
    <w:multiLevelType w:val="hybridMultilevel"/>
    <w:tmpl w:val="BB064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2463A04"/>
    <w:multiLevelType w:val="hybridMultilevel"/>
    <w:tmpl w:val="BC20A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332F1B"/>
    <w:multiLevelType w:val="hybridMultilevel"/>
    <w:tmpl w:val="C860B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8A93F34"/>
    <w:multiLevelType w:val="hybridMultilevel"/>
    <w:tmpl w:val="F074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1A01A5"/>
    <w:multiLevelType w:val="hybridMultilevel"/>
    <w:tmpl w:val="7B784C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2"/>
  </w:num>
  <w:num w:numId="5">
    <w:abstractNumId w:val="5"/>
  </w:num>
  <w:num w:numId="6">
    <w:abstractNumId w:val="3"/>
  </w:num>
  <w:num w:numId="7">
    <w:abstractNumId w:val="16"/>
  </w:num>
  <w:num w:numId="8">
    <w:abstractNumId w:val="17"/>
  </w:num>
  <w:num w:numId="9">
    <w:abstractNumId w:val="0"/>
  </w:num>
  <w:num w:numId="10">
    <w:abstractNumId w:val="1"/>
  </w:num>
  <w:num w:numId="11">
    <w:abstractNumId w:val="9"/>
  </w:num>
  <w:num w:numId="12">
    <w:abstractNumId w:val="10"/>
  </w:num>
  <w:num w:numId="13">
    <w:abstractNumId w:val="8"/>
  </w:num>
  <w:num w:numId="14">
    <w:abstractNumId w:val="14"/>
  </w:num>
  <w:num w:numId="15">
    <w:abstractNumId w:val="20"/>
  </w:num>
  <w:num w:numId="16">
    <w:abstractNumId w:val="13"/>
  </w:num>
  <w:num w:numId="17">
    <w:abstractNumId w:val="18"/>
  </w:num>
  <w:num w:numId="18">
    <w:abstractNumId w:val="7"/>
  </w:num>
  <w:num w:numId="19">
    <w:abstractNumId w:val="19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31"/>
    <w:rsid w:val="000145E4"/>
    <w:rsid w:val="00021459"/>
    <w:rsid w:val="000232A5"/>
    <w:rsid w:val="000238D3"/>
    <w:rsid w:val="000413E2"/>
    <w:rsid w:val="0004277B"/>
    <w:rsid w:val="00043B40"/>
    <w:rsid w:val="00043CC2"/>
    <w:rsid w:val="000579EB"/>
    <w:rsid w:val="00062F0B"/>
    <w:rsid w:val="00066B21"/>
    <w:rsid w:val="00073565"/>
    <w:rsid w:val="00083ECD"/>
    <w:rsid w:val="00085060"/>
    <w:rsid w:val="000903B8"/>
    <w:rsid w:val="000A65DF"/>
    <w:rsid w:val="000B1D4E"/>
    <w:rsid w:val="000D0BC8"/>
    <w:rsid w:val="000D2567"/>
    <w:rsid w:val="000D3F36"/>
    <w:rsid w:val="000D478A"/>
    <w:rsid w:val="000F14A5"/>
    <w:rsid w:val="00113AF0"/>
    <w:rsid w:val="00125F04"/>
    <w:rsid w:val="00127403"/>
    <w:rsid w:val="00134E7E"/>
    <w:rsid w:val="00142ACF"/>
    <w:rsid w:val="00146D81"/>
    <w:rsid w:val="00153A78"/>
    <w:rsid w:val="00155E4B"/>
    <w:rsid w:val="00157F1A"/>
    <w:rsid w:val="00160EEC"/>
    <w:rsid w:val="001660EB"/>
    <w:rsid w:val="00184172"/>
    <w:rsid w:val="0019047F"/>
    <w:rsid w:val="00190FD2"/>
    <w:rsid w:val="00192058"/>
    <w:rsid w:val="00196254"/>
    <w:rsid w:val="001C611A"/>
    <w:rsid w:val="001D1B8A"/>
    <w:rsid w:val="001E0826"/>
    <w:rsid w:val="001E22CA"/>
    <w:rsid w:val="001F2435"/>
    <w:rsid w:val="001F4E1D"/>
    <w:rsid w:val="001F5F36"/>
    <w:rsid w:val="001F70B3"/>
    <w:rsid w:val="002005C9"/>
    <w:rsid w:val="002005F5"/>
    <w:rsid w:val="00200CFA"/>
    <w:rsid w:val="00202F8C"/>
    <w:rsid w:val="00211F4F"/>
    <w:rsid w:val="00215FA0"/>
    <w:rsid w:val="002229B8"/>
    <w:rsid w:val="00222B92"/>
    <w:rsid w:val="002307D4"/>
    <w:rsid w:val="00232EAB"/>
    <w:rsid w:val="00236EDE"/>
    <w:rsid w:val="00240160"/>
    <w:rsid w:val="00266784"/>
    <w:rsid w:val="002672A4"/>
    <w:rsid w:val="00271B0F"/>
    <w:rsid w:val="00286700"/>
    <w:rsid w:val="00295459"/>
    <w:rsid w:val="002A016B"/>
    <w:rsid w:val="002A1AB8"/>
    <w:rsid w:val="002A68E1"/>
    <w:rsid w:val="002A7EDA"/>
    <w:rsid w:val="002A7FF8"/>
    <w:rsid w:val="002B008B"/>
    <w:rsid w:val="002B0854"/>
    <w:rsid w:val="002B12A5"/>
    <w:rsid w:val="002B3E8C"/>
    <w:rsid w:val="002C1D48"/>
    <w:rsid w:val="002E376B"/>
    <w:rsid w:val="002E7539"/>
    <w:rsid w:val="002E78C6"/>
    <w:rsid w:val="002F2EC2"/>
    <w:rsid w:val="002F7592"/>
    <w:rsid w:val="003014B1"/>
    <w:rsid w:val="00302E54"/>
    <w:rsid w:val="003035A0"/>
    <w:rsid w:val="00324058"/>
    <w:rsid w:val="00324F80"/>
    <w:rsid w:val="00337777"/>
    <w:rsid w:val="00340EF7"/>
    <w:rsid w:val="003416D6"/>
    <w:rsid w:val="00351E17"/>
    <w:rsid w:val="00356641"/>
    <w:rsid w:val="00372986"/>
    <w:rsid w:val="0038475E"/>
    <w:rsid w:val="003A2E1B"/>
    <w:rsid w:val="003A4EC9"/>
    <w:rsid w:val="003A7065"/>
    <w:rsid w:val="003D063C"/>
    <w:rsid w:val="003D06EF"/>
    <w:rsid w:val="003D56BC"/>
    <w:rsid w:val="003E67E2"/>
    <w:rsid w:val="003F0C19"/>
    <w:rsid w:val="00416BA8"/>
    <w:rsid w:val="00416DFC"/>
    <w:rsid w:val="004233C6"/>
    <w:rsid w:val="00426DE8"/>
    <w:rsid w:val="00431FD0"/>
    <w:rsid w:val="00442C29"/>
    <w:rsid w:val="0044375C"/>
    <w:rsid w:val="004453ED"/>
    <w:rsid w:val="00447EEA"/>
    <w:rsid w:val="00454ACE"/>
    <w:rsid w:val="00456370"/>
    <w:rsid w:val="00457297"/>
    <w:rsid w:val="00472ADC"/>
    <w:rsid w:val="00476A55"/>
    <w:rsid w:val="00485DF4"/>
    <w:rsid w:val="00487780"/>
    <w:rsid w:val="004958F4"/>
    <w:rsid w:val="004974B3"/>
    <w:rsid w:val="004A31AE"/>
    <w:rsid w:val="004A6FA1"/>
    <w:rsid w:val="004B053E"/>
    <w:rsid w:val="004C168D"/>
    <w:rsid w:val="004C16D6"/>
    <w:rsid w:val="004C2F46"/>
    <w:rsid w:val="004D38B2"/>
    <w:rsid w:val="004E0129"/>
    <w:rsid w:val="004E1FA8"/>
    <w:rsid w:val="004E4AAD"/>
    <w:rsid w:val="004E4BD7"/>
    <w:rsid w:val="004E7D2E"/>
    <w:rsid w:val="00504C2D"/>
    <w:rsid w:val="00505DBA"/>
    <w:rsid w:val="00506335"/>
    <w:rsid w:val="0051067B"/>
    <w:rsid w:val="0051120C"/>
    <w:rsid w:val="00520109"/>
    <w:rsid w:val="00534000"/>
    <w:rsid w:val="00540BC7"/>
    <w:rsid w:val="00542094"/>
    <w:rsid w:val="0057000F"/>
    <w:rsid w:val="00574936"/>
    <w:rsid w:val="00574BA3"/>
    <w:rsid w:val="00575AE9"/>
    <w:rsid w:val="00583E2A"/>
    <w:rsid w:val="005903A8"/>
    <w:rsid w:val="005A137C"/>
    <w:rsid w:val="005B1454"/>
    <w:rsid w:val="005C4215"/>
    <w:rsid w:val="005D047C"/>
    <w:rsid w:val="005E42E0"/>
    <w:rsid w:val="005E5B68"/>
    <w:rsid w:val="005E6D10"/>
    <w:rsid w:val="005E6F8A"/>
    <w:rsid w:val="005F0469"/>
    <w:rsid w:val="005F544F"/>
    <w:rsid w:val="006144C2"/>
    <w:rsid w:val="00622EEB"/>
    <w:rsid w:val="00644393"/>
    <w:rsid w:val="00663F36"/>
    <w:rsid w:val="00670C20"/>
    <w:rsid w:val="00684F30"/>
    <w:rsid w:val="00685A7F"/>
    <w:rsid w:val="00692E8B"/>
    <w:rsid w:val="0069319A"/>
    <w:rsid w:val="00694620"/>
    <w:rsid w:val="006A2494"/>
    <w:rsid w:val="006A6159"/>
    <w:rsid w:val="006C590D"/>
    <w:rsid w:val="006D397F"/>
    <w:rsid w:val="006D5E2D"/>
    <w:rsid w:val="006E471A"/>
    <w:rsid w:val="006E4AF8"/>
    <w:rsid w:val="006E7C23"/>
    <w:rsid w:val="006F5B25"/>
    <w:rsid w:val="007021B3"/>
    <w:rsid w:val="00707E14"/>
    <w:rsid w:val="00715D97"/>
    <w:rsid w:val="00717050"/>
    <w:rsid w:val="00725DBE"/>
    <w:rsid w:val="0074616F"/>
    <w:rsid w:val="00770DD7"/>
    <w:rsid w:val="007755D0"/>
    <w:rsid w:val="00783031"/>
    <w:rsid w:val="0078314B"/>
    <w:rsid w:val="00792433"/>
    <w:rsid w:val="00796E39"/>
    <w:rsid w:val="007C567F"/>
    <w:rsid w:val="007C705D"/>
    <w:rsid w:val="007D341B"/>
    <w:rsid w:val="007F6CE9"/>
    <w:rsid w:val="00810840"/>
    <w:rsid w:val="008123B2"/>
    <w:rsid w:val="00816BB8"/>
    <w:rsid w:val="00823EB4"/>
    <w:rsid w:val="008514F4"/>
    <w:rsid w:val="00853B87"/>
    <w:rsid w:val="00864B98"/>
    <w:rsid w:val="00864F34"/>
    <w:rsid w:val="008675CA"/>
    <w:rsid w:val="00882294"/>
    <w:rsid w:val="00884316"/>
    <w:rsid w:val="00884D5F"/>
    <w:rsid w:val="008947E6"/>
    <w:rsid w:val="00894E26"/>
    <w:rsid w:val="00897A8D"/>
    <w:rsid w:val="008B30D3"/>
    <w:rsid w:val="008B7C4F"/>
    <w:rsid w:val="008C319E"/>
    <w:rsid w:val="008D2416"/>
    <w:rsid w:val="008D364D"/>
    <w:rsid w:val="008D5A07"/>
    <w:rsid w:val="008D7CCA"/>
    <w:rsid w:val="008E0ED6"/>
    <w:rsid w:val="008E13BA"/>
    <w:rsid w:val="008E5520"/>
    <w:rsid w:val="008F6BB1"/>
    <w:rsid w:val="009025D8"/>
    <w:rsid w:val="0092673F"/>
    <w:rsid w:val="0093415D"/>
    <w:rsid w:val="009362CA"/>
    <w:rsid w:val="00953D2A"/>
    <w:rsid w:val="0095747C"/>
    <w:rsid w:val="0096173C"/>
    <w:rsid w:val="00962540"/>
    <w:rsid w:val="00963588"/>
    <w:rsid w:val="00964E4D"/>
    <w:rsid w:val="00964ED4"/>
    <w:rsid w:val="00967D93"/>
    <w:rsid w:val="00967E82"/>
    <w:rsid w:val="00975EF9"/>
    <w:rsid w:val="00977087"/>
    <w:rsid w:val="009818D3"/>
    <w:rsid w:val="009871C8"/>
    <w:rsid w:val="00991EEA"/>
    <w:rsid w:val="0099649E"/>
    <w:rsid w:val="009A049C"/>
    <w:rsid w:val="009A3061"/>
    <w:rsid w:val="009B678A"/>
    <w:rsid w:val="009C0D85"/>
    <w:rsid w:val="009C598E"/>
    <w:rsid w:val="009C7892"/>
    <w:rsid w:val="009E1529"/>
    <w:rsid w:val="009E6AEA"/>
    <w:rsid w:val="009F3310"/>
    <w:rsid w:val="00A04E50"/>
    <w:rsid w:val="00A05577"/>
    <w:rsid w:val="00A11E86"/>
    <w:rsid w:val="00A125F9"/>
    <w:rsid w:val="00A130E0"/>
    <w:rsid w:val="00A13B1A"/>
    <w:rsid w:val="00A17D72"/>
    <w:rsid w:val="00A3777F"/>
    <w:rsid w:val="00A401BB"/>
    <w:rsid w:val="00A4078E"/>
    <w:rsid w:val="00A4473F"/>
    <w:rsid w:val="00A54449"/>
    <w:rsid w:val="00A617E1"/>
    <w:rsid w:val="00A65F0D"/>
    <w:rsid w:val="00A82DC9"/>
    <w:rsid w:val="00A93FC2"/>
    <w:rsid w:val="00A9449B"/>
    <w:rsid w:val="00A95798"/>
    <w:rsid w:val="00A96ACF"/>
    <w:rsid w:val="00AA52B7"/>
    <w:rsid w:val="00AB1493"/>
    <w:rsid w:val="00AB48F8"/>
    <w:rsid w:val="00AB544C"/>
    <w:rsid w:val="00AC013E"/>
    <w:rsid w:val="00AE2E37"/>
    <w:rsid w:val="00AF1ABA"/>
    <w:rsid w:val="00AF69EB"/>
    <w:rsid w:val="00AF7708"/>
    <w:rsid w:val="00B01630"/>
    <w:rsid w:val="00B052B9"/>
    <w:rsid w:val="00B108C2"/>
    <w:rsid w:val="00B12A39"/>
    <w:rsid w:val="00B12E61"/>
    <w:rsid w:val="00B25B30"/>
    <w:rsid w:val="00B32CF2"/>
    <w:rsid w:val="00B35C31"/>
    <w:rsid w:val="00B445F1"/>
    <w:rsid w:val="00B45017"/>
    <w:rsid w:val="00B45BB5"/>
    <w:rsid w:val="00B47CA2"/>
    <w:rsid w:val="00B50814"/>
    <w:rsid w:val="00B53119"/>
    <w:rsid w:val="00B62D61"/>
    <w:rsid w:val="00B63B8C"/>
    <w:rsid w:val="00B63BFC"/>
    <w:rsid w:val="00B72A74"/>
    <w:rsid w:val="00B76160"/>
    <w:rsid w:val="00B812C7"/>
    <w:rsid w:val="00B9055A"/>
    <w:rsid w:val="00B96729"/>
    <w:rsid w:val="00BA2C41"/>
    <w:rsid w:val="00BA4A6B"/>
    <w:rsid w:val="00BB2CBE"/>
    <w:rsid w:val="00BB6711"/>
    <w:rsid w:val="00BB6B41"/>
    <w:rsid w:val="00BB6E7F"/>
    <w:rsid w:val="00BB7C7D"/>
    <w:rsid w:val="00BC1B35"/>
    <w:rsid w:val="00BC1C33"/>
    <w:rsid w:val="00BC45A4"/>
    <w:rsid w:val="00BC769A"/>
    <w:rsid w:val="00BC7E90"/>
    <w:rsid w:val="00BD3762"/>
    <w:rsid w:val="00BD58F6"/>
    <w:rsid w:val="00BD5B11"/>
    <w:rsid w:val="00BF10E0"/>
    <w:rsid w:val="00BF7FED"/>
    <w:rsid w:val="00C0336B"/>
    <w:rsid w:val="00C05169"/>
    <w:rsid w:val="00C078C1"/>
    <w:rsid w:val="00C13D99"/>
    <w:rsid w:val="00C144B3"/>
    <w:rsid w:val="00C15305"/>
    <w:rsid w:val="00C16484"/>
    <w:rsid w:val="00C20D66"/>
    <w:rsid w:val="00C314FC"/>
    <w:rsid w:val="00C3197E"/>
    <w:rsid w:val="00C33678"/>
    <w:rsid w:val="00C4026F"/>
    <w:rsid w:val="00C40BBB"/>
    <w:rsid w:val="00C53FA6"/>
    <w:rsid w:val="00C54C0A"/>
    <w:rsid w:val="00C61728"/>
    <w:rsid w:val="00C64A55"/>
    <w:rsid w:val="00C64ACA"/>
    <w:rsid w:val="00C665A6"/>
    <w:rsid w:val="00C844F4"/>
    <w:rsid w:val="00CA6C4E"/>
    <w:rsid w:val="00CA700D"/>
    <w:rsid w:val="00CB1044"/>
    <w:rsid w:val="00CB3388"/>
    <w:rsid w:val="00CB3A83"/>
    <w:rsid w:val="00CB3C53"/>
    <w:rsid w:val="00CB56B6"/>
    <w:rsid w:val="00CC0F17"/>
    <w:rsid w:val="00CC4CD8"/>
    <w:rsid w:val="00CD30DE"/>
    <w:rsid w:val="00CD385C"/>
    <w:rsid w:val="00CD62DE"/>
    <w:rsid w:val="00CF1D8B"/>
    <w:rsid w:val="00D07C36"/>
    <w:rsid w:val="00D117F7"/>
    <w:rsid w:val="00D11C7D"/>
    <w:rsid w:val="00D1366A"/>
    <w:rsid w:val="00D15F7F"/>
    <w:rsid w:val="00D21765"/>
    <w:rsid w:val="00D26D69"/>
    <w:rsid w:val="00D36AEC"/>
    <w:rsid w:val="00D36FF0"/>
    <w:rsid w:val="00D419DF"/>
    <w:rsid w:val="00D42DCF"/>
    <w:rsid w:val="00D603E7"/>
    <w:rsid w:val="00D64CB0"/>
    <w:rsid w:val="00D66022"/>
    <w:rsid w:val="00D75224"/>
    <w:rsid w:val="00D76164"/>
    <w:rsid w:val="00D813AB"/>
    <w:rsid w:val="00D828E9"/>
    <w:rsid w:val="00D918AE"/>
    <w:rsid w:val="00DB68C8"/>
    <w:rsid w:val="00DB730E"/>
    <w:rsid w:val="00DD6A88"/>
    <w:rsid w:val="00DE0E65"/>
    <w:rsid w:val="00DE102A"/>
    <w:rsid w:val="00DE20F4"/>
    <w:rsid w:val="00DE2F8D"/>
    <w:rsid w:val="00DE7410"/>
    <w:rsid w:val="00DF7C7B"/>
    <w:rsid w:val="00E02159"/>
    <w:rsid w:val="00E07C65"/>
    <w:rsid w:val="00E11C99"/>
    <w:rsid w:val="00E1544B"/>
    <w:rsid w:val="00E1767B"/>
    <w:rsid w:val="00E3139B"/>
    <w:rsid w:val="00E35FB5"/>
    <w:rsid w:val="00E41700"/>
    <w:rsid w:val="00E55DCD"/>
    <w:rsid w:val="00E60939"/>
    <w:rsid w:val="00E70B2D"/>
    <w:rsid w:val="00E94543"/>
    <w:rsid w:val="00E979D2"/>
    <w:rsid w:val="00EA6A39"/>
    <w:rsid w:val="00EB67F1"/>
    <w:rsid w:val="00EB6A60"/>
    <w:rsid w:val="00EB7756"/>
    <w:rsid w:val="00EC12B0"/>
    <w:rsid w:val="00ED4B48"/>
    <w:rsid w:val="00ED742D"/>
    <w:rsid w:val="00EE2A6B"/>
    <w:rsid w:val="00EE42D3"/>
    <w:rsid w:val="00EE4FCA"/>
    <w:rsid w:val="00EE6803"/>
    <w:rsid w:val="00EF5945"/>
    <w:rsid w:val="00F01FA6"/>
    <w:rsid w:val="00F038DB"/>
    <w:rsid w:val="00F0450D"/>
    <w:rsid w:val="00F04891"/>
    <w:rsid w:val="00F05B13"/>
    <w:rsid w:val="00F06D31"/>
    <w:rsid w:val="00F07452"/>
    <w:rsid w:val="00F12174"/>
    <w:rsid w:val="00F221F3"/>
    <w:rsid w:val="00F378B2"/>
    <w:rsid w:val="00F40E95"/>
    <w:rsid w:val="00F63A07"/>
    <w:rsid w:val="00FA30BD"/>
    <w:rsid w:val="00FA5E0C"/>
    <w:rsid w:val="00FA6663"/>
    <w:rsid w:val="00FB401A"/>
    <w:rsid w:val="00FC3CA2"/>
    <w:rsid w:val="00FC46D7"/>
    <w:rsid w:val="00FD0274"/>
    <w:rsid w:val="00FD1B56"/>
    <w:rsid w:val="00FE32BB"/>
    <w:rsid w:val="00FE6432"/>
    <w:rsid w:val="00FF0FBD"/>
    <w:rsid w:val="00FF3510"/>
    <w:rsid w:val="00FF4EAD"/>
    <w:rsid w:val="00FF5062"/>
    <w:rsid w:val="00FF5E2C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4D5C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C31"/>
  </w:style>
  <w:style w:type="paragraph" w:styleId="Heading1">
    <w:name w:val="heading 1"/>
    <w:basedOn w:val="Normal"/>
    <w:next w:val="Normal"/>
    <w:link w:val="Heading1Char"/>
    <w:uiPriority w:val="9"/>
    <w:qFormat/>
    <w:rsid w:val="00F045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5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C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5C3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35C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5C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35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665A6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65A6"/>
    <w:rPr>
      <w:rFonts w:ascii="Courier" w:hAnsi="Courier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144B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0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9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0450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C31"/>
  </w:style>
  <w:style w:type="paragraph" w:styleId="Heading1">
    <w:name w:val="heading 1"/>
    <w:basedOn w:val="Normal"/>
    <w:next w:val="Normal"/>
    <w:link w:val="Heading1Char"/>
    <w:uiPriority w:val="9"/>
    <w:qFormat/>
    <w:rsid w:val="00F045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5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C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5C3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35C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5C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35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665A6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65A6"/>
    <w:rPr>
      <w:rFonts w:ascii="Courier" w:hAnsi="Courier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144B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0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9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0450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community.icann.org/display/acctcrosscomm/WP2+--+Review+and+Redress" TargetMode="External"/><Relationship Id="rId12" Type="http://schemas.openxmlformats.org/officeDocument/2006/relationships/hyperlink" Target="https://community.icann.org/x/JwQdAw" TargetMode="External"/><Relationship Id="rId13" Type="http://schemas.openxmlformats.org/officeDocument/2006/relationships/hyperlink" Target="https://www.icann.org/news/announcement-2009-07-27-en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mm.icann.org/pipermail/accountability-cross-community/2015-January/date.html" TargetMode="External"/><Relationship Id="rId7" Type="http://schemas.openxmlformats.org/officeDocument/2006/relationships/hyperlink" Target="https://www.icann.org/resources/pages/governance/bylaws-en" TargetMode="External"/><Relationship Id="rId8" Type="http://schemas.openxmlformats.org/officeDocument/2006/relationships/hyperlink" Target="https://features.icann.org/2012-12-20-accountability-structures-expert-panel-recommendations" TargetMode="External"/><Relationship Id="rId9" Type="http://schemas.openxmlformats.org/officeDocument/2006/relationships/hyperlink" Target="http://mm.icann.org/pipermail/accountability-cross-community/2015-January/000999.html" TargetMode="External"/><Relationship Id="rId10" Type="http://schemas.openxmlformats.org/officeDocument/2006/relationships/hyperlink" Target="file://localhost/%E2%80%A2%09https/::community.icann.org:display:acctcrosscomm:WP1+--+Community+Empower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786</Words>
  <Characters>4482</Characters>
  <Application>Microsoft Macintosh Word</Application>
  <DocSecurity>0</DocSecurity>
  <Lines>37</Lines>
  <Paragraphs>10</Paragraphs>
  <ScaleCrop>false</ScaleCrop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Jansen</dc:creator>
  <cp:keywords/>
  <dc:description/>
  <cp:lastModifiedBy>Adam Peake</cp:lastModifiedBy>
  <cp:revision>10</cp:revision>
  <cp:lastPrinted>2015-02-12T09:37:00Z</cp:lastPrinted>
  <dcterms:created xsi:type="dcterms:W3CDTF">2015-02-11T09:37:00Z</dcterms:created>
  <dcterms:modified xsi:type="dcterms:W3CDTF">2015-02-12T12:54:00Z</dcterms:modified>
</cp:coreProperties>
</file>