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D0" w:rsidRDefault="00371ED0" w:rsidP="00371ED0">
      <w:pPr>
        <w:pStyle w:val="Spec1L1"/>
        <w:numPr>
          <w:ilvl w:val="0"/>
          <w:numId w:val="1"/>
        </w:numPr>
        <w:spacing w:after="0"/>
        <w:rPr>
          <w:rFonts w:asciiTheme="majorHAnsi" w:eastAsia="Times New Roman" w:hAnsiTheme="majorHAnsi"/>
          <w:sz w:val="24"/>
          <w:szCs w:val="24"/>
        </w:rPr>
      </w:pPr>
      <w:r>
        <w:rPr>
          <w:rFonts w:asciiTheme="majorHAnsi" w:eastAsia="Times New Roman" w:hAnsiTheme="majorHAnsi"/>
          <w:sz w:val="24"/>
          <w:szCs w:val="24"/>
        </w:rPr>
        <w:br/>
      </w:r>
    </w:p>
    <w:p w:rsidR="00371ED0" w:rsidRDefault="00371ED0" w:rsidP="00371ED0">
      <w:pPr>
        <w:pStyle w:val="BodyText"/>
        <w:jc w:val="center"/>
        <w:rPr>
          <w:b/>
          <w:szCs w:val="24"/>
        </w:rPr>
      </w:pPr>
      <w:bookmarkStart w:id="0" w:name="_DV_M179"/>
      <w:bookmarkEnd w:id="0"/>
      <w:r>
        <w:rPr>
          <w:rFonts w:asciiTheme="majorHAnsi" w:hAnsiTheme="majorHAnsi"/>
          <w:b/>
          <w:sz w:val="24"/>
          <w:szCs w:val="24"/>
        </w:rPr>
        <w:t>CONSENSUS POLICIES AND TEMPORARY POLICIES SPECIFICATION</w:t>
      </w:r>
    </w:p>
    <w:p w:rsidR="00371ED0" w:rsidRDefault="00371ED0" w:rsidP="00371ED0">
      <w:pPr>
        <w:pStyle w:val="Spec1L2"/>
        <w:numPr>
          <w:ilvl w:val="1"/>
          <w:numId w:val="1"/>
        </w:numPr>
        <w:rPr>
          <w:rFonts w:asciiTheme="majorHAnsi" w:hAnsiTheme="majorHAnsi"/>
          <w:sz w:val="24"/>
          <w:szCs w:val="24"/>
        </w:rPr>
      </w:pPr>
      <w:bookmarkStart w:id="1" w:name="_DV_M180"/>
      <w:bookmarkEnd w:id="1"/>
      <w:r>
        <w:rPr>
          <w:rFonts w:asciiTheme="majorHAnsi" w:hAnsiTheme="majorHAnsi"/>
          <w:b/>
          <w:sz w:val="24"/>
          <w:szCs w:val="24"/>
          <w:u w:val="single"/>
        </w:rPr>
        <w:t>Consensus Policies</w:t>
      </w:r>
      <w:r>
        <w:rPr>
          <w:rFonts w:asciiTheme="majorHAnsi" w:hAnsiTheme="majorHAnsi"/>
          <w:sz w:val="24"/>
          <w:szCs w:val="24"/>
        </w:rPr>
        <w:t>.</w:t>
      </w:r>
    </w:p>
    <w:p w:rsidR="00371ED0" w:rsidRDefault="00371ED0" w:rsidP="00371ED0">
      <w:pPr>
        <w:pStyle w:val="Spec1L3"/>
        <w:numPr>
          <w:ilvl w:val="2"/>
          <w:numId w:val="1"/>
        </w:numPr>
        <w:rPr>
          <w:rFonts w:asciiTheme="majorHAnsi" w:hAnsiTheme="majorHAnsi"/>
          <w:sz w:val="24"/>
          <w:szCs w:val="24"/>
        </w:rPr>
      </w:pPr>
      <w:bookmarkStart w:id="2" w:name="_DV_M181"/>
      <w:bookmarkEnd w:id="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rsidR="00371ED0" w:rsidRDefault="00371ED0" w:rsidP="00371ED0">
      <w:pPr>
        <w:pStyle w:val="Spec1L3"/>
        <w:numPr>
          <w:ilvl w:val="2"/>
          <w:numId w:val="1"/>
        </w:numPr>
        <w:rPr>
          <w:rFonts w:asciiTheme="majorHAnsi" w:hAnsiTheme="majorHAnsi"/>
          <w:sz w:val="24"/>
          <w:szCs w:val="24"/>
        </w:rPr>
      </w:pPr>
      <w:bookmarkStart w:id="3" w:name="_DV_M182"/>
      <w:bookmarkEnd w:id="3"/>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rsidR="00371ED0" w:rsidRDefault="00371ED0" w:rsidP="00371ED0">
      <w:pPr>
        <w:pStyle w:val="Spec1L4"/>
        <w:numPr>
          <w:ilvl w:val="3"/>
          <w:numId w:val="1"/>
        </w:numPr>
        <w:tabs>
          <w:tab w:val="clear" w:pos="1440"/>
        </w:tabs>
        <w:rPr>
          <w:rFonts w:asciiTheme="majorHAnsi" w:hAnsiTheme="majorHAnsi"/>
          <w:sz w:val="24"/>
          <w:szCs w:val="24"/>
        </w:rPr>
      </w:pPr>
      <w:bookmarkStart w:id="4" w:name="_DV_M183"/>
      <w:bookmarkEnd w:id="4"/>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rsidR="00371ED0" w:rsidRDefault="00371ED0" w:rsidP="00371ED0">
      <w:pPr>
        <w:pStyle w:val="Spec1L4"/>
        <w:numPr>
          <w:ilvl w:val="3"/>
          <w:numId w:val="1"/>
        </w:numPr>
        <w:tabs>
          <w:tab w:val="clear" w:pos="1440"/>
        </w:tabs>
        <w:rPr>
          <w:rFonts w:asciiTheme="majorHAnsi" w:hAnsiTheme="majorHAnsi"/>
          <w:sz w:val="24"/>
          <w:szCs w:val="24"/>
        </w:rPr>
      </w:pPr>
      <w:bookmarkStart w:id="5" w:name="_DV_M184"/>
      <w:bookmarkEnd w:id="5"/>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rsidR="00371ED0" w:rsidRDefault="00371ED0" w:rsidP="00371ED0">
      <w:pPr>
        <w:pStyle w:val="Spec1L4"/>
        <w:numPr>
          <w:ilvl w:val="3"/>
          <w:numId w:val="1"/>
        </w:numPr>
        <w:tabs>
          <w:tab w:val="clear" w:pos="1440"/>
        </w:tabs>
        <w:rPr>
          <w:rFonts w:asciiTheme="majorHAnsi" w:hAnsiTheme="majorHAnsi"/>
          <w:sz w:val="24"/>
          <w:szCs w:val="24"/>
        </w:rPr>
      </w:pPr>
      <w:bookmarkStart w:id="6" w:name="_DV_M185"/>
      <w:bookmarkEnd w:id="6"/>
      <w:r>
        <w:rPr>
          <w:rFonts w:asciiTheme="majorHAnsi" w:hAnsiTheme="majorHAnsi"/>
          <w:sz w:val="24"/>
          <w:szCs w:val="24"/>
        </w:rPr>
        <w:t>Security and Stability of the registry database for the TLD;</w:t>
      </w:r>
    </w:p>
    <w:p w:rsidR="00371ED0" w:rsidRDefault="00371ED0" w:rsidP="00371ED0">
      <w:pPr>
        <w:pStyle w:val="Spec1L4"/>
        <w:numPr>
          <w:ilvl w:val="3"/>
          <w:numId w:val="1"/>
        </w:numPr>
        <w:tabs>
          <w:tab w:val="clear" w:pos="1440"/>
        </w:tabs>
        <w:rPr>
          <w:rFonts w:asciiTheme="majorHAnsi" w:hAnsiTheme="majorHAnsi"/>
          <w:sz w:val="24"/>
          <w:szCs w:val="24"/>
        </w:rPr>
      </w:pPr>
      <w:bookmarkStart w:id="7" w:name="_DV_M186"/>
      <w:bookmarkEnd w:id="7"/>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rsidR="00371ED0" w:rsidRDefault="00371ED0" w:rsidP="00371ED0">
      <w:pPr>
        <w:pStyle w:val="Spec1L4"/>
        <w:numPr>
          <w:ilvl w:val="3"/>
          <w:numId w:val="1"/>
        </w:numPr>
        <w:tabs>
          <w:tab w:val="clear" w:pos="1440"/>
        </w:tabs>
        <w:rPr>
          <w:rFonts w:asciiTheme="majorHAnsi" w:hAnsiTheme="majorHAnsi"/>
          <w:sz w:val="24"/>
          <w:szCs w:val="24"/>
        </w:rPr>
      </w:pPr>
      <w:bookmarkStart w:id="8" w:name="_DV_M187"/>
      <w:bookmarkEnd w:id="8"/>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rsidR="00371ED0" w:rsidRDefault="00371ED0" w:rsidP="00371ED0">
      <w:pPr>
        <w:pStyle w:val="Spec1L4"/>
        <w:numPr>
          <w:ilvl w:val="3"/>
          <w:numId w:val="1"/>
        </w:numPr>
        <w:tabs>
          <w:tab w:val="clear" w:pos="1440"/>
        </w:tabs>
        <w:rPr>
          <w:rFonts w:asciiTheme="majorHAnsi" w:hAnsiTheme="majorHAnsi"/>
          <w:sz w:val="24"/>
          <w:szCs w:val="24"/>
        </w:rPr>
      </w:pPr>
      <w:bookmarkStart w:id="9" w:name="_DV_M188"/>
      <w:bookmarkEnd w:id="9"/>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rsidR="00371ED0" w:rsidRDefault="00371ED0" w:rsidP="00371ED0">
      <w:pPr>
        <w:pStyle w:val="Spec1L3"/>
        <w:numPr>
          <w:ilvl w:val="2"/>
          <w:numId w:val="1"/>
        </w:numPr>
        <w:rPr>
          <w:rFonts w:asciiTheme="majorHAnsi" w:hAnsiTheme="majorHAnsi"/>
          <w:sz w:val="24"/>
          <w:szCs w:val="24"/>
        </w:rPr>
      </w:pPr>
      <w:bookmarkStart w:id="10" w:name="_DV_M189"/>
      <w:bookmarkEnd w:id="10"/>
      <w:r>
        <w:rPr>
          <w:rFonts w:asciiTheme="majorHAnsi" w:hAnsiTheme="majorHAnsi"/>
          <w:sz w:val="24"/>
          <w:szCs w:val="24"/>
        </w:rPr>
        <w:t>Such categories of issues referred to in Section 1.2 of this Specification shall include, without limitation:</w:t>
      </w:r>
    </w:p>
    <w:p w:rsidR="00371ED0" w:rsidRDefault="00371ED0" w:rsidP="00371ED0">
      <w:pPr>
        <w:pStyle w:val="Spec1L4"/>
        <w:numPr>
          <w:ilvl w:val="3"/>
          <w:numId w:val="1"/>
        </w:numPr>
        <w:tabs>
          <w:tab w:val="clear" w:pos="1440"/>
        </w:tabs>
        <w:rPr>
          <w:rFonts w:asciiTheme="majorHAnsi" w:hAnsiTheme="majorHAnsi"/>
          <w:sz w:val="24"/>
          <w:szCs w:val="24"/>
        </w:rPr>
      </w:pPr>
      <w:bookmarkStart w:id="11" w:name="_DV_M190"/>
      <w:bookmarkEnd w:id="11"/>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rsidR="00371ED0" w:rsidRDefault="00371ED0" w:rsidP="00371ED0">
      <w:pPr>
        <w:pStyle w:val="Spec1L4"/>
        <w:numPr>
          <w:ilvl w:val="3"/>
          <w:numId w:val="1"/>
        </w:numPr>
        <w:tabs>
          <w:tab w:val="clear" w:pos="1440"/>
        </w:tabs>
        <w:rPr>
          <w:rFonts w:asciiTheme="majorHAnsi" w:hAnsiTheme="majorHAnsi"/>
          <w:sz w:val="24"/>
          <w:szCs w:val="24"/>
        </w:rPr>
      </w:pPr>
      <w:bookmarkStart w:id="12" w:name="_DV_M191"/>
      <w:bookmarkEnd w:id="12"/>
      <w:proofErr w:type="gramStart"/>
      <w:r>
        <w:rPr>
          <w:rFonts w:asciiTheme="majorHAnsi" w:hAnsiTheme="majorHAnsi"/>
          <w:sz w:val="24"/>
          <w:szCs w:val="24"/>
        </w:rPr>
        <w:lastRenderedPageBreak/>
        <w:t>prohibitions</w:t>
      </w:r>
      <w:proofErr w:type="gramEnd"/>
      <w:r>
        <w:rPr>
          <w:rFonts w:asciiTheme="majorHAnsi" w:hAnsiTheme="majorHAnsi"/>
          <w:sz w:val="24"/>
          <w:szCs w:val="24"/>
        </w:rPr>
        <w:t xml:space="preserve"> on warehousing of or speculation in domain names by registries or registrars;</w:t>
      </w:r>
    </w:p>
    <w:p w:rsidR="00371ED0" w:rsidRDefault="00371ED0" w:rsidP="00371ED0">
      <w:pPr>
        <w:pStyle w:val="Spec1L4"/>
        <w:numPr>
          <w:ilvl w:val="3"/>
          <w:numId w:val="1"/>
        </w:numPr>
        <w:tabs>
          <w:tab w:val="clear" w:pos="1440"/>
        </w:tabs>
        <w:rPr>
          <w:rFonts w:asciiTheme="majorHAnsi" w:hAnsiTheme="majorHAnsi"/>
          <w:sz w:val="24"/>
          <w:szCs w:val="24"/>
        </w:rPr>
      </w:pPr>
      <w:bookmarkStart w:id="13" w:name="_DV_M192"/>
      <w:bookmarkEnd w:id="13"/>
      <w:proofErr w:type="gramStart"/>
      <w:r>
        <w:rPr>
          <w:rFonts w:asciiTheme="majorHAnsi" w:hAnsiTheme="majorHAnsi"/>
          <w:sz w:val="24"/>
          <w:szCs w:val="24"/>
        </w:rPr>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rsidR="00371ED0" w:rsidRDefault="00371ED0" w:rsidP="00371ED0">
      <w:pPr>
        <w:pStyle w:val="Spec1L4"/>
        <w:numPr>
          <w:ilvl w:val="3"/>
          <w:numId w:val="1"/>
        </w:numPr>
        <w:tabs>
          <w:tab w:val="clear" w:pos="1440"/>
        </w:tabs>
        <w:rPr>
          <w:rFonts w:asciiTheme="majorHAnsi" w:hAnsiTheme="majorHAnsi"/>
          <w:sz w:val="24"/>
          <w:szCs w:val="24"/>
        </w:rPr>
      </w:pPr>
      <w:bookmarkStart w:id="14" w:name="_DV_M193"/>
      <w:bookmarkEnd w:id="14"/>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rsidR="00371ED0" w:rsidRDefault="00371ED0" w:rsidP="00371ED0">
      <w:pPr>
        <w:pStyle w:val="Spec1L3"/>
        <w:numPr>
          <w:ilvl w:val="2"/>
          <w:numId w:val="1"/>
        </w:numPr>
        <w:rPr>
          <w:rFonts w:asciiTheme="majorHAnsi" w:hAnsiTheme="majorHAnsi"/>
          <w:sz w:val="24"/>
          <w:szCs w:val="24"/>
        </w:rPr>
      </w:pPr>
      <w:bookmarkStart w:id="15" w:name="_DV_M194"/>
      <w:bookmarkEnd w:id="15"/>
      <w:r>
        <w:rPr>
          <w:rFonts w:asciiTheme="majorHAnsi" w:hAnsiTheme="majorHAnsi"/>
          <w:sz w:val="24"/>
          <w:szCs w:val="24"/>
        </w:rPr>
        <w:t>In addition to the other limitations on Consensus Policies, they shall not:</w:t>
      </w:r>
    </w:p>
    <w:p w:rsidR="00371ED0" w:rsidRDefault="00371ED0" w:rsidP="00371ED0">
      <w:pPr>
        <w:pStyle w:val="Spec1L4"/>
        <w:numPr>
          <w:ilvl w:val="3"/>
          <w:numId w:val="1"/>
        </w:numPr>
        <w:tabs>
          <w:tab w:val="clear" w:pos="1440"/>
        </w:tabs>
        <w:rPr>
          <w:rFonts w:asciiTheme="majorHAnsi" w:hAnsiTheme="majorHAnsi"/>
          <w:sz w:val="24"/>
          <w:szCs w:val="24"/>
        </w:rPr>
      </w:pPr>
      <w:bookmarkStart w:id="16" w:name="_DV_M195"/>
      <w:bookmarkEnd w:id="16"/>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rsidR="00371ED0" w:rsidRDefault="00371ED0" w:rsidP="00371ED0">
      <w:pPr>
        <w:pStyle w:val="Spec1L4"/>
        <w:numPr>
          <w:ilvl w:val="3"/>
          <w:numId w:val="1"/>
        </w:numPr>
        <w:tabs>
          <w:tab w:val="clear" w:pos="1440"/>
        </w:tabs>
        <w:rPr>
          <w:rFonts w:asciiTheme="majorHAnsi" w:hAnsiTheme="majorHAnsi"/>
          <w:sz w:val="24"/>
          <w:szCs w:val="24"/>
        </w:rPr>
      </w:pPr>
      <w:bookmarkStart w:id="17" w:name="_DV_M196"/>
      <w:bookmarkEnd w:id="17"/>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rsidR="00371ED0" w:rsidRDefault="00371ED0" w:rsidP="00371ED0">
      <w:pPr>
        <w:pStyle w:val="Spec1L4"/>
        <w:numPr>
          <w:ilvl w:val="3"/>
          <w:numId w:val="1"/>
        </w:numPr>
        <w:tabs>
          <w:tab w:val="clear" w:pos="1440"/>
        </w:tabs>
        <w:rPr>
          <w:rFonts w:asciiTheme="majorHAnsi" w:hAnsiTheme="majorHAnsi"/>
          <w:sz w:val="24"/>
          <w:szCs w:val="24"/>
        </w:rPr>
      </w:pPr>
      <w:bookmarkStart w:id="18" w:name="_DV_M197"/>
      <w:bookmarkEnd w:id="18"/>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rsidR="00371ED0" w:rsidRDefault="00371ED0" w:rsidP="00371ED0">
      <w:pPr>
        <w:pStyle w:val="Spec1L4"/>
        <w:numPr>
          <w:ilvl w:val="3"/>
          <w:numId w:val="1"/>
        </w:numPr>
        <w:tabs>
          <w:tab w:val="clear" w:pos="1440"/>
        </w:tabs>
        <w:rPr>
          <w:rFonts w:asciiTheme="majorHAnsi" w:hAnsiTheme="majorHAnsi"/>
          <w:sz w:val="24"/>
          <w:szCs w:val="24"/>
        </w:rPr>
      </w:pPr>
      <w:bookmarkStart w:id="19" w:name="_DV_M198"/>
      <w:bookmarkEnd w:id="19"/>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rsidR="00371ED0" w:rsidRDefault="00371ED0" w:rsidP="00371ED0">
      <w:pPr>
        <w:pStyle w:val="Spec1L4"/>
        <w:numPr>
          <w:ilvl w:val="3"/>
          <w:numId w:val="1"/>
        </w:numPr>
        <w:tabs>
          <w:tab w:val="clear" w:pos="1440"/>
        </w:tabs>
        <w:rPr>
          <w:rFonts w:asciiTheme="majorHAnsi" w:hAnsiTheme="majorHAnsi"/>
          <w:sz w:val="24"/>
          <w:szCs w:val="24"/>
        </w:rPr>
      </w:pPr>
      <w:bookmarkStart w:id="20" w:name="_DV_M199"/>
      <w:bookmarkEnd w:id="20"/>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rsidR="00371ED0" w:rsidRDefault="00371ED0" w:rsidP="00371ED0">
      <w:pPr>
        <w:pStyle w:val="Spec1L2"/>
        <w:numPr>
          <w:ilvl w:val="1"/>
          <w:numId w:val="1"/>
        </w:numPr>
        <w:rPr>
          <w:rFonts w:asciiTheme="majorHAnsi" w:hAnsiTheme="majorHAnsi"/>
          <w:sz w:val="24"/>
          <w:szCs w:val="24"/>
        </w:rPr>
      </w:pPr>
      <w:bookmarkStart w:id="21" w:name="_DV_M200"/>
      <w:bookmarkEnd w:id="2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rsidR="00371ED0" w:rsidRDefault="00371ED0" w:rsidP="00371ED0">
      <w:pPr>
        <w:pStyle w:val="Spec1L3"/>
        <w:numPr>
          <w:ilvl w:val="2"/>
          <w:numId w:val="1"/>
        </w:numPr>
        <w:rPr>
          <w:rFonts w:asciiTheme="majorHAnsi" w:hAnsiTheme="majorHAnsi"/>
          <w:sz w:val="24"/>
          <w:szCs w:val="24"/>
        </w:rPr>
      </w:pPr>
      <w:bookmarkStart w:id="22" w:name="_DV_M201"/>
      <w:bookmarkEnd w:id="2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rsidR="00371ED0" w:rsidRDefault="00371ED0" w:rsidP="00371ED0">
      <w:pPr>
        <w:pStyle w:val="Spec1L4"/>
        <w:numPr>
          <w:ilvl w:val="3"/>
          <w:numId w:val="1"/>
        </w:numPr>
        <w:tabs>
          <w:tab w:val="clear" w:pos="1440"/>
        </w:tabs>
        <w:rPr>
          <w:rFonts w:asciiTheme="majorHAnsi" w:hAnsiTheme="majorHAnsi"/>
          <w:sz w:val="24"/>
          <w:szCs w:val="24"/>
        </w:rPr>
      </w:pPr>
      <w:bookmarkStart w:id="23" w:name="_DV_M202"/>
      <w:bookmarkEnd w:id="2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rsidR="00371ED0" w:rsidRDefault="00371ED0" w:rsidP="00371ED0">
      <w:pPr>
        <w:pStyle w:val="Spec1L4"/>
        <w:numPr>
          <w:ilvl w:val="3"/>
          <w:numId w:val="1"/>
        </w:numPr>
        <w:tabs>
          <w:tab w:val="clear" w:pos="1440"/>
        </w:tabs>
        <w:rPr>
          <w:rFonts w:asciiTheme="majorHAnsi" w:hAnsiTheme="majorHAnsi"/>
          <w:sz w:val="24"/>
          <w:szCs w:val="24"/>
        </w:rPr>
      </w:pPr>
      <w:bookmarkStart w:id="24" w:name="_DV_M203"/>
      <w:bookmarkEnd w:id="24"/>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rsidR="00371ED0" w:rsidRDefault="00371ED0" w:rsidP="00371ED0">
      <w:pPr>
        <w:pStyle w:val="Spec1L2"/>
        <w:numPr>
          <w:ilvl w:val="1"/>
          <w:numId w:val="1"/>
        </w:numPr>
        <w:rPr>
          <w:rFonts w:asciiTheme="majorHAnsi" w:hAnsiTheme="majorHAnsi"/>
          <w:sz w:val="24"/>
          <w:szCs w:val="24"/>
        </w:rPr>
      </w:pPr>
      <w:bookmarkStart w:id="25" w:name="_DV_M204"/>
      <w:bookmarkEnd w:id="2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rsidR="00F73570" w:rsidRDefault="00F73570">
      <w:bookmarkStart w:id="26" w:name="_GoBack"/>
      <w:bookmarkEnd w:id="26"/>
    </w:p>
    <w:sectPr w:rsidR="00F73570" w:rsidSect="004D3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D0"/>
    <w:rsid w:val="00371ED0"/>
    <w:rsid w:val="004D3A24"/>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93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71ED0"/>
    <w:pPr>
      <w:autoSpaceDE w:val="0"/>
      <w:autoSpaceDN w:val="0"/>
      <w:adjustRightInd w:val="0"/>
      <w:spacing w:after="240"/>
      <w:ind w:firstLine="720"/>
    </w:pPr>
    <w:rPr>
      <w:rFonts w:ascii="Times New Roman" w:eastAsia="SimSun" w:hAnsi="Times New Roman" w:cs="Times New Roman"/>
      <w:sz w:val="22"/>
      <w:szCs w:val="20"/>
    </w:rPr>
  </w:style>
  <w:style w:type="character" w:customStyle="1" w:styleId="BodyTextChar">
    <w:name w:val="Body Text Char"/>
    <w:basedOn w:val="DefaultParagraphFont"/>
    <w:link w:val="BodyText"/>
    <w:uiPriority w:val="99"/>
    <w:rsid w:val="00371ED0"/>
    <w:rPr>
      <w:rFonts w:ascii="Times New Roman" w:eastAsia="SimSun" w:hAnsi="Times New Roman" w:cs="Times New Roman"/>
      <w:sz w:val="22"/>
      <w:szCs w:val="20"/>
    </w:rPr>
  </w:style>
  <w:style w:type="paragraph" w:customStyle="1" w:styleId="Spec1L1">
    <w:name w:val="Spec1_L1"/>
    <w:basedOn w:val="Normal"/>
    <w:next w:val="BodyText"/>
    <w:rsid w:val="00371ED0"/>
    <w:pPr>
      <w:keepNext/>
      <w:pageBreakBefore/>
      <w:numPr>
        <w:numId w:val="22"/>
      </w:numPr>
      <w:autoSpaceDE w:val="0"/>
      <w:autoSpaceDN w:val="0"/>
      <w:adjustRightInd w:val="0"/>
      <w:spacing w:after="240"/>
      <w:jc w:val="center"/>
      <w:outlineLvl w:val="0"/>
    </w:pPr>
    <w:rPr>
      <w:rFonts w:ascii="Times New Roman" w:eastAsia="SimSun" w:hAnsi="Times New Roman" w:cs="Times New Roman"/>
      <w:b/>
      <w:caps/>
      <w:sz w:val="22"/>
      <w:szCs w:val="20"/>
    </w:rPr>
  </w:style>
  <w:style w:type="paragraph" w:customStyle="1" w:styleId="Spec1L2">
    <w:name w:val="Spec1_L2"/>
    <w:basedOn w:val="Spec1L1"/>
    <w:next w:val="BodyText"/>
    <w:rsid w:val="00371ED0"/>
    <w:pPr>
      <w:keepNext w:val="0"/>
      <w:pageBreakBefore w:val="0"/>
      <w:numPr>
        <w:ilvl w:val="1"/>
      </w:numPr>
      <w:jc w:val="left"/>
      <w:outlineLvl w:val="1"/>
    </w:pPr>
    <w:rPr>
      <w:b w:val="0"/>
      <w:caps w:val="0"/>
    </w:rPr>
  </w:style>
  <w:style w:type="paragraph" w:customStyle="1" w:styleId="Spec1L3">
    <w:name w:val="Spec1_L3"/>
    <w:basedOn w:val="Spec1L2"/>
    <w:next w:val="BodyText"/>
    <w:uiPriority w:val="99"/>
    <w:rsid w:val="00371ED0"/>
    <w:pPr>
      <w:numPr>
        <w:ilvl w:val="2"/>
      </w:numPr>
      <w:outlineLvl w:val="2"/>
    </w:pPr>
  </w:style>
  <w:style w:type="paragraph" w:customStyle="1" w:styleId="Spec1L4">
    <w:name w:val="Spec1_L4"/>
    <w:basedOn w:val="Spec1L3"/>
    <w:next w:val="BodyText"/>
    <w:rsid w:val="00371ED0"/>
    <w:pPr>
      <w:numPr>
        <w:ilvl w:val="3"/>
      </w:numPr>
      <w:tabs>
        <w:tab w:val="num" w:pos="1440"/>
      </w:tabs>
      <w:outlineLvl w:val="3"/>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71ED0"/>
    <w:pPr>
      <w:autoSpaceDE w:val="0"/>
      <w:autoSpaceDN w:val="0"/>
      <w:adjustRightInd w:val="0"/>
      <w:spacing w:after="240"/>
      <w:ind w:firstLine="720"/>
    </w:pPr>
    <w:rPr>
      <w:rFonts w:ascii="Times New Roman" w:eastAsia="SimSun" w:hAnsi="Times New Roman" w:cs="Times New Roman"/>
      <w:sz w:val="22"/>
      <w:szCs w:val="20"/>
    </w:rPr>
  </w:style>
  <w:style w:type="character" w:customStyle="1" w:styleId="BodyTextChar">
    <w:name w:val="Body Text Char"/>
    <w:basedOn w:val="DefaultParagraphFont"/>
    <w:link w:val="BodyText"/>
    <w:uiPriority w:val="99"/>
    <w:rsid w:val="00371ED0"/>
    <w:rPr>
      <w:rFonts w:ascii="Times New Roman" w:eastAsia="SimSun" w:hAnsi="Times New Roman" w:cs="Times New Roman"/>
      <w:sz w:val="22"/>
      <w:szCs w:val="20"/>
    </w:rPr>
  </w:style>
  <w:style w:type="paragraph" w:customStyle="1" w:styleId="Spec1L1">
    <w:name w:val="Spec1_L1"/>
    <w:basedOn w:val="Normal"/>
    <w:next w:val="BodyText"/>
    <w:rsid w:val="00371ED0"/>
    <w:pPr>
      <w:keepNext/>
      <w:pageBreakBefore/>
      <w:numPr>
        <w:numId w:val="22"/>
      </w:numPr>
      <w:autoSpaceDE w:val="0"/>
      <w:autoSpaceDN w:val="0"/>
      <w:adjustRightInd w:val="0"/>
      <w:spacing w:after="240"/>
      <w:jc w:val="center"/>
      <w:outlineLvl w:val="0"/>
    </w:pPr>
    <w:rPr>
      <w:rFonts w:ascii="Times New Roman" w:eastAsia="SimSun" w:hAnsi="Times New Roman" w:cs="Times New Roman"/>
      <w:b/>
      <w:caps/>
      <w:sz w:val="22"/>
      <w:szCs w:val="20"/>
    </w:rPr>
  </w:style>
  <w:style w:type="paragraph" w:customStyle="1" w:styleId="Spec1L2">
    <w:name w:val="Spec1_L2"/>
    <w:basedOn w:val="Spec1L1"/>
    <w:next w:val="BodyText"/>
    <w:rsid w:val="00371ED0"/>
    <w:pPr>
      <w:keepNext w:val="0"/>
      <w:pageBreakBefore w:val="0"/>
      <w:numPr>
        <w:ilvl w:val="1"/>
      </w:numPr>
      <w:jc w:val="left"/>
      <w:outlineLvl w:val="1"/>
    </w:pPr>
    <w:rPr>
      <w:b w:val="0"/>
      <w:caps w:val="0"/>
    </w:rPr>
  </w:style>
  <w:style w:type="paragraph" w:customStyle="1" w:styleId="Spec1L3">
    <w:name w:val="Spec1_L3"/>
    <w:basedOn w:val="Spec1L2"/>
    <w:next w:val="BodyText"/>
    <w:uiPriority w:val="99"/>
    <w:rsid w:val="00371ED0"/>
    <w:pPr>
      <w:numPr>
        <w:ilvl w:val="2"/>
      </w:numPr>
      <w:outlineLvl w:val="2"/>
    </w:pPr>
  </w:style>
  <w:style w:type="paragraph" w:customStyle="1" w:styleId="Spec1L4">
    <w:name w:val="Spec1_L4"/>
    <w:basedOn w:val="Spec1L3"/>
    <w:next w:val="BodyText"/>
    <w:rsid w:val="00371ED0"/>
    <w:pPr>
      <w:numPr>
        <w:ilvl w:val="3"/>
      </w:numPr>
      <w:tabs>
        <w:tab w:val="num" w:pos="1440"/>
      </w:tabs>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4539</Characters>
  <Application>Microsoft Macintosh Word</Application>
  <DocSecurity>0</DocSecurity>
  <Lines>37</Lines>
  <Paragraphs>10</Paragraphs>
  <ScaleCrop>false</ScaleCrop>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1</cp:revision>
  <dcterms:created xsi:type="dcterms:W3CDTF">2015-03-23T06:49:00Z</dcterms:created>
  <dcterms:modified xsi:type="dcterms:W3CDTF">2015-03-23T06:50:00Z</dcterms:modified>
</cp:coreProperties>
</file>