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90" w:rsidRDefault="00A11211">
      <w:pPr>
        <w:pStyle w:val="MemoHeading"/>
        <w:adjustRightInd/>
        <w:rPr>
          <w:rFonts w:asciiTheme="minorHAnsi" w:hAnsiTheme="minorHAnsi" w:cstheme="minorHAnsi"/>
          <w:bCs w:val="0"/>
        </w:rPr>
      </w:pPr>
      <w:r>
        <w:rPr>
          <w:rFonts w:asciiTheme="minorHAnsi" w:hAnsiTheme="minorHAnsi" w:cstheme="minorHAnsi"/>
          <w:bCs w:val="0"/>
        </w:rPr>
        <w:t>MEMORANDUM</w:t>
      </w:r>
    </w:p>
    <w:tbl>
      <w:tblPr>
        <w:tblW w:w="0" w:type="auto"/>
        <w:tblInd w:w="133" w:type="dxa"/>
        <w:tblBorders>
          <w:bottom w:val="double" w:sz="4" w:space="0" w:color="auto"/>
        </w:tblBorders>
        <w:tblLayout w:type="fixed"/>
        <w:tblCellMar>
          <w:left w:w="115" w:type="dxa"/>
          <w:bottom w:w="216" w:type="dxa"/>
          <w:right w:w="115" w:type="dxa"/>
        </w:tblCellMar>
        <w:tblLook w:val="0000" w:firstRow="0" w:lastRow="0" w:firstColumn="0" w:lastColumn="0" w:noHBand="0" w:noVBand="0"/>
      </w:tblPr>
      <w:tblGrid>
        <w:gridCol w:w="1530"/>
        <w:gridCol w:w="7920"/>
      </w:tblGrid>
      <w:tr w:rsidR="000E2F90">
        <w:trPr>
          <w:cantSplit/>
        </w:trPr>
        <w:tc>
          <w:tcPr>
            <w:tcW w:w="1530" w:type="dxa"/>
            <w:tcBorders>
              <w:bottom w:val="nil"/>
            </w:tcBorders>
            <w:tcMar>
              <w:left w:w="115" w:type="dxa"/>
              <w:bottom w:w="216" w:type="dxa"/>
              <w:right w:w="115" w:type="dxa"/>
            </w:tcMar>
          </w:tcPr>
          <w:p w:rsidR="000E2F90" w:rsidRDefault="00A11211">
            <w:pPr>
              <w:pStyle w:val="MemoTableLabel"/>
              <w:adjustRightInd/>
              <w:rPr>
                <w:rFonts w:asciiTheme="minorHAnsi" w:hAnsiTheme="minorHAnsi" w:cstheme="minorHAnsi"/>
              </w:rPr>
            </w:pPr>
            <w:bookmarkStart w:id="0" w:name="DeliveryMethods"/>
            <w:bookmarkStart w:id="1" w:name="LOCTo"/>
            <w:bookmarkEnd w:id="0"/>
            <w:r>
              <w:rPr>
                <w:rFonts w:asciiTheme="minorHAnsi" w:hAnsiTheme="minorHAnsi" w:cstheme="minorHAnsi"/>
              </w:rPr>
              <w:t>To:</w:t>
            </w:r>
            <w:bookmarkEnd w:id="1"/>
          </w:p>
        </w:tc>
        <w:tc>
          <w:tcPr>
            <w:tcW w:w="7920" w:type="dxa"/>
            <w:tcBorders>
              <w:bottom w:val="nil"/>
            </w:tcBorders>
            <w:tcMar>
              <w:left w:w="115" w:type="dxa"/>
              <w:bottom w:w="216" w:type="dxa"/>
              <w:right w:w="115" w:type="dxa"/>
            </w:tcMar>
          </w:tcPr>
          <w:p w:rsidR="000E2F90" w:rsidRDefault="00A11211">
            <w:pPr>
              <w:pStyle w:val="MemoTableData"/>
              <w:adjustRightInd/>
              <w:rPr>
                <w:rFonts w:asciiTheme="minorHAnsi" w:hAnsiTheme="minorHAnsi" w:cstheme="minorHAnsi"/>
              </w:rPr>
            </w:pPr>
            <w:r>
              <w:rPr>
                <w:rFonts w:asciiTheme="minorHAnsi" w:hAnsiTheme="minorHAnsi" w:cstheme="minorHAnsi"/>
              </w:rPr>
              <w:t>Cross-Community Working Group</w:t>
            </w:r>
            <w:bookmarkStart w:id="2" w:name="_cp_text_1_1"/>
            <w:r>
              <w:rPr>
                <w:rFonts w:asciiTheme="minorHAnsi" w:hAnsiTheme="minorHAnsi" w:cstheme="minorHAnsi"/>
              </w:rPr>
              <w:t xml:space="preserve"> </w:t>
            </w:r>
            <w:bookmarkEnd w:id="2"/>
            <w:r>
              <w:rPr>
                <w:rFonts w:asciiTheme="minorHAnsi" w:hAnsiTheme="minorHAnsi" w:cstheme="minorHAnsi"/>
              </w:rPr>
              <w:t>on Enhancing ICANN Accountability</w:t>
            </w:r>
          </w:p>
        </w:tc>
      </w:tr>
      <w:tr w:rsidR="000E2F90">
        <w:trPr>
          <w:cantSplit/>
        </w:trPr>
        <w:tc>
          <w:tcPr>
            <w:tcW w:w="1530" w:type="dxa"/>
            <w:tcBorders>
              <w:top w:val="nil"/>
              <w:bottom w:val="nil"/>
            </w:tcBorders>
            <w:tcMar>
              <w:left w:w="115" w:type="dxa"/>
              <w:bottom w:w="216" w:type="dxa"/>
              <w:right w:w="115" w:type="dxa"/>
            </w:tcMar>
          </w:tcPr>
          <w:p w:rsidR="000E2F90" w:rsidRDefault="00A11211">
            <w:pPr>
              <w:pStyle w:val="MemoTableLabel"/>
              <w:adjustRightInd/>
              <w:rPr>
                <w:rFonts w:asciiTheme="minorHAnsi" w:hAnsiTheme="minorHAnsi" w:cstheme="minorHAnsi"/>
              </w:rPr>
            </w:pPr>
            <w:bookmarkStart w:id="3" w:name="LOCFrom"/>
            <w:r>
              <w:rPr>
                <w:rFonts w:asciiTheme="minorHAnsi" w:hAnsiTheme="minorHAnsi" w:cstheme="minorHAnsi"/>
              </w:rPr>
              <w:t>From:</w:t>
            </w:r>
            <w:bookmarkEnd w:id="3"/>
          </w:p>
        </w:tc>
        <w:tc>
          <w:tcPr>
            <w:tcW w:w="7920" w:type="dxa"/>
            <w:tcBorders>
              <w:top w:val="nil"/>
              <w:bottom w:val="nil"/>
            </w:tcBorders>
            <w:tcMar>
              <w:left w:w="115" w:type="dxa"/>
              <w:bottom w:w="216" w:type="dxa"/>
              <w:right w:w="115" w:type="dxa"/>
            </w:tcMar>
          </w:tcPr>
          <w:p w:rsidR="000E2F90" w:rsidRDefault="00A11211">
            <w:pPr>
              <w:pStyle w:val="MemoTableData"/>
              <w:adjustRightInd/>
              <w:rPr>
                <w:rFonts w:asciiTheme="minorHAnsi" w:hAnsiTheme="minorHAnsi" w:cstheme="minorHAnsi"/>
              </w:rPr>
            </w:pPr>
            <w:r>
              <w:rPr>
                <w:rFonts w:asciiTheme="minorHAnsi" w:hAnsiTheme="minorHAnsi" w:cstheme="minorHAnsi"/>
              </w:rPr>
              <w:t>Sidley Austin LLP and Adler &amp; Colvin</w:t>
            </w:r>
          </w:p>
        </w:tc>
      </w:tr>
      <w:tr w:rsidR="000E2F90">
        <w:trPr>
          <w:cantSplit/>
        </w:trPr>
        <w:tc>
          <w:tcPr>
            <w:tcW w:w="1530" w:type="dxa"/>
            <w:tcBorders>
              <w:top w:val="nil"/>
              <w:bottom w:val="nil"/>
            </w:tcBorders>
            <w:tcMar>
              <w:left w:w="115" w:type="dxa"/>
              <w:bottom w:w="216" w:type="dxa"/>
              <w:right w:w="115" w:type="dxa"/>
            </w:tcMar>
          </w:tcPr>
          <w:p w:rsidR="000E2F90" w:rsidRDefault="00A11211">
            <w:pPr>
              <w:pStyle w:val="MemoTableLabel"/>
              <w:adjustRightInd/>
              <w:rPr>
                <w:rFonts w:asciiTheme="minorHAnsi" w:hAnsiTheme="minorHAnsi" w:cstheme="minorHAnsi"/>
              </w:rPr>
            </w:pPr>
            <w:bookmarkStart w:id="4" w:name="LOCRe"/>
            <w:r>
              <w:rPr>
                <w:rFonts w:asciiTheme="minorHAnsi" w:hAnsiTheme="minorHAnsi" w:cstheme="minorHAnsi"/>
              </w:rPr>
              <w:t>Re:</w:t>
            </w:r>
            <w:bookmarkEnd w:id="4"/>
          </w:p>
        </w:tc>
        <w:tc>
          <w:tcPr>
            <w:tcW w:w="7920" w:type="dxa"/>
            <w:tcBorders>
              <w:top w:val="nil"/>
              <w:bottom w:val="nil"/>
            </w:tcBorders>
            <w:tcMar>
              <w:left w:w="115" w:type="dxa"/>
              <w:bottom w:w="216" w:type="dxa"/>
              <w:right w:w="115" w:type="dxa"/>
            </w:tcMar>
          </w:tcPr>
          <w:p w:rsidR="000E2F90" w:rsidRDefault="00A11211">
            <w:pPr>
              <w:pStyle w:val="ReLine"/>
              <w:adjustRightInd/>
              <w:rPr>
                <w:rFonts w:asciiTheme="minorHAnsi" w:hAnsiTheme="minorHAnsi" w:cstheme="minorHAnsi"/>
              </w:rPr>
            </w:pPr>
            <w:r>
              <w:rPr>
                <w:rFonts w:asciiTheme="minorHAnsi" w:hAnsiTheme="minorHAnsi" w:cstheme="minorHAnsi"/>
              </w:rPr>
              <w:t>Comparison of Board Proposal to CCWG 2</w:t>
            </w:r>
            <w:r>
              <w:rPr>
                <w:rFonts w:asciiTheme="minorHAnsi" w:hAnsiTheme="minorHAnsi" w:cstheme="minorHAnsi"/>
                <w:vertAlign w:val="superscript"/>
              </w:rPr>
              <w:t>nd</w:t>
            </w:r>
            <w:r>
              <w:rPr>
                <w:rFonts w:asciiTheme="minorHAnsi" w:hAnsiTheme="minorHAnsi" w:cstheme="minorHAnsi"/>
              </w:rPr>
              <w:t xml:space="preserve"> Draft Proposal </w:t>
            </w:r>
          </w:p>
        </w:tc>
      </w:tr>
      <w:tr w:rsidR="000E2F90">
        <w:trPr>
          <w:cantSplit/>
        </w:trPr>
        <w:tc>
          <w:tcPr>
            <w:tcW w:w="1530" w:type="dxa"/>
            <w:tcBorders>
              <w:top w:val="nil"/>
              <w:bottom w:val="single" w:sz="4" w:space="0" w:color="auto"/>
            </w:tcBorders>
            <w:tcMar>
              <w:left w:w="115" w:type="dxa"/>
              <w:bottom w:w="216" w:type="dxa"/>
              <w:right w:w="115" w:type="dxa"/>
            </w:tcMar>
          </w:tcPr>
          <w:p w:rsidR="000E2F90" w:rsidRDefault="00A11211">
            <w:pPr>
              <w:pStyle w:val="MemoTableLabel"/>
              <w:adjustRightInd/>
              <w:rPr>
                <w:rFonts w:asciiTheme="minorHAnsi" w:hAnsiTheme="minorHAnsi" w:cstheme="minorHAnsi"/>
              </w:rPr>
            </w:pPr>
            <w:bookmarkStart w:id="5" w:name="LOCDate"/>
            <w:r>
              <w:rPr>
                <w:rFonts w:asciiTheme="minorHAnsi" w:hAnsiTheme="minorHAnsi" w:cstheme="minorHAnsi"/>
              </w:rPr>
              <w:t>Date:</w:t>
            </w:r>
            <w:bookmarkEnd w:id="5"/>
          </w:p>
        </w:tc>
        <w:tc>
          <w:tcPr>
            <w:tcW w:w="7920" w:type="dxa"/>
            <w:tcBorders>
              <w:top w:val="nil"/>
              <w:bottom w:val="single" w:sz="4" w:space="0" w:color="auto"/>
            </w:tcBorders>
            <w:tcMar>
              <w:left w:w="115" w:type="dxa"/>
              <w:bottom w:w="216" w:type="dxa"/>
              <w:right w:w="115" w:type="dxa"/>
            </w:tcMar>
          </w:tcPr>
          <w:p w:rsidR="000E2F90" w:rsidRDefault="00A11211">
            <w:pPr>
              <w:pStyle w:val="Date"/>
              <w:widowControl w:val="0"/>
              <w:adjustRightInd/>
              <w:rPr>
                <w:rFonts w:asciiTheme="minorHAnsi" w:hAnsiTheme="minorHAnsi" w:cstheme="minorHAnsi"/>
              </w:rPr>
            </w:pPr>
            <w:r>
              <w:rPr>
                <w:rFonts w:asciiTheme="minorHAnsi" w:hAnsiTheme="minorHAnsi" w:cstheme="minorHAnsi"/>
              </w:rPr>
              <w:t>September 22, 2015 (corrected version: September 26</w:t>
            </w:r>
            <w:bookmarkStart w:id="6" w:name="_GoBack"/>
            <w:bookmarkEnd w:id="6"/>
            <w:r>
              <w:rPr>
                <w:rFonts w:asciiTheme="minorHAnsi" w:hAnsiTheme="minorHAnsi" w:cstheme="minorHAnsi"/>
              </w:rPr>
              <w:t>, 2015)</w:t>
            </w:r>
          </w:p>
        </w:tc>
      </w:tr>
    </w:tbl>
    <w:p w:rsidR="000E2F90" w:rsidRDefault="000E2F90">
      <w:pPr>
        <w:pStyle w:val="TitleLeft"/>
        <w:widowControl w:val="0"/>
        <w:adjustRightInd/>
        <w:spacing w:after="0"/>
        <w:rPr>
          <w:rFonts w:asciiTheme="minorHAnsi" w:hAnsiTheme="minorHAnsi" w:cstheme="minorHAnsi"/>
          <w:bCs w:val="0"/>
        </w:rPr>
      </w:pPr>
    </w:p>
    <w:p w:rsidR="000E2F90" w:rsidRDefault="00A11211">
      <w:pPr>
        <w:widowControl w:val="0"/>
        <w:adjustRightInd/>
        <w:rPr>
          <w:rFonts w:asciiTheme="minorHAnsi" w:hAnsiTheme="minorHAnsi" w:cstheme="minorHAnsi"/>
        </w:rPr>
      </w:pPr>
      <w:r>
        <w:rPr>
          <w:rFonts w:asciiTheme="minorHAnsi" w:hAnsiTheme="minorHAnsi" w:cstheme="minorHAnsi"/>
        </w:rPr>
        <w:t xml:space="preserve">You requested that we analyze from a legal perspective how the ICANN Board Comments on CCWG Accountability Draft Proposal dated September 11, 2015 (Board Proposal) compares to key aspects </w:t>
      </w:r>
      <w:r>
        <w:rPr>
          <w:rFonts w:asciiTheme="minorHAnsi" w:hAnsiTheme="minorHAnsi" w:cstheme="minorHAnsi"/>
        </w:rPr>
        <w:t>of the CCWG Second Draft Proposal (CCWG Proposal).  This memorandum provides an overview of our observations.  We also provide two attachments that provide additional detail:</w:t>
      </w:r>
    </w:p>
    <w:p w:rsidR="000E2F90" w:rsidRDefault="00A11211">
      <w:pPr>
        <w:pStyle w:val="ListParagraph"/>
        <w:rPr>
          <w:rFonts w:asciiTheme="minorHAnsi" w:hAnsiTheme="minorHAnsi" w:cstheme="minorHAnsi"/>
        </w:rPr>
      </w:pPr>
      <w:r>
        <w:rPr>
          <w:rFonts w:asciiTheme="minorHAnsi" w:hAnsiTheme="minorHAnsi" w:cstheme="minorHAnsi"/>
        </w:rPr>
        <w:t>Comparison of CCWG 2</w:t>
      </w:r>
      <w:r>
        <w:rPr>
          <w:rFonts w:asciiTheme="minorHAnsi" w:hAnsiTheme="minorHAnsi" w:cstheme="minorHAnsi"/>
          <w:vertAlign w:val="superscript"/>
        </w:rPr>
        <w:t>nd</w:t>
      </w:r>
      <w:r>
        <w:rPr>
          <w:rFonts w:asciiTheme="minorHAnsi" w:hAnsiTheme="minorHAnsi" w:cstheme="minorHAnsi"/>
        </w:rPr>
        <w:t xml:space="preserve"> Draft Proposal (Community Mechanism as Sole Member Model) </w:t>
      </w:r>
      <w:r>
        <w:rPr>
          <w:rFonts w:asciiTheme="minorHAnsi" w:hAnsiTheme="minorHAnsi" w:cstheme="minorHAnsi"/>
        </w:rPr>
        <w:t>and ICANN Board Proposal (MEM) (Comparison)</w:t>
      </w:r>
    </w:p>
    <w:p w:rsidR="000E2F90" w:rsidRDefault="00A11211">
      <w:pPr>
        <w:pStyle w:val="ListParagraph"/>
        <w:rPr>
          <w:rFonts w:asciiTheme="minorHAnsi" w:hAnsiTheme="minorHAnsi" w:cstheme="minorHAnsi"/>
        </w:rPr>
      </w:pPr>
      <w:r>
        <w:rPr>
          <w:rFonts w:asciiTheme="minorHAnsi" w:hAnsiTheme="minorHAnsi" w:cstheme="minorHAnsi"/>
        </w:rPr>
        <w:t xml:space="preserve">Summary Comparison of Key Characteristics of CMSM Model and Board Proposal (Summary Comparison) </w:t>
      </w:r>
    </w:p>
    <w:p w:rsidR="000E2F90" w:rsidRDefault="00A11211">
      <w:pPr>
        <w:widowControl w:val="0"/>
        <w:adjustRightInd/>
        <w:rPr>
          <w:rFonts w:asciiTheme="minorHAnsi" w:hAnsiTheme="minorHAnsi" w:cstheme="minorHAnsi"/>
        </w:rPr>
      </w:pPr>
      <w:r>
        <w:rPr>
          <w:rFonts w:asciiTheme="minorHAnsi" w:hAnsiTheme="minorHAnsi" w:cstheme="minorHAnsi"/>
        </w:rPr>
        <w:t>Please note that our observations are based on the Board Proposal as well as on two discussions that we have had wi</w:t>
      </w:r>
      <w:r>
        <w:rPr>
          <w:rFonts w:asciiTheme="minorHAnsi" w:hAnsiTheme="minorHAnsi" w:cstheme="minorHAnsi"/>
        </w:rPr>
        <w:t>th Jones Day and ICANN Legal.  We also provided a draft of the Comparison to Jones Day and ICANN Legal to provide an opportunity for their review to identify any areas where we may have misunderstood the Board Proposal in any material respect.</w:t>
      </w:r>
    </w:p>
    <w:p w:rsidR="000E2F90" w:rsidRDefault="00A11211">
      <w:pPr>
        <w:widowControl w:val="0"/>
        <w:adjustRightInd/>
        <w:rPr>
          <w:rFonts w:asciiTheme="minorHAnsi" w:hAnsiTheme="minorHAnsi" w:cstheme="minorHAnsi"/>
          <w:b/>
        </w:rPr>
      </w:pPr>
      <w:r>
        <w:rPr>
          <w:rFonts w:asciiTheme="minorHAnsi" w:hAnsiTheme="minorHAnsi" w:cstheme="minorHAnsi"/>
          <w:b/>
        </w:rPr>
        <w:t>Executive Su</w:t>
      </w:r>
      <w:r>
        <w:rPr>
          <w:rFonts w:asciiTheme="minorHAnsi" w:hAnsiTheme="minorHAnsi" w:cstheme="minorHAnsi"/>
          <w:b/>
        </w:rPr>
        <w:t>mmary:  Overview of Key Differences</w:t>
      </w:r>
    </w:p>
    <w:p w:rsidR="000E2F90" w:rsidRDefault="00A11211">
      <w:pPr>
        <w:rPr>
          <w:rFonts w:asciiTheme="minorHAnsi" w:hAnsiTheme="minorHAnsi" w:cstheme="minorHAnsi"/>
        </w:rPr>
      </w:pPr>
      <w:r>
        <w:rPr>
          <w:rFonts w:asciiTheme="minorHAnsi" w:hAnsiTheme="minorHAnsi" w:cstheme="minorHAnsi"/>
        </w:rPr>
        <w:t>The Board Proposal states that the Board would prefer to avoid the degree of change in corporate governance required to convert ICANN to a membership corporation, while stating that it supports the community powers in th</w:t>
      </w:r>
      <w:r>
        <w:rPr>
          <w:rFonts w:asciiTheme="minorHAnsi" w:hAnsiTheme="minorHAnsi" w:cstheme="minorHAnsi"/>
        </w:rPr>
        <w:t>e CCWG Proposal (although the Board Proposal read in full makes clear that the Board supports the community powers sought by the CCWG in a less robust form).</w:t>
      </w:r>
    </w:p>
    <w:p w:rsidR="000E2F90" w:rsidRDefault="00A11211">
      <w:pPr>
        <w:pStyle w:val="ListParagraph"/>
        <w:numPr>
          <w:ilvl w:val="0"/>
          <w:numId w:val="16"/>
        </w:numPr>
        <w:rPr>
          <w:rFonts w:asciiTheme="minorHAnsi" w:hAnsiTheme="minorHAnsi" w:cstheme="minorHAnsi"/>
        </w:rPr>
      </w:pPr>
      <w:r>
        <w:rPr>
          <w:rFonts w:asciiTheme="minorHAnsi" w:hAnsiTheme="minorHAnsi" w:cstheme="minorHAnsi"/>
        </w:rPr>
        <w:t>From a legal perspective, the change to a membership corporation simply involves amending the Byla</w:t>
      </w:r>
      <w:r>
        <w:rPr>
          <w:rFonts w:asciiTheme="minorHAnsi" w:hAnsiTheme="minorHAnsi" w:cstheme="minorHAnsi"/>
        </w:rPr>
        <w:t xml:space="preserve">ws.  (ICANN’s current Articles of Incorporation contain express provision for transition to a membership organization.) There are no requirements to re-incorporate or to re-file for favorable tax status.  </w:t>
      </w:r>
    </w:p>
    <w:p w:rsidR="000E2F90" w:rsidRDefault="00A11211">
      <w:pPr>
        <w:pStyle w:val="ListParagraph"/>
        <w:numPr>
          <w:ilvl w:val="0"/>
          <w:numId w:val="16"/>
        </w:numPr>
        <w:rPr>
          <w:rFonts w:asciiTheme="minorHAnsi" w:hAnsiTheme="minorHAnsi" w:cstheme="minorHAnsi"/>
        </w:rPr>
      </w:pPr>
      <w:r>
        <w:rPr>
          <w:rFonts w:asciiTheme="minorHAnsi" w:hAnsiTheme="minorHAnsi" w:cstheme="minorHAnsi"/>
        </w:rPr>
        <w:t>From a governance perspective, the change to a mem</w:t>
      </w:r>
      <w:r>
        <w:rPr>
          <w:rFonts w:asciiTheme="minorHAnsi" w:hAnsiTheme="minorHAnsi" w:cstheme="minorHAnsi"/>
        </w:rPr>
        <w:t xml:space="preserve">bership organization requires that a very limited set of powers be exercised by the community and these chiefly relate to selecting the board of directors.  The community through the ACs and SOs and </w:t>
      </w:r>
      <w:r>
        <w:rPr>
          <w:rFonts w:asciiTheme="minorHAnsi" w:hAnsiTheme="minorHAnsi" w:cstheme="minorHAnsi"/>
        </w:rPr>
        <w:lastRenderedPageBreak/>
        <w:t>Nominating Committee have experience selecting directors.</w:t>
      </w:r>
      <w:r>
        <w:rPr>
          <w:rFonts w:asciiTheme="minorHAnsi" w:hAnsiTheme="minorHAnsi" w:cstheme="minorHAnsi"/>
        </w:rPr>
        <w:t xml:space="preserve">  They also have considerable experience in consulting with one another and reaching consensus.  </w:t>
      </w:r>
    </w:p>
    <w:p w:rsidR="000E2F90" w:rsidRDefault="00A11211">
      <w:pPr>
        <w:rPr>
          <w:rFonts w:asciiTheme="minorHAnsi" w:hAnsiTheme="minorHAnsi" w:cstheme="minorHAnsi"/>
        </w:rPr>
      </w:pPr>
      <w:r>
        <w:rPr>
          <w:rFonts w:asciiTheme="minorHAnsi" w:hAnsiTheme="minorHAnsi" w:cstheme="minorHAnsi"/>
        </w:rPr>
        <w:t>The most significant differences between the Board Proposal and the CCWG Proposal relate to three key issues:</w:t>
      </w:r>
    </w:p>
    <w:p w:rsidR="000E2F90" w:rsidRDefault="00A11211">
      <w:pPr>
        <w:pStyle w:val="ListParagraph"/>
        <w:numPr>
          <w:ilvl w:val="0"/>
          <w:numId w:val="17"/>
        </w:numPr>
        <w:rPr>
          <w:rFonts w:asciiTheme="minorHAnsi" w:hAnsiTheme="minorHAnsi" w:cstheme="minorHAnsi"/>
        </w:rPr>
      </w:pPr>
      <w:r>
        <w:rPr>
          <w:rFonts w:asciiTheme="minorHAnsi" w:hAnsiTheme="minorHAnsi" w:cstheme="minorHAnsi"/>
        </w:rPr>
        <w:t>Whether to rely on the creation of a member body</w:t>
      </w:r>
      <w:r>
        <w:rPr>
          <w:rFonts w:asciiTheme="minorHAnsi" w:hAnsiTheme="minorHAnsi" w:cstheme="minorHAnsi"/>
        </w:rPr>
        <w:t xml:space="preserve"> – the Community Mechanism as Sole Member (CMSM or Sole Member) -- as the legal means through which the multistakeholder community would hold the ICANN Board accountable;</w:t>
      </w:r>
    </w:p>
    <w:p w:rsidR="000E2F90" w:rsidRDefault="00A11211">
      <w:pPr>
        <w:pStyle w:val="ListParagraph"/>
        <w:numPr>
          <w:ilvl w:val="0"/>
          <w:numId w:val="17"/>
        </w:numPr>
        <w:rPr>
          <w:rFonts w:asciiTheme="minorHAnsi" w:hAnsiTheme="minorHAnsi" w:cstheme="minorHAnsi"/>
        </w:rPr>
      </w:pPr>
      <w:r>
        <w:rPr>
          <w:rFonts w:asciiTheme="minorHAnsi" w:hAnsiTheme="minorHAnsi" w:cstheme="minorHAnsi"/>
        </w:rPr>
        <w:t xml:space="preserve">The scope of community powers; and </w:t>
      </w:r>
    </w:p>
    <w:p w:rsidR="000E2F90" w:rsidRDefault="00A11211">
      <w:pPr>
        <w:pStyle w:val="ListParagraph"/>
        <w:numPr>
          <w:ilvl w:val="0"/>
          <w:numId w:val="17"/>
        </w:numPr>
        <w:rPr>
          <w:rFonts w:asciiTheme="minorHAnsi" w:hAnsiTheme="minorHAnsi" w:cstheme="minorHAnsi"/>
        </w:rPr>
      </w:pPr>
      <w:r>
        <w:rPr>
          <w:rFonts w:asciiTheme="minorHAnsi" w:hAnsiTheme="minorHAnsi" w:cstheme="minorHAnsi"/>
        </w:rPr>
        <w:t>The degree to which those powers are enforceable.</w:t>
      </w:r>
      <w:r>
        <w:rPr>
          <w:rFonts w:asciiTheme="minorHAnsi" w:hAnsiTheme="minorHAnsi" w:cstheme="minorHAnsi"/>
        </w:rPr>
        <w:t xml:space="preserve">  </w:t>
      </w:r>
    </w:p>
    <w:p w:rsidR="000E2F90" w:rsidRDefault="00A11211">
      <w:pPr>
        <w:widowControl w:val="0"/>
        <w:adjustRightInd/>
        <w:rPr>
          <w:rFonts w:asciiTheme="minorHAnsi" w:hAnsiTheme="minorHAnsi" w:cstheme="minorHAnsi"/>
        </w:rPr>
      </w:pPr>
      <w:r>
        <w:rPr>
          <w:rFonts w:asciiTheme="minorHAnsi" w:hAnsiTheme="minorHAnsi" w:cstheme="minorHAnsi"/>
        </w:rPr>
        <w:t xml:space="preserve">These issues are inter-related and have been the dominant concerns in CCWG’s deliberations to date, as evidenced by the focus of CCWG discussions, efforts of its working groups, and advice requested of its independent counsel.   </w:t>
      </w:r>
    </w:p>
    <w:p w:rsidR="000E2F90" w:rsidRDefault="00A11211">
      <w:pPr>
        <w:rPr>
          <w:rFonts w:asciiTheme="minorHAnsi" w:hAnsiTheme="minorHAnsi" w:cstheme="minorHAnsi"/>
        </w:rPr>
      </w:pPr>
      <w:r>
        <w:rPr>
          <w:rFonts w:asciiTheme="minorHAnsi" w:hAnsiTheme="minorHAnsi" w:cstheme="minorHAnsi"/>
        </w:rPr>
        <w:t>In sum, the Board disfavors a governance structure that includes a member body and proposes as an alternative the adoption of certain community powers with a binding arbitration mechanism (Multistakeholder Enforcement Mechanism or MEM) that is somewhat sim</w:t>
      </w:r>
      <w:r>
        <w:rPr>
          <w:rFonts w:asciiTheme="minorHAnsi" w:hAnsiTheme="minorHAnsi" w:cstheme="minorHAnsi"/>
        </w:rPr>
        <w:t>ilar to the binding IRP in the CCWG Proposal, with processes to encourage community consultation.  However the MEM is only available for challenges by SOs and ACs acting by consensus through the MEM Issue Group with respect to decisions or actions by the B</w:t>
      </w:r>
      <w:r>
        <w:rPr>
          <w:rFonts w:asciiTheme="minorHAnsi" w:hAnsiTheme="minorHAnsi" w:cstheme="minorHAnsi"/>
        </w:rPr>
        <w:t>oard that are believed to violate Fundamental Bylaws. Under the Board Proposal, the MEM process and the binding arbitration it provides would not be available for concerns about violations of Articles and standard Bylaws.  (It appears that while any indivi</w:t>
      </w:r>
      <w:r>
        <w:rPr>
          <w:rFonts w:asciiTheme="minorHAnsi" w:hAnsiTheme="minorHAnsi" w:cstheme="minorHAnsi"/>
        </w:rPr>
        <w:t>dual SO or AC, by consensus, could initiate a petition process to commence MEM arbitration, followed by notice to the other SOs and ACs, to initiate a MEM proceeding, the agreed number of SOs and/or ACs must each, by consensus, support the initiation of ME</w:t>
      </w:r>
      <w:r>
        <w:rPr>
          <w:rFonts w:asciiTheme="minorHAnsi" w:hAnsiTheme="minorHAnsi" w:cstheme="minorHAnsi"/>
        </w:rPr>
        <w:t xml:space="preserve">M arbitration. The SOs and ACs that wish to pursue MEM arbitration would collectively be known as the MEM Issue Group.)  The Board Proposal contemplates an IRP, although it is unclear at this time the extent to which it would be binding.  </w:t>
      </w:r>
    </w:p>
    <w:p w:rsidR="000E2F90" w:rsidRDefault="00A11211">
      <w:pPr>
        <w:rPr>
          <w:rFonts w:asciiTheme="minorHAnsi" w:hAnsiTheme="minorHAnsi" w:cstheme="minorHAnsi"/>
        </w:rPr>
      </w:pPr>
      <w:r>
        <w:rPr>
          <w:rFonts w:asciiTheme="minorHAnsi" w:hAnsiTheme="minorHAnsi" w:cstheme="minorHAnsi"/>
        </w:rPr>
        <w:t xml:space="preserve">Due to the lack </w:t>
      </w:r>
      <w:r>
        <w:rPr>
          <w:rFonts w:asciiTheme="minorHAnsi" w:hAnsiTheme="minorHAnsi" w:cstheme="minorHAnsi"/>
        </w:rPr>
        <w:t xml:space="preserve">of a member body and other aspects of the Board Proposal, ICANN’s multistakeholder community as represented by its ACs and SOs would participate in a more limited set of community powers, enforceable through less robust and certain means than contemplated </w:t>
      </w:r>
      <w:r>
        <w:rPr>
          <w:rFonts w:asciiTheme="minorHAnsi" w:hAnsiTheme="minorHAnsi" w:cstheme="minorHAnsi"/>
        </w:rPr>
        <w:t>by the CCWG Proposal.  Thus, the Board Proposal presents a different outcome to the debate -- thought to have been resolved with the selection of the Community Mechanism as Sole Member model -- regarding where on the trust-versus-enforcement continuum enha</w:t>
      </w:r>
      <w:r>
        <w:rPr>
          <w:rFonts w:asciiTheme="minorHAnsi" w:hAnsiTheme="minorHAnsi" w:cstheme="minorHAnsi"/>
        </w:rPr>
        <w:t>nced accountability mechanisms should be positioned so as to hold the ICANN Board accountable after the NTIA transitions out of its traditional and historic role.</w:t>
      </w:r>
    </w:p>
    <w:p w:rsidR="000E2F90" w:rsidRDefault="00A11211">
      <w:pPr>
        <w:rPr>
          <w:rFonts w:asciiTheme="minorHAnsi" w:hAnsiTheme="minorHAnsi" w:cstheme="minorHAnsi"/>
        </w:rPr>
      </w:pPr>
      <w:r>
        <w:rPr>
          <w:rFonts w:asciiTheme="minorHAnsi" w:hAnsiTheme="minorHAnsi" w:cstheme="minorHAnsi"/>
        </w:rPr>
        <w:t>As discussed at length leading up to the CCWG’s decision to propose the Community Mechanism a</w:t>
      </w:r>
      <w:r>
        <w:rPr>
          <w:rFonts w:asciiTheme="minorHAnsi" w:hAnsiTheme="minorHAnsi" w:cstheme="minorHAnsi"/>
        </w:rPr>
        <w:t>s Sole Member Model, a Sole Designator Model would provide an alternative that provides fairly robust community powers and enforceability though less than the Sole Member Model.  We are preparing at the request of the CCWG a PowerPoint comparison of the Co</w:t>
      </w:r>
      <w:r>
        <w:rPr>
          <w:rFonts w:asciiTheme="minorHAnsi" w:hAnsiTheme="minorHAnsi" w:cstheme="minorHAnsi"/>
        </w:rPr>
        <w:t xml:space="preserve">mmunity Mechanism as Sole Member Model, the Sole Designator Model and the Board Proposal.  Our initial assessment is that the Board Proposal -- due to lack of the legal rights that can attach to a member and a </w:t>
      </w:r>
      <w:r>
        <w:rPr>
          <w:rFonts w:asciiTheme="minorHAnsi" w:hAnsiTheme="minorHAnsi" w:cstheme="minorHAnsi"/>
        </w:rPr>
        <w:lastRenderedPageBreak/>
        <w:t>designator -- is closest to the current status</w:t>
      </w:r>
      <w:r>
        <w:rPr>
          <w:rFonts w:asciiTheme="minorHAnsi" w:hAnsiTheme="minorHAnsi" w:cstheme="minorHAnsi"/>
        </w:rPr>
        <w:t xml:space="preserve"> quo and would deliver the least robust and enforceable community powers of the three models.</w:t>
      </w:r>
    </w:p>
    <w:p w:rsidR="000E2F90" w:rsidRDefault="00A11211">
      <w:r>
        <w:t>Note that there is also a difference between the Board Proposal and the CCWG Proposal regarding the method the community will follow to exercise community powers.</w:t>
      </w:r>
      <w:r>
        <w:t xml:space="preserve">  The CCWG Proposal details voting mechanisms and vote allocations, while the Board Proposal would prefer individual SOs and ACs demonstrating their support or objection to community action by passing resolutions under existing SO/AC procedures.  We note t</w:t>
      </w:r>
      <w:r>
        <w:t>hat the Sole Member’s internal method of decision-making could easily be adapted to those outlined in the Board Proposal to address concerns about voting mechanisms and vote allocations, without disturbing the crucial role the Sole Member plays in Board ac</w:t>
      </w:r>
      <w:r>
        <w:t>countability in the CMSM model.</w:t>
      </w:r>
    </w:p>
    <w:p w:rsidR="000E2F90" w:rsidRDefault="00A11211">
      <w:pPr>
        <w:adjustRightInd/>
        <w:rPr>
          <w:rFonts w:asciiTheme="minorHAnsi" w:hAnsiTheme="minorHAnsi" w:cstheme="minorHAnsi"/>
          <w:b/>
        </w:rPr>
      </w:pPr>
      <w:r>
        <w:rPr>
          <w:rFonts w:asciiTheme="minorHAnsi" w:hAnsiTheme="minorHAnsi" w:cstheme="minorHAnsi"/>
          <w:b/>
        </w:rPr>
        <w:t>Summary Observations</w:t>
      </w:r>
    </w:p>
    <w:p w:rsidR="000E2F90" w:rsidRDefault="00A11211">
      <w:pPr>
        <w:pStyle w:val="ListParagraph"/>
        <w:numPr>
          <w:ilvl w:val="0"/>
          <w:numId w:val="18"/>
        </w:numPr>
        <w:ind w:left="360"/>
        <w:rPr>
          <w:rFonts w:asciiTheme="minorHAnsi" w:hAnsiTheme="minorHAnsi" w:cstheme="minorHAnsi"/>
          <w:b/>
        </w:rPr>
      </w:pPr>
      <w:r>
        <w:rPr>
          <w:rFonts w:asciiTheme="minorHAnsi" w:hAnsiTheme="minorHAnsi" w:cstheme="minorHAnsi"/>
          <w:b/>
        </w:rPr>
        <w:t>Community Powers</w:t>
      </w:r>
      <w:r>
        <w:rPr>
          <w:rFonts w:asciiTheme="minorHAnsi" w:hAnsiTheme="minorHAnsi" w:cstheme="minorHAnsi"/>
          <w:color w:val="000000"/>
        </w:rPr>
        <w:t xml:space="preserve"> </w:t>
      </w:r>
      <w:r>
        <w:rPr>
          <w:rFonts w:asciiTheme="minorHAnsi" w:hAnsiTheme="minorHAnsi" w:cstheme="minorHAnsi"/>
        </w:rPr>
        <w:t xml:space="preserve"> </w:t>
      </w:r>
    </w:p>
    <w:p w:rsidR="000E2F90" w:rsidRDefault="00A11211">
      <w:pPr>
        <w:widowControl w:val="0"/>
        <w:adjustRightInd/>
        <w:rPr>
          <w:rFonts w:asciiTheme="minorHAnsi" w:hAnsiTheme="minorHAnsi" w:cstheme="minorHAnsi"/>
        </w:rPr>
      </w:pPr>
      <w:r>
        <w:rPr>
          <w:rFonts w:asciiTheme="minorHAnsi" w:hAnsiTheme="minorHAnsi" w:cstheme="minorHAnsi"/>
        </w:rPr>
        <w:t xml:space="preserve">With respect to community powers, areas of specific differences between the Board Proposal and the CCWG Proposal relate to: </w:t>
      </w:r>
    </w:p>
    <w:p w:rsidR="000E2F90" w:rsidRDefault="00A11211">
      <w:pPr>
        <w:pStyle w:val="ListParagraph"/>
        <w:numPr>
          <w:ilvl w:val="0"/>
          <w:numId w:val="29"/>
        </w:numPr>
        <w:ind w:left="720" w:hanging="630"/>
        <w:rPr>
          <w:rFonts w:asciiTheme="minorHAnsi" w:hAnsiTheme="minorHAnsi" w:cstheme="minorHAnsi"/>
          <w:b/>
        </w:rPr>
      </w:pPr>
      <w:r>
        <w:rPr>
          <w:rFonts w:asciiTheme="minorHAnsi" w:hAnsiTheme="minorHAnsi" w:cstheme="minorHAnsi"/>
          <w:b/>
        </w:rPr>
        <w:t>Approve Changes to ICANN “Fundamental” Bylaws (Section 4.5)</w:t>
      </w:r>
    </w:p>
    <w:p w:rsidR="000E2F90" w:rsidRDefault="00A11211">
      <w:pPr>
        <w:pStyle w:val="ListParagraph"/>
        <w:rPr>
          <w:rFonts w:asciiTheme="minorHAnsi" w:hAnsiTheme="minorHAnsi" w:cstheme="minorHAnsi"/>
        </w:rPr>
      </w:pPr>
      <w:r>
        <w:rPr>
          <w:rFonts w:asciiTheme="minorHAnsi" w:hAnsiTheme="minorHAnsi" w:cstheme="minorHAnsi"/>
        </w:rPr>
        <w:t>Both the Board Proposal and the CCWG Proposal acknowledge that the community should have rights to participate in the process by which changes to Fundamental Bylaws are adopted; they differ on the procedures for doing so. It is unclear how meaningful thes</w:t>
      </w:r>
      <w:r>
        <w:rPr>
          <w:rFonts w:asciiTheme="minorHAnsi" w:hAnsiTheme="minorHAnsi" w:cstheme="minorHAnsi"/>
        </w:rPr>
        <w:t xml:space="preserve">e differences are. </w:t>
      </w:r>
    </w:p>
    <w:p w:rsidR="000E2F90" w:rsidRDefault="00A11211">
      <w:pPr>
        <w:pStyle w:val="ListParagraph"/>
        <w:rPr>
          <w:rFonts w:asciiTheme="minorHAnsi" w:hAnsiTheme="minorHAnsi" w:cstheme="minorHAnsi"/>
        </w:rPr>
      </w:pPr>
      <w:r>
        <w:rPr>
          <w:rFonts w:asciiTheme="minorHAnsi" w:hAnsiTheme="minorHAnsi" w:cstheme="minorHAnsi"/>
        </w:rPr>
        <w:t xml:space="preserve">Under the CCWG Proposal, the Board and the community, represented by the SOs and ACs participating in the Sole Member, would both need to approve changes to Fundamental Bylaws with a high voting threshold.  Under the Board Proposal, as </w:t>
      </w:r>
      <w:r>
        <w:rPr>
          <w:rFonts w:asciiTheme="minorHAnsi" w:hAnsiTheme="minorHAnsi" w:cstheme="minorHAnsi"/>
        </w:rPr>
        <w:t>explained to us, the Board would commit in the Bylaws not to amend Fundamental Bylaws unless a specific level of community support had been demonstrated for the change.</w:t>
      </w:r>
    </w:p>
    <w:p w:rsidR="000E2F90" w:rsidRDefault="00A11211">
      <w:pPr>
        <w:pStyle w:val="ListParagraph"/>
        <w:rPr>
          <w:rFonts w:asciiTheme="minorHAnsi" w:hAnsiTheme="minorHAnsi" w:cstheme="minorHAnsi"/>
        </w:rPr>
      </w:pPr>
      <w:r>
        <w:rPr>
          <w:rFonts w:asciiTheme="minorHAnsi" w:hAnsiTheme="minorHAnsi" w:cstheme="minorHAnsi"/>
        </w:rPr>
        <w:t xml:space="preserve">It appears that the MEM process would be available to challenge a failure by the Board </w:t>
      </w:r>
      <w:r>
        <w:rPr>
          <w:rFonts w:asciiTheme="minorHAnsi" w:hAnsiTheme="minorHAnsi" w:cstheme="minorHAnsi"/>
        </w:rPr>
        <w:t>to follow this procedure.</w:t>
      </w:r>
      <w:r>
        <w:rPr>
          <w:rFonts w:asciiTheme="minorHAnsi" w:hAnsiTheme="minorHAnsi" w:cstheme="minorHAnsi"/>
          <w:color w:val="000000"/>
        </w:rPr>
        <w:t xml:space="preserve"> </w:t>
      </w:r>
    </w:p>
    <w:p w:rsidR="000E2F90" w:rsidRDefault="00A11211">
      <w:pPr>
        <w:pStyle w:val="ListParagraph"/>
        <w:rPr>
          <w:rFonts w:asciiTheme="minorHAnsi" w:hAnsiTheme="minorHAnsi" w:cstheme="minorHAnsi"/>
        </w:rPr>
      </w:pPr>
      <w:r>
        <w:rPr>
          <w:rFonts w:asciiTheme="minorHAnsi" w:hAnsiTheme="minorHAnsi" w:cstheme="minorHAnsi"/>
          <w:bCs/>
        </w:rPr>
        <w:t>Note that the CWG-Stewardship final transition proposal requires that t</w:t>
      </w:r>
      <w:r>
        <w:rPr>
          <w:rFonts w:asciiTheme="minorHAnsi" w:hAnsiTheme="minorHAnsi" w:cstheme="minorHAnsi"/>
        </w:rPr>
        <w:t xml:space="preserve">he ICANN multistakeholder community have the ability to exercise oversight with respect to the ability to approve amendments to Fundamental Bylaws.    </w:t>
      </w:r>
    </w:p>
    <w:p w:rsidR="000E2F90" w:rsidRDefault="00A11211">
      <w:pPr>
        <w:pStyle w:val="ListParagraph"/>
        <w:numPr>
          <w:ilvl w:val="0"/>
          <w:numId w:val="29"/>
        </w:numPr>
        <w:ind w:left="720" w:hanging="630"/>
        <w:rPr>
          <w:rFonts w:asciiTheme="minorHAnsi" w:hAnsiTheme="minorHAnsi" w:cstheme="minorHAnsi"/>
          <w:b/>
        </w:rPr>
      </w:pPr>
      <w:r>
        <w:rPr>
          <w:rFonts w:asciiTheme="minorHAnsi" w:hAnsiTheme="minorHAnsi" w:cstheme="minorHAnsi"/>
          <w:b/>
        </w:rPr>
        <w:t>Recons</w:t>
      </w:r>
      <w:r>
        <w:rPr>
          <w:rFonts w:asciiTheme="minorHAnsi" w:hAnsiTheme="minorHAnsi" w:cstheme="minorHAnsi"/>
          <w:b/>
        </w:rPr>
        <w:t>ider/Reject ICANN Budget or Strategy/Operating Plans (Section 7.1)</w:t>
      </w:r>
    </w:p>
    <w:p w:rsidR="000E2F90" w:rsidRDefault="00A11211">
      <w:pPr>
        <w:pStyle w:val="ListParagraph"/>
        <w:rPr>
          <w:rFonts w:asciiTheme="minorHAnsi" w:hAnsiTheme="minorHAnsi" w:cstheme="minorHAnsi"/>
        </w:rPr>
      </w:pPr>
      <w:r>
        <w:rPr>
          <w:rFonts w:asciiTheme="minorHAnsi" w:hAnsiTheme="minorHAnsi" w:cstheme="minorHAnsi"/>
        </w:rPr>
        <w:t>Under the CCWG Proposal, after an appropriate community process participating SOs and ACs could direct the Sole Member to veto budgets or strategic/operating plans, sending strategic and op</w:t>
      </w:r>
      <w:r>
        <w:rPr>
          <w:rFonts w:asciiTheme="minorHAnsi" w:hAnsiTheme="minorHAnsi" w:cstheme="minorHAnsi"/>
        </w:rPr>
        <w:t>erating plans back to the Board an unlimited number of times to develop an alternative acceptable to the community, and rejecting a budget up to two times.  The Board Proposal emphasizes the need for a community consultation requirement similar to the curr</w:t>
      </w:r>
      <w:r>
        <w:rPr>
          <w:rFonts w:asciiTheme="minorHAnsi" w:hAnsiTheme="minorHAnsi" w:cstheme="minorHAnsi"/>
        </w:rPr>
        <w:t xml:space="preserve">ent GAC consultation requirement.  The community could force the Board to reconsider and consult twice on all three – strategic plans, operating plans and budget.  </w:t>
      </w:r>
      <w:r>
        <w:rPr>
          <w:rFonts w:asciiTheme="minorHAnsi" w:hAnsiTheme="minorHAnsi" w:cstheme="minorHAnsi"/>
        </w:rPr>
        <w:lastRenderedPageBreak/>
        <w:t>Thereafter, the Board could approve a budget or plan over community objections, so long as t</w:t>
      </w:r>
      <w:r>
        <w:rPr>
          <w:rFonts w:asciiTheme="minorHAnsi" w:hAnsiTheme="minorHAnsi" w:cstheme="minorHAnsi"/>
        </w:rPr>
        <w:t>hat budget did not represent an increase of more than 10% over the prior year’s budget, and did not include new substantial line items not accepted by the community.  (We note that this assumes the community generally seeks to limit rather than push for gr</w:t>
      </w:r>
      <w:r>
        <w:rPr>
          <w:rFonts w:asciiTheme="minorHAnsi" w:hAnsiTheme="minorHAnsi" w:cstheme="minorHAnsi"/>
        </w:rPr>
        <w:t>eater expenditures.)</w:t>
      </w:r>
    </w:p>
    <w:p w:rsidR="000E2F90" w:rsidRDefault="00A11211">
      <w:pPr>
        <w:pStyle w:val="ListParagraph"/>
        <w:rPr>
          <w:rFonts w:asciiTheme="minorHAnsi" w:hAnsiTheme="minorHAnsi" w:cstheme="minorHAnsi"/>
        </w:rPr>
      </w:pPr>
      <w:r>
        <w:rPr>
          <w:rFonts w:asciiTheme="minorHAnsi" w:hAnsiTheme="minorHAnsi" w:cstheme="minorHAnsi"/>
        </w:rPr>
        <w:t>As a legal matter, there is a level of uncertainty arising to doubt that Bylaw provisions providing these rights to the community as represented by the SOs and ACs would be legally cognizable, let alone enforceable, outside of a member</w:t>
      </w:r>
      <w:r>
        <w:rPr>
          <w:rFonts w:asciiTheme="minorHAnsi" w:hAnsiTheme="minorHAnsi" w:cstheme="minorHAnsi"/>
        </w:rPr>
        <w:t xml:space="preserve"> context. </w:t>
      </w:r>
    </w:p>
    <w:p w:rsidR="000E2F90" w:rsidRDefault="00A11211">
      <w:pPr>
        <w:pStyle w:val="ListParagraph"/>
        <w:rPr>
          <w:rFonts w:asciiTheme="minorHAnsi" w:hAnsiTheme="minorHAnsi" w:cstheme="minorHAnsi"/>
        </w:rPr>
      </w:pPr>
      <w:r>
        <w:rPr>
          <w:rFonts w:asciiTheme="minorHAnsi" w:hAnsiTheme="minorHAnsi" w:cstheme="minorHAnsi"/>
        </w:rPr>
        <w:t>The CCWG considered at length how the community powers would fit with the Board’s appropriate exercise of its fiduciary duties.  In this consideration, a key benefit of the Sole Member model is that California law clearly permits all of the desi</w:t>
      </w:r>
      <w:r>
        <w:rPr>
          <w:rFonts w:asciiTheme="minorHAnsi" w:hAnsiTheme="minorHAnsi" w:cstheme="minorHAnsi"/>
        </w:rPr>
        <w:t>red community powers, including the proposed veto rights over the budget and strategic/operating plans, to be reserved to the Sole Member, thus avoiding any conflict with the Board’s exercise of its fiduciary duties.  The Board Proposal does not address ho</w:t>
      </w:r>
      <w:r>
        <w:rPr>
          <w:rFonts w:asciiTheme="minorHAnsi" w:hAnsiTheme="minorHAnsi" w:cstheme="minorHAnsi"/>
        </w:rPr>
        <w:t xml:space="preserve">w this issue will be resolved.  </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For example, if the Board adopted a budget over community objection with an increase of more than 10%, in violation of the terms of the Bylaws, and asserted in a court challenge that the Board believed that this was necessa</w:t>
      </w:r>
      <w:r>
        <w:rPr>
          <w:rFonts w:asciiTheme="minorHAnsi" w:hAnsiTheme="minorHAnsi" w:cstheme="minorHAnsi"/>
        </w:rPr>
        <w:t xml:space="preserve">ry to fulfill its fiduciary duties, there is risk that a court would side with the Board, since a bylaw that would have the effect of requiring the directors to act without regard for their fiduciary duties could be invalidated in court.  </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Note that concer</w:t>
      </w:r>
      <w:r>
        <w:rPr>
          <w:rFonts w:asciiTheme="minorHAnsi" w:hAnsiTheme="minorHAnsi" w:cstheme="minorHAnsi"/>
        </w:rPr>
        <w:t xml:space="preserve">n about conflicts with Board fiduciary duties is the very reason why these community powers would not be subject to binding arbitration under the Board Proposal.  Thus, the community would lack any meaningful enforcement mechanism for these powers. </w:t>
      </w:r>
    </w:p>
    <w:p w:rsidR="000E2F90" w:rsidRDefault="00A11211">
      <w:pPr>
        <w:pStyle w:val="ListParagraph"/>
        <w:rPr>
          <w:rFonts w:asciiTheme="minorHAnsi" w:hAnsiTheme="minorHAnsi" w:cstheme="minorHAnsi"/>
        </w:rPr>
      </w:pPr>
      <w:r>
        <w:rPr>
          <w:rFonts w:asciiTheme="minorHAnsi" w:hAnsiTheme="minorHAnsi" w:cstheme="minorHAnsi"/>
        </w:rPr>
        <w:t>The So</w:t>
      </w:r>
      <w:r>
        <w:rPr>
          <w:rFonts w:asciiTheme="minorHAnsi" w:hAnsiTheme="minorHAnsi" w:cstheme="minorHAnsi"/>
        </w:rPr>
        <w:t>le Member model allows the community to have the ability to reject the budget or strategic/operating plans (and also to address the IANA function separation and review issue discussed below) without creating a conflict between community powers and director</w:t>
      </w:r>
      <w:r>
        <w:rPr>
          <w:rFonts w:asciiTheme="minorHAnsi" w:hAnsiTheme="minorHAnsi" w:cstheme="minorHAnsi"/>
        </w:rPr>
        <w:t xml:space="preserve"> fiduciary duties, </w:t>
      </w:r>
      <w:r>
        <w:rPr>
          <w:rFonts w:asciiTheme="minorHAnsi" w:hAnsiTheme="minorHAnsi" w:cstheme="minorHAnsi"/>
          <w:i/>
        </w:rPr>
        <w:t>and</w:t>
      </w:r>
      <w:r>
        <w:rPr>
          <w:rFonts w:asciiTheme="minorHAnsi" w:hAnsiTheme="minorHAnsi" w:cstheme="minorHAnsi"/>
        </w:rPr>
        <w:t xml:space="preserve"> without creating an enforceability vacuum.  </w:t>
      </w:r>
    </w:p>
    <w:p w:rsidR="000E2F90" w:rsidRDefault="00A11211">
      <w:pPr>
        <w:pStyle w:val="ListParagraph"/>
        <w:rPr>
          <w:rFonts w:asciiTheme="minorHAnsi" w:hAnsiTheme="minorHAnsi" w:cstheme="minorHAnsi"/>
        </w:rPr>
      </w:pPr>
      <w:r>
        <w:rPr>
          <w:rFonts w:asciiTheme="minorHAnsi" w:hAnsiTheme="minorHAnsi" w:cstheme="minorHAnsi"/>
        </w:rPr>
        <w:t>We note that the CCWG rejected an empowered designator approach because it could not provide enforceable community powers with respect to budget and strategy/operating plan veto for the ve</w:t>
      </w:r>
      <w:r>
        <w:rPr>
          <w:rFonts w:asciiTheme="minorHAnsi" w:hAnsiTheme="minorHAnsi" w:cstheme="minorHAnsi"/>
        </w:rPr>
        <w:t xml:space="preserve">ry same reasons discussed above in relation to the Board Proposal.  </w:t>
      </w:r>
    </w:p>
    <w:p w:rsidR="000E2F90" w:rsidRDefault="00A11211">
      <w:pPr>
        <w:pStyle w:val="ListParagraph"/>
        <w:rPr>
          <w:rFonts w:asciiTheme="minorHAnsi" w:hAnsiTheme="minorHAnsi" w:cstheme="minorHAnsi"/>
        </w:rPr>
      </w:pPr>
      <w:r>
        <w:rPr>
          <w:rFonts w:asciiTheme="minorHAnsi" w:hAnsiTheme="minorHAnsi" w:cstheme="minorHAnsi"/>
        </w:rPr>
        <w:t>While it appears that the Board Proposal contemplates the MEM process would be available to challenge a failure by the Board to follow this procedure, there is uncertainty as expressed ab</w:t>
      </w:r>
      <w:r>
        <w:rPr>
          <w:rFonts w:asciiTheme="minorHAnsi" w:hAnsiTheme="minorHAnsi" w:cstheme="minorHAnsi"/>
        </w:rPr>
        <w:t>ove that providing these veto rights with respect to budget and strategic/operating plans to the community outside of the member context would be enforceable.</w:t>
      </w:r>
    </w:p>
    <w:p w:rsidR="000E2F90" w:rsidRDefault="00A11211">
      <w:pPr>
        <w:pStyle w:val="ListParagraph"/>
        <w:rPr>
          <w:rFonts w:asciiTheme="minorHAnsi" w:hAnsiTheme="minorHAnsi" w:cstheme="minorHAnsi"/>
        </w:rPr>
      </w:pPr>
      <w:r>
        <w:rPr>
          <w:rFonts w:asciiTheme="minorHAnsi" w:hAnsiTheme="minorHAnsi" w:cstheme="minorHAnsi"/>
        </w:rPr>
        <w:t xml:space="preserve">Note that the </w:t>
      </w:r>
      <w:r>
        <w:rPr>
          <w:rFonts w:asciiTheme="minorHAnsi" w:hAnsiTheme="minorHAnsi" w:cstheme="minorHAnsi"/>
          <w:bCs/>
          <w:color w:val="000000"/>
        </w:rPr>
        <w:t xml:space="preserve">CWG-Stewardship final transition proposal provides that </w:t>
      </w:r>
      <w:r>
        <w:rPr>
          <w:rFonts w:asciiTheme="minorHAnsi" w:hAnsiTheme="minorHAnsi" w:cstheme="minorHAnsi"/>
          <w:color w:val="000000"/>
        </w:rPr>
        <w:t>the community powers with r</w:t>
      </w:r>
      <w:r>
        <w:rPr>
          <w:rFonts w:asciiTheme="minorHAnsi" w:hAnsiTheme="minorHAnsi" w:cstheme="minorHAnsi"/>
          <w:color w:val="000000"/>
        </w:rPr>
        <w:t xml:space="preserve">espect to the ICANN and IANA Budgets are key dependencies.  The CWG-Stewardship has acknowledged in its public comment that the community’s ability to veto the ICANN and IANA Budgets separately will meet the CWG-Stewardship requirements, </w:t>
      </w:r>
      <w:r>
        <w:rPr>
          <w:rFonts w:asciiTheme="minorHAnsi" w:hAnsiTheme="minorHAnsi" w:cstheme="minorHAnsi"/>
          <w:color w:val="000000"/>
        </w:rPr>
        <w:lastRenderedPageBreak/>
        <w:t>and has stated tha</w:t>
      </w:r>
      <w:r>
        <w:rPr>
          <w:rFonts w:asciiTheme="minorHAnsi" w:hAnsiTheme="minorHAnsi" w:cstheme="minorHAnsi"/>
          <w:color w:val="000000"/>
        </w:rPr>
        <w:t xml:space="preserve">t “[w]e believe that the CCWG-Accountability draft proposal on budgets is both necessary and sufficient to adequately satisfy these requirements of the CWG-Stewardship final transition proposal.”   </w:t>
      </w:r>
    </w:p>
    <w:p w:rsidR="000E2F90" w:rsidRDefault="00A11211">
      <w:pPr>
        <w:pStyle w:val="ListParagraph"/>
        <w:keepNext/>
        <w:widowControl/>
        <w:numPr>
          <w:ilvl w:val="0"/>
          <w:numId w:val="29"/>
        </w:numPr>
        <w:ind w:left="720" w:hanging="630"/>
        <w:rPr>
          <w:rFonts w:asciiTheme="minorHAnsi" w:hAnsiTheme="minorHAnsi" w:cstheme="minorHAnsi"/>
          <w:b/>
        </w:rPr>
      </w:pPr>
      <w:r>
        <w:rPr>
          <w:rFonts w:asciiTheme="minorHAnsi" w:hAnsiTheme="minorHAnsi" w:cstheme="minorHAnsi"/>
          <w:b/>
        </w:rPr>
        <w:t>Reconsider/Reject Changes to ICANN “Standard” Bylaws (and</w:t>
      </w:r>
      <w:r>
        <w:rPr>
          <w:rFonts w:asciiTheme="minorHAnsi" w:hAnsiTheme="minorHAnsi" w:cstheme="minorHAnsi"/>
          <w:b/>
        </w:rPr>
        <w:t xml:space="preserve"> Enforcement) (Section 7.2)</w:t>
      </w:r>
    </w:p>
    <w:p w:rsidR="000E2F90" w:rsidRDefault="00A11211">
      <w:pPr>
        <w:pStyle w:val="ListParagraph"/>
        <w:keepNext/>
        <w:widowControl/>
        <w:rPr>
          <w:rFonts w:asciiTheme="minorHAnsi" w:hAnsiTheme="minorHAnsi" w:cstheme="minorHAnsi"/>
        </w:rPr>
      </w:pPr>
      <w:r>
        <w:rPr>
          <w:rFonts w:asciiTheme="minorHAnsi" w:hAnsiTheme="minorHAnsi" w:cstheme="minorHAnsi"/>
        </w:rPr>
        <w:t xml:space="preserve">CCWG has proposed that the community through the CMSM have veto rights for changes to standard Bylaws, e.g., Bylaws that are not specifically designated as “fundamental.” </w:t>
      </w:r>
    </w:p>
    <w:p w:rsidR="000E2F90" w:rsidRDefault="00A11211">
      <w:pPr>
        <w:pStyle w:val="ListParagraph"/>
        <w:keepNext/>
        <w:widowControl/>
        <w:rPr>
          <w:rFonts w:asciiTheme="minorHAnsi" w:hAnsiTheme="minorHAnsi" w:cstheme="minorHAnsi"/>
        </w:rPr>
      </w:pPr>
      <w:r>
        <w:rPr>
          <w:rFonts w:asciiTheme="minorHAnsi" w:hAnsiTheme="minorHAnsi" w:cstheme="minorHAnsi"/>
        </w:rPr>
        <w:t>Like the CCWG Proposal, under the Board Proposal the community would have the opportunity to object to proposed standard Bylaws amendments.  SOs and ACs could demonstrate their objections by passing resolutions within current SO/AC structures and processes</w:t>
      </w:r>
      <w:r>
        <w:rPr>
          <w:rFonts w:asciiTheme="minorHAnsi" w:hAnsiTheme="minorHAnsi" w:cstheme="minorHAnsi"/>
        </w:rPr>
        <w:t xml:space="preserve">, and the Board would commit in the Bylaws not to amend the Bylaws over community objection above a specified threshold.  </w:t>
      </w:r>
    </w:p>
    <w:p w:rsidR="000E2F90" w:rsidRDefault="00A11211">
      <w:pPr>
        <w:pStyle w:val="ListParagraph"/>
        <w:rPr>
          <w:rFonts w:asciiTheme="minorHAnsi" w:hAnsiTheme="minorHAnsi" w:cstheme="minorHAnsi"/>
        </w:rPr>
      </w:pPr>
      <w:r>
        <w:rPr>
          <w:rFonts w:asciiTheme="minorHAnsi" w:hAnsiTheme="minorHAnsi" w:cstheme="minorHAnsi"/>
        </w:rPr>
        <w:t>It is unclear whether binding arbitration would be available to challenge a failure by the Board to follow procedure regarding commun</w:t>
      </w:r>
      <w:r>
        <w:rPr>
          <w:rFonts w:asciiTheme="minorHAnsi" w:hAnsiTheme="minorHAnsi" w:cstheme="minorHAnsi"/>
        </w:rPr>
        <w:t xml:space="preserve">ity objection to proposed standard Bylaw amendments.  If these provisions for community input into changes to standard Bylaws were embedded in Fundamental Bylaws, then it appears that the MEM process would be available. </w:t>
      </w:r>
    </w:p>
    <w:p w:rsidR="000E2F90" w:rsidRDefault="00A11211">
      <w:pPr>
        <w:pStyle w:val="ListParagraph"/>
        <w:rPr>
          <w:rFonts w:asciiTheme="minorHAnsi" w:hAnsiTheme="minorHAnsi" w:cstheme="minorHAnsi"/>
        </w:rPr>
      </w:pPr>
      <w:r>
        <w:rPr>
          <w:rFonts w:asciiTheme="minorHAnsi" w:hAnsiTheme="minorHAnsi" w:cstheme="minorHAnsi"/>
        </w:rPr>
        <w:t>However, it is clear that the MEM w</w:t>
      </w:r>
      <w:r>
        <w:rPr>
          <w:rFonts w:asciiTheme="minorHAnsi" w:hAnsiTheme="minorHAnsi" w:cstheme="minorHAnsi"/>
        </w:rPr>
        <w:t xml:space="preserve">ould not be available to enforce Board compliance with standard Bylaws, since under the Board Proposal, binding arbitration would not be available to seek redress of violations of Bylaws not designated as “fundamental.”  </w:t>
      </w:r>
    </w:p>
    <w:p w:rsidR="000E2F90" w:rsidRDefault="00A11211">
      <w:pPr>
        <w:pStyle w:val="ListParagraph"/>
        <w:rPr>
          <w:rFonts w:asciiTheme="minorHAnsi" w:hAnsiTheme="minorHAnsi" w:cstheme="minorHAnsi"/>
        </w:rPr>
      </w:pPr>
      <w:r>
        <w:rPr>
          <w:rFonts w:asciiTheme="minorHAnsi" w:hAnsiTheme="minorHAnsi" w:cstheme="minorHAnsi"/>
        </w:rPr>
        <w:t>Note that in the CCWG Proposal, th</w:t>
      </w:r>
      <w:r>
        <w:rPr>
          <w:rFonts w:asciiTheme="minorHAnsi" w:hAnsiTheme="minorHAnsi" w:cstheme="minorHAnsi"/>
        </w:rPr>
        <w:t>e distinction between standard Bylaws and Fundamental Bylaws is that Fundamental Bylaws are those determined to be so important that the community should be involved in approving any change.  By providing that only Fundamental Bylaws are enforceable throug</w:t>
      </w:r>
      <w:r>
        <w:rPr>
          <w:rFonts w:asciiTheme="minorHAnsi" w:hAnsiTheme="minorHAnsi" w:cstheme="minorHAnsi"/>
        </w:rPr>
        <w:t xml:space="preserve">h the MEM, the Board Proposal equates those Bylaws that the community seeks to approve changes of with those Bylaws for which community enforcement is available.  However, the Board is obligated by law to abide by </w:t>
      </w:r>
      <w:r>
        <w:rPr>
          <w:rFonts w:asciiTheme="minorHAnsi" w:hAnsiTheme="minorHAnsi" w:cstheme="minorHAnsi"/>
          <w:i/>
        </w:rPr>
        <w:t>all</w:t>
      </w:r>
      <w:r>
        <w:rPr>
          <w:rFonts w:asciiTheme="minorHAnsi" w:hAnsiTheme="minorHAnsi" w:cstheme="minorHAnsi"/>
        </w:rPr>
        <w:t xml:space="preserve"> Bylaws (whether standard or Fundamenta</w:t>
      </w:r>
      <w:r>
        <w:rPr>
          <w:rFonts w:asciiTheme="minorHAnsi" w:hAnsiTheme="minorHAnsi" w:cstheme="minorHAnsi"/>
        </w:rPr>
        <w:t>l), and therefore an enforcement scheme that is intentionally designed to enforce just one type of Bylaws raises concerns about the potential for important accountability gaps.  Such a differential approach to Bylaw enforcement should be subject to rigorou</w:t>
      </w:r>
      <w:r>
        <w:rPr>
          <w:rFonts w:asciiTheme="minorHAnsi" w:hAnsiTheme="minorHAnsi" w:cstheme="minorHAnsi"/>
        </w:rPr>
        <w:t>s stress testing.  We note also that the MEM does not appear to be available to enforce compliance with the Articles of Incorporation, which under law have even more force than Bylaws.  There may be an accountability gap if there is not a robust binding IR</w:t>
      </w:r>
      <w:r>
        <w:rPr>
          <w:rFonts w:asciiTheme="minorHAnsi" w:hAnsiTheme="minorHAnsi" w:cstheme="minorHAnsi"/>
        </w:rPr>
        <w:t>P or other binding arbitration process available to enforce the Articles.</w:t>
      </w:r>
    </w:p>
    <w:p w:rsidR="000E2F90" w:rsidRDefault="00A11211">
      <w:pPr>
        <w:pStyle w:val="ListParagraph"/>
        <w:numPr>
          <w:ilvl w:val="0"/>
          <w:numId w:val="29"/>
        </w:numPr>
        <w:ind w:left="720" w:hanging="630"/>
        <w:rPr>
          <w:rFonts w:asciiTheme="minorHAnsi" w:hAnsiTheme="minorHAnsi" w:cstheme="minorHAnsi"/>
          <w:b/>
        </w:rPr>
      </w:pPr>
      <w:r>
        <w:rPr>
          <w:rFonts w:asciiTheme="minorHAnsi" w:hAnsiTheme="minorHAnsi" w:cstheme="minorHAnsi"/>
          <w:b/>
        </w:rPr>
        <w:t>Appoint and Remove Individual ICANN Directors (Section 7.3)</w:t>
      </w:r>
    </w:p>
    <w:p w:rsidR="000E2F90" w:rsidRDefault="00A11211">
      <w:pPr>
        <w:pStyle w:val="ListParagraph"/>
        <w:rPr>
          <w:rFonts w:asciiTheme="minorHAnsi" w:hAnsiTheme="minorHAnsi" w:cstheme="minorHAnsi"/>
        </w:rPr>
      </w:pPr>
      <w:r>
        <w:rPr>
          <w:rFonts w:asciiTheme="minorHAnsi" w:hAnsiTheme="minorHAnsi" w:cstheme="minorHAnsi"/>
        </w:rPr>
        <w:t>Instead of giving certain SOs and ACs the right (effectuated through the Sole Member) to unilaterally remove the directors</w:t>
      </w:r>
      <w:r>
        <w:rPr>
          <w:rFonts w:asciiTheme="minorHAnsi" w:hAnsiTheme="minorHAnsi" w:cstheme="minorHAnsi"/>
        </w:rPr>
        <w:t xml:space="preserve"> they appoint, under the Board Proposal, removal of individual directors would be available only for narrowly defined causes and only upon community consensus as represented by the SOs and ACs (although the appointing SO or AC could initiate community cons</w:t>
      </w:r>
      <w:r>
        <w:rPr>
          <w:rFonts w:asciiTheme="minorHAnsi" w:hAnsiTheme="minorHAnsi" w:cstheme="minorHAnsi"/>
        </w:rPr>
        <w:t xml:space="preserve">ideration of removal).  It appears that grounds for </w:t>
      </w:r>
      <w:r>
        <w:rPr>
          <w:rFonts w:asciiTheme="minorHAnsi" w:hAnsiTheme="minorHAnsi" w:cstheme="minorHAnsi"/>
        </w:rPr>
        <w:lastRenderedPageBreak/>
        <w:t>removal would be limited to:</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Serious violations of governance standards, including statutory causes for removal (fraud);</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Refusal to abide by the processes set forth to enable new community empowerment are</w:t>
      </w:r>
      <w:r>
        <w:rPr>
          <w:rFonts w:asciiTheme="minorHAnsi" w:hAnsiTheme="minorHAnsi" w:cstheme="minorHAnsi"/>
        </w:rPr>
        <w:t>as; and</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Failure to abide by the outcome of a MEM process.</w:t>
      </w:r>
    </w:p>
    <w:p w:rsidR="000E2F90" w:rsidRDefault="00A11211">
      <w:pPr>
        <w:pStyle w:val="ListParagraph"/>
        <w:rPr>
          <w:rFonts w:asciiTheme="minorHAnsi" w:hAnsiTheme="minorHAnsi" w:cstheme="minorHAnsi"/>
        </w:rPr>
      </w:pPr>
      <w:r>
        <w:rPr>
          <w:rFonts w:asciiTheme="minorHAnsi" w:hAnsiTheme="minorHAnsi" w:cstheme="minorHAnsi"/>
        </w:rPr>
        <w:t>A petition process is envisioned by the Board Proposal for removal, but it is unclear whether the SOs and ACs determine the final outcome including whether the standards set forth above have been me</w:t>
      </w:r>
      <w:r>
        <w:rPr>
          <w:rFonts w:asciiTheme="minorHAnsi" w:hAnsiTheme="minorHAnsi" w:cstheme="minorHAnsi"/>
        </w:rPr>
        <w:t xml:space="preserve">t. Directors would be required to provide standing letters of resignation, to be triggered after opportunity for the director to be heard and a community consensus process. </w:t>
      </w:r>
    </w:p>
    <w:p w:rsidR="000E2F90" w:rsidRDefault="00A11211">
      <w:pPr>
        <w:pStyle w:val="ListParagraph"/>
        <w:rPr>
          <w:rFonts w:asciiTheme="minorHAnsi" w:hAnsiTheme="minorHAnsi" w:cstheme="minorHAnsi"/>
        </w:rPr>
      </w:pPr>
      <w:r>
        <w:rPr>
          <w:rFonts w:asciiTheme="minorHAnsi" w:hAnsiTheme="minorHAnsi" w:cstheme="minorHAnsi"/>
        </w:rPr>
        <w:t>Since the Bylaws would not provide for a Sole Member (or any other form of members</w:t>
      </w:r>
      <w:r>
        <w:rPr>
          <w:rFonts w:asciiTheme="minorHAnsi" w:hAnsiTheme="minorHAnsi" w:cstheme="minorHAnsi"/>
        </w:rPr>
        <w:t>hip) and the Bylaws would not provide ACs and SOs with express designator rights cognizable under California law, there is potential that the process would need to rely on the Board for implementation, albeit with possibility of recourse to binding arbitra</w:t>
      </w:r>
      <w:r>
        <w:rPr>
          <w:rFonts w:asciiTheme="minorHAnsi" w:hAnsiTheme="minorHAnsi" w:cstheme="minorHAnsi"/>
        </w:rPr>
        <w:t>tion through the MEM if the dispute is found to qualify.  In the CCWG Proposal, the decisions of the Sole Member are under the direction of SOs and ACs.  Once the Sole Member acts (and it can only act as directed), director selection and removal are effect</w:t>
      </w:r>
      <w:r>
        <w:rPr>
          <w:rFonts w:asciiTheme="minorHAnsi" w:hAnsiTheme="minorHAnsi" w:cstheme="minorHAnsi"/>
        </w:rPr>
        <w:t xml:space="preserve">uated.  If the Board resisted in any way, the Sole Member, again acting as directed by the consensus of SOs and ACs, could go directly to court for declaratory relief regarding the composition of the Board.  </w:t>
      </w:r>
    </w:p>
    <w:p w:rsidR="000E2F90" w:rsidRDefault="00A11211">
      <w:pPr>
        <w:pStyle w:val="ListParagraph"/>
        <w:rPr>
          <w:rFonts w:asciiTheme="minorHAnsi" w:hAnsiTheme="minorHAnsi" w:cstheme="minorHAnsi"/>
        </w:rPr>
      </w:pPr>
      <w:r>
        <w:rPr>
          <w:rFonts w:asciiTheme="minorHAnsi" w:hAnsiTheme="minorHAnsi" w:cstheme="minorHAnsi"/>
        </w:rPr>
        <w:t xml:space="preserve">Because the Board Proposal does not change the </w:t>
      </w:r>
      <w:r>
        <w:rPr>
          <w:rFonts w:asciiTheme="minorHAnsi" w:hAnsiTheme="minorHAnsi" w:cstheme="minorHAnsi"/>
        </w:rPr>
        <w:t xml:space="preserve">existing processes for selecting directors, it does not clarify whether some or all the SOs and ACs and other stakeholders that select directors (directly or through the Nominating Committee) are “designators” with the rights of designators provided under </w:t>
      </w:r>
      <w:r>
        <w:rPr>
          <w:rFonts w:asciiTheme="minorHAnsi" w:hAnsiTheme="minorHAnsi" w:cstheme="minorHAnsi"/>
        </w:rPr>
        <w:t>California law.  (Note that there is legal uncertainty as to whether or not ACs and SOs currently have a legal right to select directors sufficient that California law would deem them to be designators with automatic rights to remove the directors they hav</w:t>
      </w:r>
      <w:r>
        <w:rPr>
          <w:rFonts w:asciiTheme="minorHAnsi" w:hAnsiTheme="minorHAnsi" w:cstheme="minorHAnsi"/>
        </w:rPr>
        <w:t>e selected with or without cause.) Designators have the right to remove the directors they select without cause.  Without revision to make a clear choice among the governance options that are available under the corporate law, both the current regime and t</w:t>
      </w:r>
      <w:r>
        <w:rPr>
          <w:rFonts w:asciiTheme="minorHAnsi" w:hAnsiTheme="minorHAnsi" w:cstheme="minorHAnsi"/>
        </w:rPr>
        <w:t>he Board Proposal present uncertainty and are therefore vulnerable to potentially destabilizing challenges going forward.</w:t>
      </w:r>
    </w:p>
    <w:p w:rsidR="000E2F90" w:rsidRDefault="00A11211">
      <w:pPr>
        <w:pStyle w:val="ListParagraph"/>
        <w:rPr>
          <w:rFonts w:asciiTheme="minorHAnsi" w:hAnsiTheme="minorHAnsi" w:cstheme="minorHAnsi"/>
        </w:rPr>
      </w:pPr>
      <w:r>
        <w:rPr>
          <w:rFonts w:asciiTheme="minorHAnsi" w:hAnsiTheme="minorHAnsi" w:cstheme="minorHAnsi"/>
        </w:rPr>
        <w:t>It is unclear whether binding arbitration would be available to challenge a failure by the Board to follow the appointment and removal procedure.  If the provisions for appointment and removal of directors were embedded in Fundamental Bylaws, then it appea</w:t>
      </w:r>
      <w:r>
        <w:rPr>
          <w:rFonts w:asciiTheme="minorHAnsi" w:hAnsiTheme="minorHAnsi" w:cstheme="minorHAnsi"/>
        </w:rPr>
        <w:t xml:space="preserve">rs that the MEM process would be available.   </w:t>
      </w:r>
    </w:p>
    <w:p w:rsidR="000E2F90" w:rsidRDefault="00A11211">
      <w:pPr>
        <w:pStyle w:val="ListParagraph"/>
        <w:rPr>
          <w:rFonts w:asciiTheme="minorHAnsi" w:hAnsiTheme="minorHAnsi" w:cstheme="minorHAnsi"/>
        </w:rPr>
      </w:pPr>
      <w:r>
        <w:rPr>
          <w:rFonts w:asciiTheme="minorHAnsi" w:hAnsiTheme="minorHAnsi" w:cstheme="minorHAnsi"/>
          <w:bCs/>
          <w:color w:val="000000"/>
        </w:rPr>
        <w:t>Note that the CWG-Stewardship final transition proposal requires that t</w:t>
      </w:r>
      <w:r>
        <w:rPr>
          <w:rFonts w:asciiTheme="minorHAnsi" w:hAnsiTheme="minorHAnsi" w:cstheme="minorHAnsi"/>
          <w:color w:val="000000"/>
        </w:rPr>
        <w:t>he ICANN multistakeholder community have the ability to appoint and remove members of the ICANN Board.</w:t>
      </w:r>
    </w:p>
    <w:p w:rsidR="000E2F90" w:rsidRDefault="00A11211">
      <w:pPr>
        <w:pStyle w:val="ListParagraph"/>
        <w:keepNext/>
        <w:numPr>
          <w:ilvl w:val="0"/>
          <w:numId w:val="29"/>
        </w:numPr>
        <w:ind w:left="720" w:hanging="630"/>
        <w:rPr>
          <w:rFonts w:asciiTheme="minorHAnsi" w:hAnsiTheme="minorHAnsi" w:cstheme="minorHAnsi"/>
          <w:b/>
        </w:rPr>
      </w:pPr>
      <w:r>
        <w:rPr>
          <w:rFonts w:asciiTheme="minorHAnsi" w:hAnsiTheme="minorHAnsi" w:cstheme="minorHAnsi"/>
          <w:b/>
        </w:rPr>
        <w:lastRenderedPageBreak/>
        <w:t>Recall of Entire Board (Section 7.4</w:t>
      </w:r>
      <w:r>
        <w:rPr>
          <w:rFonts w:asciiTheme="minorHAnsi" w:hAnsiTheme="minorHAnsi" w:cstheme="minorHAnsi"/>
          <w:b/>
        </w:rPr>
        <w:t>)</w:t>
      </w:r>
    </w:p>
    <w:p w:rsidR="000E2F90" w:rsidRDefault="00A11211">
      <w:pPr>
        <w:pStyle w:val="ListParagraph"/>
        <w:keepNext/>
        <w:spacing w:after="220"/>
        <w:rPr>
          <w:rFonts w:asciiTheme="minorHAnsi" w:hAnsiTheme="minorHAnsi" w:cstheme="minorHAnsi"/>
        </w:rPr>
      </w:pPr>
      <w:r>
        <w:rPr>
          <w:rFonts w:asciiTheme="minorHAnsi" w:hAnsiTheme="minorHAnsi" w:cstheme="minorHAnsi"/>
        </w:rPr>
        <w:t>Unlike the carefully designed process in the CCWG Proposal to permit the Sole Member upon a high level of community consensus to recall the entire Board, the Board Proposal does not address in detail full Board recall as a separate concept.  Under the Bo</w:t>
      </w:r>
      <w:r>
        <w:rPr>
          <w:rFonts w:asciiTheme="minorHAnsi" w:hAnsiTheme="minorHAnsi" w:cstheme="minorHAnsi"/>
        </w:rPr>
        <w:t>ard Proposal, a recall of the full Board is essentially the simultaneous individual removal of all the directors (other than the President).  Under the Board proposal, the community could effect the removal of the full Board by following the general proces</w:t>
      </w:r>
      <w:r>
        <w:rPr>
          <w:rFonts w:asciiTheme="minorHAnsi" w:hAnsiTheme="minorHAnsi" w:cstheme="minorHAnsi"/>
        </w:rPr>
        <w:t>s for director removal, but a more rigorous threshold would apply for the level of necessary consensus for removal of a certain number—8 or more—directors.</w:t>
      </w:r>
    </w:p>
    <w:p w:rsidR="000E2F90" w:rsidRDefault="00A11211">
      <w:pPr>
        <w:pStyle w:val="ListParagraph"/>
        <w:keepNext/>
        <w:spacing w:after="220"/>
        <w:rPr>
          <w:rFonts w:asciiTheme="minorHAnsi" w:hAnsiTheme="minorHAnsi" w:cstheme="minorHAnsi"/>
        </w:rPr>
      </w:pPr>
      <w:r>
        <w:rPr>
          <w:rFonts w:asciiTheme="minorHAnsi" w:hAnsiTheme="minorHAnsi" w:cstheme="minorHAnsi"/>
        </w:rPr>
        <w:t>Like the CCWG proposal, under the Board proposal the President would not be part of full Board recal</w:t>
      </w:r>
      <w:r>
        <w:rPr>
          <w:rFonts w:asciiTheme="minorHAnsi" w:hAnsiTheme="minorHAnsi" w:cstheme="minorHAnsi"/>
        </w:rPr>
        <w:t xml:space="preserve">l.  The limitations on reasons for removal that apply to individual director removal would continue to apply to full Board recall. </w:t>
      </w:r>
    </w:p>
    <w:p w:rsidR="000E2F90" w:rsidRDefault="00A11211">
      <w:pPr>
        <w:pStyle w:val="ListParagraph"/>
        <w:keepNext/>
        <w:rPr>
          <w:rFonts w:asciiTheme="minorHAnsi" w:hAnsiTheme="minorHAnsi" w:cstheme="minorHAnsi"/>
        </w:rPr>
      </w:pPr>
      <w:r>
        <w:rPr>
          <w:rFonts w:asciiTheme="minorHAnsi" w:hAnsiTheme="minorHAnsi" w:cstheme="minorHAnsi"/>
        </w:rPr>
        <w:t>It is unclear whether binding arbitration would be available to challenge a failure by the Board to follow the appointment a</w:t>
      </w:r>
      <w:r>
        <w:rPr>
          <w:rFonts w:asciiTheme="minorHAnsi" w:hAnsiTheme="minorHAnsi" w:cstheme="minorHAnsi"/>
        </w:rPr>
        <w:t xml:space="preserve">nd removal procedure.  If the provisions for appointment and removal of directors were embedded in Fundamental Bylaws, then it appears that the MEM process would be available. </w:t>
      </w:r>
    </w:p>
    <w:p w:rsidR="000E2F90" w:rsidRDefault="00A11211">
      <w:pPr>
        <w:pStyle w:val="ListParagraph"/>
        <w:keepNext/>
        <w:spacing w:after="220"/>
        <w:rPr>
          <w:rFonts w:asciiTheme="minorHAnsi" w:hAnsiTheme="minorHAnsi" w:cstheme="minorHAnsi"/>
        </w:rPr>
      </w:pPr>
      <w:r>
        <w:rPr>
          <w:rFonts w:asciiTheme="minorHAnsi" w:hAnsiTheme="minorHAnsi" w:cstheme="minorHAnsi"/>
          <w:bCs/>
          <w:color w:val="000000"/>
        </w:rPr>
        <w:t>Note that the CWG-Stewardship final transition proposal requires that t</w:t>
      </w:r>
      <w:r>
        <w:rPr>
          <w:rFonts w:asciiTheme="minorHAnsi" w:hAnsiTheme="minorHAnsi" w:cstheme="minorHAnsi"/>
          <w:color w:val="000000"/>
        </w:rPr>
        <w:t>he ICANN</w:t>
      </w:r>
      <w:r>
        <w:rPr>
          <w:rFonts w:asciiTheme="minorHAnsi" w:hAnsiTheme="minorHAnsi" w:cstheme="minorHAnsi"/>
          <w:color w:val="000000"/>
        </w:rPr>
        <w:t xml:space="preserve"> multistakeholder community have the ability to recall the entire ICANN Board.</w:t>
      </w:r>
    </w:p>
    <w:p w:rsidR="000E2F90" w:rsidRDefault="00A11211">
      <w:pPr>
        <w:pStyle w:val="ListParagraph"/>
        <w:numPr>
          <w:ilvl w:val="0"/>
          <w:numId w:val="29"/>
        </w:numPr>
        <w:ind w:left="720" w:hanging="630"/>
        <w:rPr>
          <w:rFonts w:asciiTheme="minorHAnsi" w:hAnsiTheme="minorHAnsi" w:cstheme="minorHAnsi"/>
          <w:b/>
        </w:rPr>
      </w:pPr>
      <w:r>
        <w:rPr>
          <w:rFonts w:asciiTheme="minorHAnsi" w:hAnsiTheme="minorHAnsi" w:cstheme="minorHAnsi"/>
          <w:b/>
        </w:rPr>
        <w:t>Reconsider/Reject Board Decisions Relating to Reviews of the IANA Functions, Including Ability to Trigger a Separation of PTI (Section 6, Paragraph 300)</w:t>
      </w:r>
    </w:p>
    <w:p w:rsidR="000E2F90" w:rsidRDefault="00A11211">
      <w:pPr>
        <w:pStyle w:val="ListParagraph"/>
        <w:spacing w:after="220"/>
        <w:rPr>
          <w:rFonts w:asciiTheme="minorHAnsi" w:hAnsiTheme="minorHAnsi" w:cstheme="minorHAnsi"/>
        </w:rPr>
      </w:pPr>
      <w:r>
        <w:rPr>
          <w:rFonts w:asciiTheme="minorHAnsi" w:hAnsiTheme="minorHAnsi" w:cstheme="minorHAnsi"/>
          <w:bCs/>
          <w:color w:val="000000"/>
        </w:rPr>
        <w:t>Note that the CWG-Stewar</w:t>
      </w:r>
      <w:r>
        <w:rPr>
          <w:rFonts w:asciiTheme="minorHAnsi" w:hAnsiTheme="minorHAnsi" w:cstheme="minorHAnsi"/>
          <w:bCs/>
          <w:color w:val="000000"/>
        </w:rPr>
        <w:t>dship final transition proposal requires that t</w:t>
      </w:r>
      <w:r>
        <w:rPr>
          <w:rFonts w:asciiTheme="minorHAnsi" w:hAnsiTheme="minorHAnsi" w:cstheme="minorHAnsi"/>
          <w:color w:val="000000"/>
        </w:rPr>
        <w:t>he ICANN multistakeholder community have the ability to exercise oversight with respect to key ICANN Board decisions (including with respect to the ICANN Board’s oversight of the IANA functions) by reviewing a</w:t>
      </w:r>
      <w:r>
        <w:rPr>
          <w:rFonts w:asciiTheme="minorHAnsi" w:hAnsiTheme="minorHAnsi" w:cstheme="minorHAnsi"/>
          <w:color w:val="000000"/>
        </w:rPr>
        <w:t>nd approving:</w:t>
      </w:r>
    </w:p>
    <w:p w:rsidR="000E2F90" w:rsidRDefault="00A11211">
      <w:pPr>
        <w:pStyle w:val="ListParagraph"/>
        <w:numPr>
          <w:ilvl w:val="1"/>
          <w:numId w:val="15"/>
        </w:numPr>
        <w:spacing w:after="220"/>
        <w:rPr>
          <w:rFonts w:asciiTheme="minorHAnsi" w:hAnsiTheme="minorHAnsi" w:cstheme="minorHAnsi"/>
        </w:rPr>
      </w:pPr>
      <w:r>
        <w:rPr>
          <w:rFonts w:asciiTheme="minorHAnsi" w:hAnsiTheme="minorHAnsi" w:cstheme="minorHAnsi"/>
          <w:color w:val="000000"/>
        </w:rPr>
        <w:t>ICANN Board decisions with respect to recommendations resulting from an IANA Function Review (IFR) or Special IFR; and</w:t>
      </w:r>
    </w:p>
    <w:p w:rsidR="000E2F90" w:rsidRDefault="00A11211">
      <w:pPr>
        <w:pStyle w:val="ListParagraph"/>
        <w:numPr>
          <w:ilvl w:val="1"/>
          <w:numId w:val="15"/>
        </w:numPr>
        <w:spacing w:after="220"/>
        <w:rPr>
          <w:rFonts w:asciiTheme="minorHAnsi" w:hAnsiTheme="minorHAnsi" w:cstheme="minorHAnsi"/>
        </w:rPr>
      </w:pPr>
      <w:r>
        <w:rPr>
          <w:rFonts w:asciiTheme="minorHAnsi" w:hAnsiTheme="minorHAnsi" w:cstheme="minorHAnsi"/>
          <w:color w:val="000000"/>
        </w:rPr>
        <w:t>ICANN Board decisions with respect to the ICANN and IANA Budgets (discussed in subsection (b), above).</w:t>
      </w:r>
    </w:p>
    <w:p w:rsidR="000E2F90" w:rsidRDefault="00A11211">
      <w:pPr>
        <w:pStyle w:val="ListParagraph"/>
        <w:rPr>
          <w:rFonts w:asciiTheme="minorHAnsi" w:hAnsiTheme="minorHAnsi" w:cstheme="minorHAnsi"/>
        </w:rPr>
      </w:pPr>
      <w:r>
        <w:rPr>
          <w:rFonts w:asciiTheme="minorHAnsi" w:hAnsiTheme="minorHAnsi" w:cstheme="minorHAnsi"/>
        </w:rPr>
        <w:t xml:space="preserve">Under the same </w:t>
      </w:r>
      <w:r>
        <w:rPr>
          <w:rFonts w:asciiTheme="minorHAnsi" w:hAnsiTheme="minorHAnsi" w:cstheme="minorHAnsi"/>
        </w:rPr>
        <w:t>analysis provided in subsection (b), above, absent a member model there is a level of uncertainty arising to doubt that Bylaw provisions providing these rights to the community as represented by the SOs and ACs would be enforceable outside of a member cont</w:t>
      </w:r>
      <w:r>
        <w:rPr>
          <w:rFonts w:asciiTheme="minorHAnsi" w:hAnsiTheme="minorHAnsi" w:cstheme="minorHAnsi"/>
        </w:rPr>
        <w:t>ext.</w:t>
      </w:r>
    </w:p>
    <w:p w:rsidR="000E2F90" w:rsidRDefault="00A11211">
      <w:pPr>
        <w:pStyle w:val="ListParagraph"/>
        <w:rPr>
          <w:rFonts w:asciiTheme="minorHAnsi" w:hAnsiTheme="minorHAnsi" w:cstheme="minorHAnsi"/>
        </w:rPr>
      </w:pPr>
      <w:r>
        <w:rPr>
          <w:rFonts w:asciiTheme="minorHAnsi" w:hAnsiTheme="minorHAnsi" w:cstheme="minorHAnsi"/>
        </w:rPr>
        <w:t>As noted above, the MEM process would not be available to challenge a failure by the Board to follow these procedures.</w:t>
      </w:r>
      <w:r>
        <w:rPr>
          <w:rFonts w:asciiTheme="minorHAnsi" w:hAnsiTheme="minorHAnsi" w:cstheme="minorHAnsi"/>
          <w:color w:val="000000"/>
        </w:rPr>
        <w:t xml:space="preserve"> </w:t>
      </w:r>
      <w:r>
        <w:rPr>
          <w:rFonts w:asciiTheme="minorHAnsi" w:hAnsiTheme="minorHAnsi" w:cstheme="minorHAnsi"/>
        </w:rPr>
        <w:t xml:space="preserve">    </w:t>
      </w:r>
    </w:p>
    <w:p w:rsidR="000E2F90" w:rsidRDefault="00A11211">
      <w:pPr>
        <w:pStyle w:val="ListParagraph"/>
        <w:numPr>
          <w:ilvl w:val="0"/>
          <w:numId w:val="18"/>
        </w:numPr>
        <w:ind w:left="360"/>
        <w:rPr>
          <w:rFonts w:asciiTheme="minorHAnsi" w:hAnsiTheme="minorHAnsi" w:cstheme="minorHAnsi"/>
          <w:b/>
        </w:rPr>
      </w:pPr>
      <w:r>
        <w:rPr>
          <w:rFonts w:asciiTheme="minorHAnsi" w:hAnsiTheme="minorHAnsi" w:cstheme="minorHAnsi"/>
          <w:b/>
        </w:rPr>
        <w:t>Community Enforcement Mechanism</w:t>
      </w:r>
    </w:p>
    <w:p w:rsidR="000E2F90" w:rsidRDefault="00A11211">
      <w:pPr>
        <w:pStyle w:val="ListParagraph"/>
        <w:rPr>
          <w:rFonts w:asciiTheme="minorHAnsi" w:hAnsiTheme="minorHAnsi" w:cstheme="minorHAnsi"/>
        </w:rPr>
      </w:pPr>
      <w:r>
        <w:rPr>
          <w:rFonts w:asciiTheme="minorHAnsi" w:hAnsiTheme="minorHAnsi" w:cstheme="minorHAnsi"/>
        </w:rPr>
        <w:t xml:space="preserve">The CCWG Proposal would use the IRP process and allow it to render binding and </w:t>
      </w:r>
      <w:r>
        <w:rPr>
          <w:rFonts w:asciiTheme="minorHAnsi" w:hAnsiTheme="minorHAnsi" w:cstheme="minorHAnsi"/>
        </w:rPr>
        <w:lastRenderedPageBreak/>
        <w:t>enforceable deci</w:t>
      </w:r>
      <w:r>
        <w:rPr>
          <w:rFonts w:asciiTheme="minorHAnsi" w:hAnsiTheme="minorHAnsi" w:cstheme="minorHAnsi"/>
        </w:rPr>
        <w:t>sions in the form of binding arbitration with respect to disputes regarding violations of ICANN’s Articles of Incorporation and Bylaws (both standard and Fundamental Bylaws).  While individual ACs and SOs could access the IRP process, decisions to go to co</w:t>
      </w:r>
      <w:r>
        <w:rPr>
          <w:rFonts w:asciiTheme="minorHAnsi" w:hAnsiTheme="minorHAnsi" w:cstheme="minorHAnsi"/>
        </w:rPr>
        <w:t>urt to institute enforcement of binding arbitration decisions would be made by community consensus through the CMSM.</w:t>
      </w:r>
    </w:p>
    <w:p w:rsidR="000E2F90" w:rsidRDefault="00A11211">
      <w:pPr>
        <w:pStyle w:val="ListParagraph"/>
        <w:rPr>
          <w:rFonts w:asciiTheme="minorHAnsi" w:hAnsiTheme="minorHAnsi" w:cstheme="minorHAnsi"/>
        </w:rPr>
      </w:pPr>
      <w:r>
        <w:rPr>
          <w:rFonts w:asciiTheme="minorHAnsi" w:hAnsiTheme="minorHAnsi" w:cstheme="minorHAnsi"/>
        </w:rPr>
        <w:t>The Board Proposal recommends creating the separate MEM process (in addition to an IRP process that may or may not be binding) for use by t</w:t>
      </w:r>
      <w:r>
        <w:rPr>
          <w:rFonts w:asciiTheme="minorHAnsi" w:hAnsiTheme="minorHAnsi" w:cstheme="minorHAnsi"/>
        </w:rPr>
        <w:t>he community in seeking review of actions that are alleged by the ACs and SOs to be in violation of the Fundamental Bylaws (but not Articles or standard Bylaws).  To the extent that community powers are included in Fundamental Bylaws, the MEM would be avai</w:t>
      </w:r>
      <w:r>
        <w:rPr>
          <w:rFonts w:asciiTheme="minorHAnsi" w:hAnsiTheme="minorHAnsi" w:cstheme="minorHAnsi"/>
        </w:rPr>
        <w:t xml:space="preserve">lable for enforcement of community powers.  However, as detailed above it is clear under the Board Proposal that some community powers will not be subject to MEM binding arbitration.    </w:t>
      </w:r>
    </w:p>
    <w:p w:rsidR="000E2F90" w:rsidRDefault="00A11211">
      <w:pPr>
        <w:pStyle w:val="BodyTextFirstIndent"/>
        <w:numPr>
          <w:ilvl w:val="0"/>
          <w:numId w:val="14"/>
        </w:numPr>
        <w:rPr>
          <w:rFonts w:asciiTheme="minorHAnsi" w:hAnsiTheme="minorHAnsi" w:cstheme="minorHAnsi"/>
        </w:rPr>
      </w:pPr>
      <w:r>
        <w:rPr>
          <w:rFonts w:asciiTheme="minorHAnsi" w:hAnsiTheme="minorHAnsi" w:cstheme="minorHAnsi"/>
        </w:rPr>
        <w:t xml:space="preserve">The MEM proposed by the Board is similar to the IRP process proposed </w:t>
      </w:r>
      <w:r>
        <w:rPr>
          <w:rFonts w:asciiTheme="minorHAnsi" w:hAnsiTheme="minorHAnsi" w:cstheme="minorHAnsi"/>
        </w:rPr>
        <w:t xml:space="preserve">by CCWG, although the CCWG IRP would be available for a broader set of issues given that it is not limited to enforcement of Fundamental Bylaws.  </w:t>
      </w:r>
    </w:p>
    <w:p w:rsidR="000E2F90" w:rsidRDefault="00A11211">
      <w:pPr>
        <w:pStyle w:val="BodyTextFirstIndent"/>
        <w:numPr>
          <w:ilvl w:val="1"/>
          <w:numId w:val="14"/>
        </w:numPr>
        <w:rPr>
          <w:rFonts w:asciiTheme="minorHAnsi" w:hAnsiTheme="minorHAnsi" w:cstheme="minorHAnsi"/>
        </w:rPr>
      </w:pPr>
      <w:r>
        <w:rPr>
          <w:rFonts w:asciiTheme="minorHAnsi" w:hAnsiTheme="minorHAnsi" w:cstheme="minorHAnsi"/>
        </w:rPr>
        <w:t>Both proposals contemplate that after the failure of internal reconsideration escalation procedures, an arbit</w:t>
      </w:r>
      <w:r>
        <w:rPr>
          <w:rFonts w:asciiTheme="minorHAnsi" w:hAnsiTheme="minorHAnsi" w:cstheme="minorHAnsi"/>
        </w:rPr>
        <w:t>ration process could be invoked to produce a decision that could be enforced in court if necessary.</w:t>
      </w:r>
    </w:p>
    <w:p w:rsidR="000E2F90" w:rsidRDefault="00A11211">
      <w:pPr>
        <w:pStyle w:val="BodyTextFirstIndent"/>
        <w:numPr>
          <w:ilvl w:val="1"/>
          <w:numId w:val="14"/>
        </w:numPr>
        <w:rPr>
          <w:rFonts w:asciiTheme="minorHAnsi" w:hAnsiTheme="minorHAnsi" w:cstheme="minorHAnsi"/>
        </w:rPr>
      </w:pPr>
      <w:r>
        <w:rPr>
          <w:rFonts w:asciiTheme="minorHAnsi" w:hAnsiTheme="minorHAnsi" w:cstheme="minorHAnsi"/>
        </w:rPr>
        <w:t xml:space="preserve">Both the CCWG’s proposed binding IRP and the MEM process would result in a binding arbitration award, which could be enforced in court.  </w:t>
      </w:r>
    </w:p>
    <w:p w:rsidR="000E2F90" w:rsidRDefault="00A11211">
      <w:pPr>
        <w:pStyle w:val="ListParagraph"/>
        <w:rPr>
          <w:rFonts w:asciiTheme="minorHAnsi" w:hAnsiTheme="minorHAnsi" w:cstheme="minorHAnsi"/>
        </w:rPr>
      </w:pPr>
      <w:r>
        <w:rPr>
          <w:rFonts w:asciiTheme="minorHAnsi" w:hAnsiTheme="minorHAnsi" w:cstheme="minorHAnsi"/>
        </w:rPr>
        <w:t>Under the Board Pr</w:t>
      </w:r>
      <w:r>
        <w:rPr>
          <w:rFonts w:asciiTheme="minorHAnsi" w:hAnsiTheme="minorHAnsi" w:cstheme="minorHAnsi"/>
        </w:rPr>
        <w:t xml:space="preserve">oposal, the Sole Member would not be available to either support or enforce community powers or IRP decisions.  In addition to the concerns described above regarding conflict with fiduciary duties of directors for certain community powers outside a member </w:t>
      </w:r>
      <w:r>
        <w:rPr>
          <w:rFonts w:asciiTheme="minorHAnsi" w:hAnsiTheme="minorHAnsi" w:cstheme="minorHAnsi"/>
        </w:rPr>
        <w:t xml:space="preserve">context, there are two components to the Sole Member role in enforcement that the Board Proposal must address absent the Sole Member concept:  </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i/>
        </w:rPr>
        <w:t>Capacity</w:t>
      </w:r>
      <w:r>
        <w:rPr>
          <w:rFonts w:asciiTheme="minorHAnsi" w:hAnsiTheme="minorHAnsi" w:cstheme="minorHAnsi"/>
        </w:rPr>
        <w:t xml:space="preserve"> as a legal person to seek enforcement in the courts; and</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i/>
        </w:rPr>
        <w:t>Standing</w:t>
      </w:r>
      <w:r>
        <w:rPr>
          <w:rFonts w:asciiTheme="minorHAnsi" w:hAnsiTheme="minorHAnsi" w:cstheme="minorHAnsi"/>
        </w:rPr>
        <w:t xml:space="preserve"> to enforce Bylaws.</w:t>
      </w:r>
    </w:p>
    <w:p w:rsidR="000E2F90" w:rsidRDefault="00A11211">
      <w:pPr>
        <w:pStyle w:val="ListParagraph"/>
        <w:rPr>
          <w:rFonts w:asciiTheme="minorHAnsi" w:hAnsiTheme="minorHAnsi" w:cstheme="minorHAnsi"/>
        </w:rPr>
      </w:pPr>
      <w:r>
        <w:rPr>
          <w:rFonts w:asciiTheme="minorHAnsi" w:hAnsiTheme="minorHAnsi" w:cstheme="minorHAnsi"/>
        </w:rPr>
        <w:t>The Board Proposal</w:t>
      </w:r>
      <w:r>
        <w:rPr>
          <w:rFonts w:asciiTheme="minorHAnsi" w:hAnsiTheme="minorHAnsi" w:cstheme="minorHAnsi"/>
        </w:rPr>
        <w:t xml:space="preserve"> addresses capacity to sue by proposing that SOs and ACs collectively form a MEM Issue Group.  If formed as an unincorporated association under California state law it would have the capacity to sue as a legal person</w:t>
      </w:r>
      <w:r>
        <w:rPr>
          <w:rFonts w:asciiTheme="minorHAnsi" w:hAnsiTheme="minorHAnsi" w:cstheme="minorHAnsi"/>
          <w:bCs/>
        </w:rPr>
        <w:t xml:space="preserve">.  </w:t>
      </w:r>
      <w:r>
        <w:rPr>
          <w:rFonts w:asciiTheme="minorHAnsi" w:hAnsiTheme="minorHAnsi" w:cstheme="minorHAnsi"/>
        </w:rPr>
        <w:t>(The Board Proposal also suggests tha</w:t>
      </w:r>
      <w:r>
        <w:rPr>
          <w:rFonts w:asciiTheme="minorHAnsi" w:hAnsiTheme="minorHAnsi" w:cstheme="minorHAnsi"/>
        </w:rPr>
        <w:t>t the necessary legal personhood could be achieved by individual SOs and ACs becoming legal persons or the community forming some other legal person, or the chairs of the SOs and ACs acting as individuals to enforce binding arbitration decisions in court.)</w:t>
      </w:r>
      <w:r>
        <w:rPr>
          <w:rFonts w:asciiTheme="minorHAnsi" w:hAnsiTheme="minorHAnsi" w:cstheme="minorHAnsi"/>
          <w:b/>
        </w:rPr>
        <w:t xml:space="preserve">  </w:t>
      </w:r>
      <w:r>
        <w:rPr>
          <w:rFonts w:asciiTheme="minorHAnsi" w:hAnsiTheme="minorHAnsi" w:cstheme="minorHAnsi"/>
        </w:rPr>
        <w:t>In the CMSM model, the CMSM would be a legal person with the ability to enforce rights.</w:t>
      </w:r>
      <w:r>
        <w:rPr>
          <w:rFonts w:asciiTheme="minorHAnsi" w:hAnsiTheme="minorHAnsi" w:cstheme="minorHAnsi"/>
          <w:b/>
        </w:rPr>
        <w:t xml:space="preserve"> </w:t>
      </w:r>
    </w:p>
    <w:p w:rsidR="000E2F90" w:rsidRDefault="00A11211">
      <w:pPr>
        <w:pStyle w:val="ListParagraph"/>
        <w:rPr>
          <w:rFonts w:asciiTheme="minorHAnsi" w:hAnsiTheme="minorHAnsi" w:cstheme="minorHAnsi"/>
        </w:rPr>
      </w:pPr>
      <w:r>
        <w:rPr>
          <w:rFonts w:asciiTheme="minorHAnsi" w:hAnsiTheme="minorHAnsi" w:cstheme="minorHAnsi"/>
        </w:rPr>
        <w:t xml:space="preserve">Standing to sue will presumably be addressed by setting forth in Bylaws an express right of ACs and SOs through a MEM Issue Group to enforce the Bylaws. </w:t>
      </w:r>
    </w:p>
    <w:p w:rsidR="000E2F90" w:rsidRDefault="00A11211">
      <w:pPr>
        <w:pStyle w:val="ListParagraph"/>
        <w:rPr>
          <w:rFonts w:asciiTheme="minorHAnsi" w:hAnsiTheme="minorHAnsi" w:cstheme="minorHAnsi"/>
        </w:rPr>
      </w:pPr>
      <w:r>
        <w:rPr>
          <w:rFonts w:asciiTheme="minorHAnsi" w:hAnsiTheme="minorHAnsi" w:cstheme="minorHAnsi"/>
        </w:rPr>
        <w:t>Note</w:t>
      </w:r>
      <w:r>
        <w:rPr>
          <w:rFonts w:asciiTheme="minorHAnsi" w:hAnsiTheme="minorHAnsi" w:cstheme="minorHAnsi"/>
          <w:b/>
        </w:rPr>
        <w:t xml:space="preserve"> </w:t>
      </w:r>
      <w:r>
        <w:rPr>
          <w:rFonts w:asciiTheme="minorHAnsi" w:hAnsiTheme="minorHAnsi" w:cstheme="minorHAnsi"/>
        </w:rPr>
        <w:t>that l</w:t>
      </w:r>
      <w:r>
        <w:rPr>
          <w:rFonts w:asciiTheme="minorHAnsi" w:hAnsiTheme="minorHAnsi" w:cstheme="minorHAnsi"/>
        </w:rPr>
        <w:t xml:space="preserve">egal counsel for ICANN and for CCWG have not identified any significant legal disagreements regarding the requirements of standing and capacity to sue (legal </w:t>
      </w:r>
      <w:r>
        <w:rPr>
          <w:rFonts w:asciiTheme="minorHAnsi" w:hAnsiTheme="minorHAnsi" w:cstheme="minorHAnsi"/>
        </w:rPr>
        <w:lastRenderedPageBreak/>
        <w:t xml:space="preserve">personhood) for enforcement of binding arbitration awards.  </w:t>
      </w:r>
    </w:p>
    <w:p w:rsidR="000E2F90" w:rsidRDefault="00A11211">
      <w:pPr>
        <w:pStyle w:val="ListParagraph"/>
        <w:numPr>
          <w:ilvl w:val="0"/>
          <w:numId w:val="18"/>
        </w:numPr>
        <w:ind w:left="360"/>
        <w:rPr>
          <w:rFonts w:asciiTheme="minorHAnsi" w:hAnsiTheme="minorHAnsi" w:cstheme="minorHAnsi"/>
          <w:b/>
        </w:rPr>
      </w:pPr>
      <w:r>
        <w:rPr>
          <w:rFonts w:asciiTheme="minorHAnsi" w:hAnsiTheme="minorHAnsi" w:cstheme="minorHAnsi"/>
          <w:b/>
        </w:rPr>
        <w:t>Community Decision-making for Exercis</w:t>
      </w:r>
      <w:r>
        <w:rPr>
          <w:rFonts w:asciiTheme="minorHAnsi" w:hAnsiTheme="minorHAnsi" w:cstheme="minorHAnsi"/>
          <w:b/>
        </w:rPr>
        <w:t>e of Powers </w:t>
      </w:r>
    </w:p>
    <w:p w:rsidR="000E2F90" w:rsidRDefault="00A11211">
      <w:pPr>
        <w:pStyle w:val="ListParagraph"/>
        <w:rPr>
          <w:rFonts w:asciiTheme="minorHAnsi" w:hAnsiTheme="minorHAnsi" w:cstheme="minorHAnsi"/>
        </w:rPr>
      </w:pPr>
      <w:r>
        <w:rPr>
          <w:rFonts w:asciiTheme="minorHAnsi" w:hAnsiTheme="minorHAnsi" w:cstheme="minorHAnsi"/>
        </w:rPr>
        <w:t xml:space="preserve">The Board Proposal voices concern that the CMSM model’s reliance on a voting mechanism could undermine the consensus decision-making model the Board notes is the current norm within ICANN (although we understand that at least some SOs and ACs </w:t>
      </w:r>
      <w:r>
        <w:rPr>
          <w:rFonts w:asciiTheme="minorHAnsi" w:hAnsiTheme="minorHAnsi" w:cstheme="minorHAnsi"/>
        </w:rPr>
        <w:t xml:space="preserve">come to decisions based on majority vote from time to time). </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“The Board does not support the need for a Community Mechanism as a centralized place where the multistakeholder participants are to vote on a decision, nor the need for a Sole Member to act upo</w:t>
      </w:r>
      <w:r>
        <w:rPr>
          <w:rFonts w:asciiTheme="minorHAnsi" w:hAnsiTheme="minorHAnsi" w:cstheme="minorHAnsi"/>
        </w:rPr>
        <w:t xml:space="preserve">n the decision.”  </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“The Board recommends that the threshold to exercise a community power be set based on the existing SO and AC structures.  For example, a decision to exercise the community power could require at least two SOs to support exercising the p</w:t>
      </w:r>
      <w:r>
        <w:rPr>
          <w:rFonts w:asciiTheme="minorHAnsi" w:hAnsiTheme="minorHAnsi" w:cstheme="minorHAnsi"/>
        </w:rPr>
        <w:t>ower, and no more than one AC providing advice against exercising the power.”</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The Board Proposal favors having existing SOs and ACs pass resolutions to register their consent or objection regarding the exercise of decision rights, supported by a Bylaw that</w:t>
      </w:r>
      <w:r>
        <w:rPr>
          <w:rFonts w:asciiTheme="minorHAnsi" w:hAnsiTheme="minorHAnsi" w:cstheme="minorHAnsi"/>
        </w:rPr>
        <w:t xml:space="preserve"> would require the Board to act or refrain from acting if a specified threshold number of SOs or ACs are in agreement.  (It is unclear how much this differs from the concept generally of “voting”.)</w:t>
      </w:r>
    </w:p>
    <w:p w:rsidR="000E2F90" w:rsidRDefault="00A11211">
      <w:pPr>
        <w:pStyle w:val="ListParagraph"/>
        <w:rPr>
          <w:rFonts w:asciiTheme="minorHAnsi" w:hAnsiTheme="minorHAnsi" w:cstheme="minorHAnsi"/>
        </w:rPr>
      </w:pPr>
      <w:r>
        <w:rPr>
          <w:rFonts w:asciiTheme="minorHAnsi" w:hAnsiTheme="minorHAnsi" w:cstheme="minorHAnsi"/>
        </w:rPr>
        <w:t>There is nothing about the Sole Member’s internal structur</w:t>
      </w:r>
      <w:r>
        <w:rPr>
          <w:rFonts w:asciiTheme="minorHAnsi" w:hAnsiTheme="minorHAnsi" w:cstheme="minorHAnsi"/>
        </w:rPr>
        <w:t>e that requires use of a voting mechanism; governance and decision-making within a California unincorporated association is extremely flexible.  The Sole Member’s internal voting process could be replaced with the same approach to community decisions as in</w:t>
      </w:r>
      <w:r>
        <w:rPr>
          <w:rFonts w:asciiTheme="minorHAnsi" w:hAnsiTheme="minorHAnsi" w:cstheme="minorHAnsi"/>
        </w:rPr>
        <w:t xml:space="preserve"> the Board Proposal.  This would provide the community with the same powers, and the same level of enforceability, as the CCWG Proposal.</w:t>
      </w:r>
    </w:p>
    <w:p w:rsidR="000E2F90" w:rsidRDefault="00A11211">
      <w:pPr>
        <w:pStyle w:val="ListParagraph"/>
        <w:rPr>
          <w:rFonts w:asciiTheme="minorHAnsi" w:hAnsiTheme="minorHAnsi" w:cstheme="minorHAnsi"/>
        </w:rPr>
      </w:pPr>
      <w:r>
        <w:rPr>
          <w:rFonts w:asciiTheme="minorHAnsi" w:hAnsiTheme="minorHAnsi" w:cstheme="minorHAnsi"/>
        </w:rPr>
        <w:t>Additional clarification of the similarities, and the intent of any material differences, between the CCWG and Board pr</w:t>
      </w:r>
      <w:r>
        <w:rPr>
          <w:rFonts w:asciiTheme="minorHAnsi" w:hAnsiTheme="minorHAnsi" w:cstheme="minorHAnsi"/>
        </w:rPr>
        <w:t xml:space="preserve">oposals with respect to community decision-making may be beneficial in determining whether agreement could be readily achieved.  </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For example, the CCWG Proposal sets out both a consultation and a voting procedure for directing the actions of the Sole Membe</w:t>
      </w:r>
      <w:r>
        <w:rPr>
          <w:rFonts w:asciiTheme="minorHAnsi" w:hAnsiTheme="minorHAnsi" w:cstheme="minorHAnsi"/>
        </w:rPr>
        <w:t>r.  The voting procedure may be perceived by some, including the Board, to reflect a move away from the ICANN community’s tradition of, commitment to and experience with consensus-based decision making. While the CCWG Proposal emphasizes that there is no i</w:t>
      </w:r>
      <w:r>
        <w:rPr>
          <w:rFonts w:asciiTheme="minorHAnsi" w:hAnsiTheme="minorHAnsi" w:cstheme="minorHAnsi"/>
        </w:rPr>
        <w:t>ntent to change how SOs and ACs reach internal consensus, the CCWG may wish to consider whether there is a need to clarify that the community’s consensus-making processes are not intended to be changes and that the “voting” mechanism was meant to provide a</w:t>
      </w:r>
      <w:r>
        <w:rPr>
          <w:rFonts w:asciiTheme="minorHAnsi" w:hAnsiTheme="minorHAnsi" w:cstheme="minorHAnsi"/>
        </w:rPr>
        <w:t xml:space="preserve"> means of assessing the level of consensus.  The Board Proposal seeks a consultative consensus based approach, rather than voting, based on use of existing AC and SO procedures.  </w:t>
      </w:r>
    </w:p>
    <w:p w:rsidR="000E2F90" w:rsidRDefault="00A11211">
      <w:pPr>
        <w:pStyle w:val="ListParagraph"/>
        <w:numPr>
          <w:ilvl w:val="1"/>
          <w:numId w:val="15"/>
        </w:numPr>
        <w:rPr>
          <w:rFonts w:asciiTheme="minorHAnsi" w:hAnsiTheme="minorHAnsi" w:cstheme="minorHAnsi"/>
        </w:rPr>
      </w:pPr>
      <w:r>
        <w:rPr>
          <w:rFonts w:asciiTheme="minorHAnsi" w:hAnsiTheme="minorHAnsi" w:cstheme="minorHAnsi"/>
        </w:rPr>
        <w:t>The Board does not specify what level of agreement between the SOs and ACs i</w:t>
      </w:r>
      <w:r>
        <w:rPr>
          <w:rFonts w:asciiTheme="minorHAnsi" w:hAnsiTheme="minorHAnsi" w:cstheme="minorHAnsi"/>
        </w:rPr>
        <w:t xml:space="preserve">s </w:t>
      </w:r>
      <w:r>
        <w:rPr>
          <w:rFonts w:asciiTheme="minorHAnsi" w:hAnsiTheme="minorHAnsi" w:cstheme="minorHAnsi"/>
        </w:rPr>
        <w:lastRenderedPageBreak/>
        <w:t xml:space="preserve">necessary to constitute a consensus for community action, and we understand that the Board generally would defer to CCWG to determine the appropriate threshold(s) that may apply to particular actions.  (For example, should the Sole Member model survive, </w:t>
      </w:r>
      <w:r>
        <w:rPr>
          <w:rFonts w:asciiTheme="minorHAnsi" w:hAnsiTheme="minorHAnsi" w:cstheme="minorHAnsi"/>
        </w:rPr>
        <w:t>it is contemplated that a very high degree of consensus would be necessary to exercise certain statutory powers).</w:t>
      </w:r>
    </w:p>
    <w:sectPr w:rsidR="000E2F90">
      <w:headerReference w:type="even" r:id="rId8"/>
      <w:headerReference w:type="default" r:id="rId9"/>
      <w:footerReference w:type="even" r:id="rId10"/>
      <w:footerReference w:type="default" r:id="rId11"/>
      <w:headerReference w:type="first" r:id="rId12"/>
      <w:footerReference w:type="first" r:id="rId13"/>
      <w:pgSz w:w="12240" w:h="15840"/>
      <w:pgMar w:top="1368" w:right="1368" w:bottom="1368" w:left="136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90" w:rsidRDefault="00A11211">
      <w:pPr>
        <w:spacing w:after="0"/>
      </w:pPr>
      <w:r>
        <w:separator/>
      </w:r>
    </w:p>
  </w:endnote>
  <w:endnote w:type="continuationSeparator" w:id="0">
    <w:p w:rsidR="000E2F90" w:rsidRDefault="00A11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BB" w:rsidRDefault="00B33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90" w:rsidRPr="00B33DBB" w:rsidRDefault="00A11211">
    <w:pPr>
      <w:widowControl w:val="0"/>
      <w:autoSpaceDE w:val="0"/>
      <w:autoSpaceDN w:val="0"/>
      <w:spacing w:after="0"/>
      <w:jc w:val="center"/>
    </w:pPr>
    <w:r w:rsidRPr="00A11211">
      <w:rPr>
        <w:noProof/>
        <w:sz w:val="16"/>
      </w:rPr>
      <w:t>{00717263.DOCX; 1}</w:t>
    </w:r>
    <w:r w:rsidRPr="00B33DBB">
      <w:fldChar w:fldCharType="begin"/>
    </w:r>
    <w:r w:rsidRPr="00B33DBB">
      <w:instrText xml:space="preserve"> PAGE   \* MERGEFORMAT </w:instrText>
    </w:r>
    <w:r w:rsidRPr="00B33DBB">
      <w:fldChar w:fldCharType="separate"/>
    </w:r>
    <w:r>
      <w:rPr>
        <w:noProof/>
      </w:rPr>
      <w:t>10</w:t>
    </w:r>
    <w:r w:rsidRPr="00B33D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90" w:rsidRPr="00B33DBB" w:rsidRDefault="00A11211">
    <w:pPr>
      <w:widowControl w:val="0"/>
      <w:autoSpaceDE w:val="0"/>
      <w:autoSpaceDN w:val="0"/>
      <w:spacing w:after="0"/>
    </w:pPr>
    <w:r w:rsidRPr="00A11211">
      <w:rPr>
        <w:noProof/>
        <w:sz w:val="16"/>
      </w:rPr>
      <w:t>{00717263.DOCX; 1}</w:t>
    </w:r>
  </w:p>
  <w:p w:rsidR="000E2F90" w:rsidRPr="00B33DBB" w:rsidRDefault="00A11211">
    <w:pPr>
      <w:pStyle w:val="Footer"/>
    </w:pPr>
    <w:r w:rsidRPr="00B33DBB">
      <w:fldChar w:fldCharType="begin"/>
    </w:r>
    <w:r w:rsidRPr="00B33DBB">
      <w:instrText xml:space="preserve"> DOCPROPERTY "DocID" \* MERGEFORMAT </w:instrText>
    </w:r>
    <w:r w:rsidRPr="00B33DBB">
      <w:fldChar w:fldCharType="separate"/>
    </w:r>
    <w:r w:rsidRPr="00B33DBB">
      <w:rPr>
        <w:rStyle w:val="DocID"/>
      </w:rPr>
      <w:t>ACTIVE 210150807v.6</w:t>
    </w:r>
    <w:r w:rsidRPr="00B33D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90" w:rsidRDefault="00A11211">
      <w:pPr>
        <w:spacing w:after="0"/>
        <w:rPr>
          <w:noProof/>
        </w:rPr>
      </w:pPr>
      <w:r>
        <w:rPr>
          <w:noProof/>
        </w:rPr>
        <w:separator/>
      </w:r>
    </w:p>
  </w:footnote>
  <w:footnote w:type="continuationSeparator" w:id="0">
    <w:p w:rsidR="000E2F90" w:rsidRDefault="00A112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BB" w:rsidRDefault="00B33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90" w:rsidRDefault="000E2F90">
    <w:pPr>
      <w:widowControl w:val="0"/>
      <w:autoSpaceDE w:val="0"/>
      <w:autoSpaceDN w:val="0"/>
      <w:spacing w:after="0"/>
    </w:pPr>
  </w:p>
  <w:p w:rsidR="000E2F90" w:rsidRDefault="000E2F90">
    <w:pPr>
      <w:widowControl w:val="0"/>
      <w:autoSpaceDE w:val="0"/>
      <w:autoSpaceDN w:val="0"/>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90" w:rsidRDefault="00A11211">
    <w:pPr>
      <w:pStyle w:val="Header"/>
    </w:pPr>
    <w:r>
      <w:rPr>
        <w:noProof/>
      </w:rPr>
      <w:drawing>
        <wp:inline distT="0" distB="0" distL="0" distR="0">
          <wp:extent cx="1600200" cy="44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AAB02"/>
    <w:lvl w:ilvl="0">
      <w:start w:val="1"/>
      <w:numFmt w:val="decimal"/>
      <w:pStyle w:val="ListNumber5"/>
      <w:lvlText w:val="%1."/>
      <w:lvlJc w:val="left"/>
      <w:pPr>
        <w:tabs>
          <w:tab w:val="left" w:pos="1800"/>
        </w:tabs>
        <w:ind w:left="1800" w:hanging="360"/>
      </w:pPr>
      <w:rPr>
        <w:strike w:val="0"/>
        <w:dstrike w:val="0"/>
      </w:rPr>
    </w:lvl>
  </w:abstractNum>
  <w:abstractNum w:abstractNumId="1">
    <w:nsid w:val="FFFFFF7D"/>
    <w:multiLevelType w:val="singleLevel"/>
    <w:tmpl w:val="93BC0770"/>
    <w:lvl w:ilvl="0">
      <w:start w:val="1"/>
      <w:numFmt w:val="decimal"/>
      <w:pStyle w:val="ListNumber4"/>
      <w:lvlText w:val="%1."/>
      <w:lvlJc w:val="left"/>
      <w:pPr>
        <w:tabs>
          <w:tab w:val="left" w:pos="1440"/>
        </w:tabs>
        <w:ind w:left="1440" w:hanging="360"/>
      </w:pPr>
      <w:rPr>
        <w:strike w:val="0"/>
        <w:dstrike w:val="0"/>
      </w:rPr>
    </w:lvl>
  </w:abstractNum>
  <w:abstractNum w:abstractNumId="2">
    <w:nsid w:val="FFFFFF7E"/>
    <w:multiLevelType w:val="singleLevel"/>
    <w:tmpl w:val="1E6EB126"/>
    <w:lvl w:ilvl="0">
      <w:start w:val="1"/>
      <w:numFmt w:val="decimal"/>
      <w:pStyle w:val="ListNumber3"/>
      <w:lvlText w:val="%1."/>
      <w:lvlJc w:val="left"/>
      <w:pPr>
        <w:tabs>
          <w:tab w:val="left" w:pos="1080"/>
        </w:tabs>
        <w:ind w:left="1080" w:hanging="360"/>
      </w:pPr>
      <w:rPr>
        <w:strike w:val="0"/>
        <w:dstrike w:val="0"/>
      </w:rPr>
    </w:lvl>
  </w:abstractNum>
  <w:abstractNum w:abstractNumId="3">
    <w:nsid w:val="FFFFFF7F"/>
    <w:multiLevelType w:val="singleLevel"/>
    <w:tmpl w:val="D05CE232"/>
    <w:lvl w:ilvl="0">
      <w:start w:val="1"/>
      <w:numFmt w:val="decimal"/>
      <w:pStyle w:val="ListNumber2"/>
      <w:lvlText w:val="%1."/>
      <w:lvlJc w:val="left"/>
      <w:pPr>
        <w:tabs>
          <w:tab w:val="left" w:pos="720"/>
        </w:tabs>
        <w:ind w:left="720" w:hanging="360"/>
      </w:pPr>
      <w:rPr>
        <w:strike w:val="0"/>
        <w:dstrike w:val="0"/>
      </w:rPr>
    </w:lvl>
  </w:abstractNum>
  <w:abstractNum w:abstractNumId="4">
    <w:nsid w:val="FFFFFF80"/>
    <w:multiLevelType w:val="singleLevel"/>
    <w:tmpl w:val="280EEB98"/>
    <w:lvl w:ilvl="0">
      <w:start w:val="1"/>
      <w:numFmt w:val="bullet"/>
      <w:pStyle w:val="ListBullet5"/>
      <w:lvlText w:val=""/>
      <w:lvlJc w:val="left"/>
      <w:pPr>
        <w:tabs>
          <w:tab w:val="left" w:pos="1800"/>
        </w:tabs>
        <w:ind w:left="1800" w:hanging="360"/>
      </w:pPr>
      <w:rPr>
        <w:rFonts w:ascii="Symbol" w:hAnsi="Symbol"/>
        <w:strike w:val="0"/>
        <w:dstrike w:val="0"/>
      </w:rPr>
    </w:lvl>
  </w:abstractNum>
  <w:abstractNum w:abstractNumId="5">
    <w:nsid w:val="FFFFFF81"/>
    <w:multiLevelType w:val="singleLevel"/>
    <w:tmpl w:val="B0900B5C"/>
    <w:lvl w:ilvl="0">
      <w:start w:val="1"/>
      <w:numFmt w:val="bullet"/>
      <w:pStyle w:val="ListBullet4"/>
      <w:lvlText w:val=""/>
      <w:lvlJc w:val="left"/>
      <w:pPr>
        <w:tabs>
          <w:tab w:val="left" w:pos="1440"/>
        </w:tabs>
        <w:ind w:left="1440" w:hanging="360"/>
      </w:pPr>
      <w:rPr>
        <w:rFonts w:ascii="Symbol" w:hAnsi="Symbol"/>
        <w:strike w:val="0"/>
        <w:dstrike w:val="0"/>
      </w:rPr>
    </w:lvl>
  </w:abstractNum>
  <w:abstractNum w:abstractNumId="6">
    <w:nsid w:val="FFFFFF82"/>
    <w:multiLevelType w:val="singleLevel"/>
    <w:tmpl w:val="D6F88444"/>
    <w:lvl w:ilvl="0">
      <w:start w:val="1"/>
      <w:numFmt w:val="bullet"/>
      <w:pStyle w:val="ListBullet3"/>
      <w:lvlText w:val=""/>
      <w:lvlJc w:val="left"/>
      <w:pPr>
        <w:tabs>
          <w:tab w:val="left" w:pos="1080"/>
        </w:tabs>
        <w:ind w:left="1080" w:hanging="360"/>
      </w:pPr>
      <w:rPr>
        <w:rFonts w:ascii="Symbol" w:hAnsi="Symbol"/>
        <w:strike w:val="0"/>
        <w:dstrike w:val="0"/>
      </w:rPr>
    </w:lvl>
  </w:abstractNum>
  <w:abstractNum w:abstractNumId="7">
    <w:nsid w:val="FFFFFF83"/>
    <w:multiLevelType w:val="singleLevel"/>
    <w:tmpl w:val="4C26C40E"/>
    <w:lvl w:ilvl="0">
      <w:start w:val="1"/>
      <w:numFmt w:val="bullet"/>
      <w:pStyle w:val="ListBullet2"/>
      <w:lvlText w:val=""/>
      <w:lvlJc w:val="left"/>
      <w:pPr>
        <w:tabs>
          <w:tab w:val="left" w:pos="720"/>
        </w:tabs>
        <w:ind w:left="720" w:hanging="360"/>
      </w:pPr>
      <w:rPr>
        <w:rFonts w:ascii="Symbol" w:hAnsi="Symbol"/>
        <w:strike w:val="0"/>
        <w:dstrike w:val="0"/>
      </w:rPr>
    </w:lvl>
  </w:abstractNum>
  <w:abstractNum w:abstractNumId="8">
    <w:nsid w:val="FFFFFF88"/>
    <w:multiLevelType w:val="singleLevel"/>
    <w:tmpl w:val="DF6255BE"/>
    <w:lvl w:ilvl="0">
      <w:start w:val="1"/>
      <w:numFmt w:val="decimal"/>
      <w:pStyle w:val="ListNumber"/>
      <w:lvlText w:val="%1."/>
      <w:lvlJc w:val="left"/>
      <w:pPr>
        <w:ind w:left="720" w:hanging="720"/>
      </w:pPr>
      <w:rPr>
        <w:strike w:val="0"/>
        <w:dstrike w:val="0"/>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strike w:val="0"/>
        <w:dstrike w:val="0"/>
        <w:color w:val="auto"/>
      </w:rPr>
    </w:lvl>
  </w:abstractNum>
  <w:abstractNum w:abstractNumId="10">
    <w:nsid w:val="028428D1"/>
    <w:multiLevelType w:val="hybridMultilevel"/>
    <w:tmpl w:val="5A025FA4"/>
    <w:lvl w:ilvl="0" w:tplc="7DF6B9D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18417E"/>
    <w:multiLevelType w:val="hybridMultilevel"/>
    <w:tmpl w:val="6DDC0B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C31956"/>
    <w:multiLevelType w:val="hybridMultilevel"/>
    <w:tmpl w:val="756ACD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AB715F"/>
    <w:multiLevelType w:val="hybridMultilevel"/>
    <w:tmpl w:val="B85AE748"/>
    <w:name w:val="Harvard2"/>
    <w:lvl w:ilvl="0" w:tplc="FFFFFFFF">
      <w:start w:val="1"/>
      <w:numFmt w:val="bullet"/>
      <w:pStyle w:val="Heading4"/>
      <w:lvlText w:val="o"/>
      <w:lvlJc w:val="left"/>
      <w:pPr>
        <w:ind w:left="2160" w:hanging="360"/>
      </w:pPr>
      <w:rPr>
        <w:rFonts w:ascii="Courier New" w:hAnsi="Courier New"/>
        <w:strike w:val="0"/>
        <w:dstrike w:val="0"/>
      </w:rPr>
    </w:lvl>
    <w:lvl w:ilvl="1" w:tplc="FFFFFFFF">
      <w:start w:val="1"/>
      <w:numFmt w:val="lowerLetter"/>
      <w:lvlText w:val="%2."/>
      <w:lvlJc w:val="left"/>
      <w:pPr>
        <w:ind w:left="2880" w:hanging="360"/>
      </w:pPr>
      <w:rPr>
        <w:strike w:val="0"/>
        <w:dstrike w:val="0"/>
      </w:rPr>
    </w:lvl>
    <w:lvl w:ilvl="2" w:tplc="FFFFFFFF">
      <w:start w:val="1"/>
      <w:numFmt w:val="lowerRoman"/>
      <w:lvlText w:val="%3."/>
      <w:lvlJc w:val="right"/>
      <w:pPr>
        <w:ind w:left="3600" w:hanging="180"/>
      </w:pPr>
      <w:rPr>
        <w:strike w:val="0"/>
        <w:dstrike w:val="0"/>
      </w:rPr>
    </w:lvl>
    <w:lvl w:ilvl="3" w:tplc="FFFFFFFF">
      <w:start w:val="1"/>
      <w:numFmt w:val="decimal"/>
      <w:lvlText w:val="%4."/>
      <w:lvlJc w:val="left"/>
      <w:pPr>
        <w:ind w:left="4320" w:hanging="360"/>
      </w:pPr>
      <w:rPr>
        <w:strike w:val="0"/>
        <w:dstrike w:val="0"/>
      </w:rPr>
    </w:lvl>
    <w:lvl w:ilvl="4" w:tplc="FFFFFFFF">
      <w:start w:val="1"/>
      <w:numFmt w:val="lowerLetter"/>
      <w:lvlText w:val="%5."/>
      <w:lvlJc w:val="left"/>
      <w:pPr>
        <w:ind w:left="5040" w:hanging="360"/>
      </w:pPr>
      <w:rPr>
        <w:strike w:val="0"/>
        <w:dstrike w:val="0"/>
      </w:rPr>
    </w:lvl>
    <w:lvl w:ilvl="5" w:tplc="FFFFFFFF">
      <w:start w:val="1"/>
      <w:numFmt w:val="lowerRoman"/>
      <w:lvlText w:val="%6."/>
      <w:lvlJc w:val="right"/>
      <w:pPr>
        <w:ind w:left="5760" w:hanging="180"/>
      </w:pPr>
      <w:rPr>
        <w:strike w:val="0"/>
        <w:dstrike w:val="0"/>
      </w:rPr>
    </w:lvl>
    <w:lvl w:ilvl="6" w:tplc="FFFFFFFF">
      <w:start w:val="1"/>
      <w:numFmt w:val="decimal"/>
      <w:lvlText w:val="%7."/>
      <w:lvlJc w:val="left"/>
      <w:pPr>
        <w:ind w:left="6480" w:hanging="360"/>
      </w:pPr>
      <w:rPr>
        <w:strike w:val="0"/>
        <w:dstrike w:val="0"/>
      </w:rPr>
    </w:lvl>
    <w:lvl w:ilvl="7" w:tplc="FFFFFFFF">
      <w:start w:val="1"/>
      <w:numFmt w:val="lowerLetter"/>
      <w:lvlText w:val="%8."/>
      <w:lvlJc w:val="left"/>
      <w:pPr>
        <w:ind w:left="7200" w:hanging="360"/>
      </w:pPr>
      <w:rPr>
        <w:strike w:val="0"/>
        <w:dstrike w:val="0"/>
      </w:rPr>
    </w:lvl>
    <w:lvl w:ilvl="8" w:tplc="FFFFFFFF">
      <w:start w:val="1"/>
      <w:numFmt w:val="lowerRoman"/>
      <w:lvlText w:val="%9."/>
      <w:lvlJc w:val="right"/>
      <w:pPr>
        <w:ind w:left="7920" w:hanging="180"/>
      </w:pPr>
      <w:rPr>
        <w:strike w:val="0"/>
        <w:dstrike w:val="0"/>
      </w:rPr>
    </w:lvl>
  </w:abstractNum>
  <w:abstractNum w:abstractNumId="14">
    <w:nsid w:val="37A33466"/>
    <w:multiLevelType w:val="hybridMultilevel"/>
    <w:tmpl w:val="C786F976"/>
    <w:lvl w:ilvl="0" w:tplc="C6789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13005"/>
    <w:multiLevelType w:val="multilevel"/>
    <w:tmpl w:val="BC9A070C"/>
    <w:name w:val="Outline - Traditional Harvard"/>
    <w:lvl w:ilvl="0">
      <w:start w:val="1"/>
      <w:numFmt w:val="upperRoman"/>
      <w:lvlText w:val="%1."/>
      <w:lvlJc w:val="left"/>
      <w:pPr>
        <w:tabs>
          <w:tab w:val="left" w:pos="720"/>
        </w:tabs>
        <w:ind w:left="720" w:hanging="720"/>
      </w:pPr>
      <w:rPr>
        <w:caps w:val="0"/>
        <w:strike w:val="0"/>
        <w:dstrike w:val="0"/>
        <w:color w:val="000000"/>
      </w:rPr>
    </w:lvl>
    <w:lvl w:ilvl="1">
      <w:start w:val="1"/>
      <w:numFmt w:val="upperLetter"/>
      <w:lvlText w:val="%2."/>
      <w:lvlJc w:val="left"/>
      <w:pPr>
        <w:tabs>
          <w:tab w:val="left" w:pos="1440"/>
        </w:tabs>
        <w:ind w:left="1440" w:hanging="720"/>
      </w:pPr>
      <w:rPr>
        <w:caps w:val="0"/>
        <w:strike w:val="0"/>
        <w:dstrike w:val="0"/>
        <w:color w:val="000000"/>
      </w:rPr>
    </w:lvl>
    <w:lvl w:ilvl="2">
      <w:start w:val="1"/>
      <w:numFmt w:val="decimal"/>
      <w:lvlText w:val="%3."/>
      <w:lvlJc w:val="left"/>
      <w:pPr>
        <w:tabs>
          <w:tab w:val="left" w:pos="2160"/>
        </w:tabs>
        <w:ind w:left="2160" w:hanging="720"/>
      </w:pPr>
      <w:rPr>
        <w:caps w:val="0"/>
        <w:strike w:val="0"/>
        <w:dstrike w:val="0"/>
        <w:color w:val="000000"/>
      </w:rPr>
    </w:lvl>
    <w:lvl w:ilvl="3">
      <w:start w:val="1"/>
      <w:numFmt w:val="lowerLetter"/>
      <w:lvlText w:val="%4."/>
      <w:lvlJc w:val="left"/>
      <w:pPr>
        <w:tabs>
          <w:tab w:val="left" w:pos="2880"/>
        </w:tabs>
        <w:ind w:left="2880" w:hanging="720"/>
      </w:pPr>
      <w:rPr>
        <w:caps w:val="0"/>
        <w:strike w:val="0"/>
        <w:dstrike w:val="0"/>
        <w:color w:val="000000"/>
      </w:rPr>
    </w:lvl>
    <w:lvl w:ilvl="4">
      <w:start w:val="1"/>
      <w:numFmt w:val="lowerRoman"/>
      <w:lvlText w:val="%5."/>
      <w:lvlJc w:val="left"/>
      <w:pPr>
        <w:tabs>
          <w:tab w:val="left" w:pos="3600"/>
        </w:tabs>
        <w:ind w:left="3600" w:hanging="720"/>
      </w:pPr>
      <w:rPr>
        <w:caps w:val="0"/>
        <w:strike w:val="0"/>
        <w:dstrike w:val="0"/>
        <w:color w:val="000000"/>
      </w:rPr>
    </w:lvl>
    <w:lvl w:ilvl="5">
      <w:start w:val="1"/>
      <w:numFmt w:val="lowerLetter"/>
      <w:lvlText w:val="(%6)"/>
      <w:lvlJc w:val="left"/>
      <w:pPr>
        <w:tabs>
          <w:tab w:val="left" w:pos="4320"/>
        </w:tabs>
        <w:ind w:left="4320" w:hanging="720"/>
      </w:pPr>
      <w:rPr>
        <w:caps w:val="0"/>
        <w:strike w:val="0"/>
        <w:dstrike w:val="0"/>
        <w:color w:val="000000"/>
      </w:rPr>
    </w:lvl>
    <w:lvl w:ilvl="6">
      <w:start w:val="1"/>
      <w:numFmt w:val="decimal"/>
      <w:lvlText w:val="(%7)"/>
      <w:lvlJc w:val="left"/>
      <w:pPr>
        <w:tabs>
          <w:tab w:val="left" w:pos="5040"/>
        </w:tabs>
        <w:ind w:left="5040" w:hanging="720"/>
      </w:pPr>
      <w:rPr>
        <w:caps w:val="0"/>
        <w:strike w:val="0"/>
        <w:dstrike w:val="0"/>
        <w:color w:val="000000"/>
      </w:rPr>
    </w:lvl>
    <w:lvl w:ilvl="7">
      <w:start w:val="1"/>
      <w:numFmt w:val="lowerRoman"/>
      <w:lvlText w:val="%8)"/>
      <w:lvlJc w:val="left"/>
      <w:pPr>
        <w:tabs>
          <w:tab w:val="left" w:pos="5760"/>
        </w:tabs>
        <w:ind w:left="5760" w:hanging="720"/>
      </w:pPr>
      <w:rPr>
        <w:caps w:val="0"/>
        <w:strike w:val="0"/>
        <w:dstrike w:val="0"/>
        <w:color w:val="000000"/>
      </w:rPr>
    </w:lvl>
    <w:lvl w:ilvl="8">
      <w:start w:val="1"/>
      <w:numFmt w:val="lowerLetter"/>
      <w:lvlText w:val="%9)"/>
      <w:lvlJc w:val="left"/>
      <w:pPr>
        <w:tabs>
          <w:tab w:val="left" w:pos="6480"/>
        </w:tabs>
        <w:ind w:left="6480" w:hanging="720"/>
      </w:pPr>
      <w:rPr>
        <w:caps w:val="0"/>
        <w:strike w:val="0"/>
        <w:dstrike w:val="0"/>
        <w:color w:val="000000"/>
      </w:rPr>
    </w:lvl>
  </w:abstractNum>
  <w:abstractNum w:abstractNumId="16">
    <w:nsid w:val="389F6F11"/>
    <w:multiLevelType w:val="hybridMultilevel"/>
    <w:tmpl w:val="57FA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A5FD6"/>
    <w:multiLevelType w:val="hybridMultilevel"/>
    <w:tmpl w:val="368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D5457"/>
    <w:multiLevelType w:val="hybridMultilevel"/>
    <w:tmpl w:val="ECB4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966E95"/>
    <w:multiLevelType w:val="hybridMultilevel"/>
    <w:tmpl w:val="936AD8D2"/>
    <w:lvl w:ilvl="0" w:tplc="FFFFFFFF">
      <w:start w:val="1"/>
      <w:numFmt w:val="decimal"/>
      <w:pStyle w:val="NumberedParagraph"/>
      <w:lvlText w:val="%1."/>
      <w:lvlJc w:val="left"/>
      <w:pPr>
        <w:ind w:left="1770" w:hanging="105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20">
    <w:nsid w:val="548C4B58"/>
    <w:multiLevelType w:val="hybridMultilevel"/>
    <w:tmpl w:val="2726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C6654"/>
    <w:multiLevelType w:val="multilevel"/>
    <w:tmpl w:val="1DE07440"/>
    <w:name w:val="Harvard"/>
    <w:lvl w:ilvl="0">
      <w:start w:val="1"/>
      <w:numFmt w:val="decimal"/>
      <w:pStyle w:val="Heading1"/>
      <w:lvlText w:val="Question %1:"/>
      <w:lvlJc w:val="left"/>
      <w:pPr>
        <w:tabs>
          <w:tab w:val="num" w:pos="720"/>
        </w:tabs>
        <w:ind w:left="0" w:firstLine="0"/>
      </w:pPr>
      <w:rPr>
        <w:rFonts w:hint="default"/>
        <w:b/>
        <w:i w:val="0"/>
        <w:caps w:val="0"/>
        <w:strike w:val="0"/>
        <w:dstrike w:val="0"/>
        <w:color w:val="010000"/>
      </w:rPr>
    </w:lvl>
    <w:lvl w:ilvl="1">
      <w:start w:val="1"/>
      <w:numFmt w:val="none"/>
      <w:lvlText w:val=""/>
      <w:lvlJc w:val="left"/>
      <w:pPr>
        <w:tabs>
          <w:tab w:val="num" w:pos="1440"/>
        </w:tabs>
        <w:ind w:left="720" w:firstLine="0"/>
      </w:pPr>
      <w:rPr>
        <w:rFonts w:hint="default"/>
        <w:b w:val="0"/>
        <w:i w:val="0"/>
        <w:caps w:val="0"/>
        <w:strike w:val="0"/>
        <w:dstrike w:val="0"/>
        <w:color w:val="1F497D"/>
      </w:rPr>
    </w:lvl>
    <w:lvl w:ilvl="2">
      <w:start w:val="1"/>
      <w:numFmt w:val="bullet"/>
      <w:pStyle w:val="Heading3"/>
      <w:lvlText w:val=""/>
      <w:lvlJc w:val="left"/>
      <w:pPr>
        <w:tabs>
          <w:tab w:val="num" w:pos="1440"/>
        </w:tabs>
        <w:ind w:left="1440" w:hanging="720"/>
      </w:pPr>
      <w:rPr>
        <w:rFonts w:ascii="Symbol" w:hAnsi="Symbol" w:hint="default"/>
        <w:b w:val="0"/>
        <w:i w:val="0"/>
        <w:caps w:val="0"/>
        <w:strike w:val="0"/>
        <w:dstrike w:val="0"/>
        <w:color w:val="1F497D"/>
      </w:rPr>
    </w:lvl>
    <w:lvl w:ilvl="3">
      <w:start w:val="1"/>
      <w:numFmt w:val="bullet"/>
      <w:lvlText w:val=""/>
      <w:lvlJc w:val="left"/>
      <w:pPr>
        <w:tabs>
          <w:tab w:val="num" w:pos="2160"/>
        </w:tabs>
        <w:ind w:left="1440" w:firstLine="0"/>
      </w:pPr>
      <w:rPr>
        <w:rFonts w:ascii="Symbol" w:hAnsi="Symbol" w:hint="default"/>
        <w:b w:val="0"/>
        <w:i w:val="0"/>
        <w:caps w:val="0"/>
        <w:strike w:val="0"/>
        <w:dstrike w:val="0"/>
        <w:color w:val="1F497D"/>
      </w:rPr>
    </w:lvl>
    <w:lvl w:ilvl="4">
      <w:start w:val="1"/>
      <w:numFmt w:val="bullet"/>
      <w:pStyle w:val="Heading5"/>
      <w:lvlText w:val=""/>
      <w:lvlJc w:val="left"/>
      <w:pPr>
        <w:tabs>
          <w:tab w:val="num" w:pos="2880"/>
        </w:tabs>
        <w:ind w:left="2160" w:firstLine="0"/>
      </w:pPr>
      <w:rPr>
        <w:rFonts w:ascii="Symbol" w:hAnsi="Symbol" w:hint="default"/>
        <w:b w:val="0"/>
        <w:i w:val="0"/>
        <w:caps w:val="0"/>
        <w:strike w:val="0"/>
        <w:dstrike w:val="0"/>
        <w:color w:val="1F497D"/>
      </w:rPr>
    </w:lvl>
    <w:lvl w:ilvl="5">
      <w:start w:val="1"/>
      <w:numFmt w:val="bullet"/>
      <w:pStyle w:val="Heading6"/>
      <w:lvlText w:val=""/>
      <w:lvlJc w:val="left"/>
      <w:pPr>
        <w:tabs>
          <w:tab w:val="num" w:pos="3600"/>
        </w:tabs>
        <w:ind w:left="2880" w:firstLine="0"/>
      </w:pPr>
      <w:rPr>
        <w:rFonts w:ascii="Symbol" w:hAnsi="Symbol" w:hint="default"/>
        <w:b w:val="0"/>
        <w:i w:val="0"/>
        <w:caps w:val="0"/>
        <w:strike w:val="0"/>
        <w:dstrike w:val="0"/>
        <w:color w:val="1F497D"/>
      </w:rPr>
    </w:lvl>
    <w:lvl w:ilvl="6">
      <w:start w:val="1"/>
      <w:numFmt w:val="decimal"/>
      <w:pStyle w:val="Heading7"/>
      <w:lvlText w:val="(%7)"/>
      <w:lvlJc w:val="left"/>
      <w:pPr>
        <w:tabs>
          <w:tab w:val="num" w:pos="5040"/>
        </w:tabs>
        <w:ind w:left="4320" w:firstLine="0"/>
      </w:pPr>
      <w:rPr>
        <w:rFonts w:hint="default"/>
        <w:b w:val="0"/>
        <w:i w:val="0"/>
        <w:caps w:val="0"/>
        <w:strike w:val="0"/>
        <w:dstrike w:val="0"/>
        <w:color w:val="010000"/>
      </w:rPr>
    </w:lvl>
    <w:lvl w:ilvl="7">
      <w:start w:val="1"/>
      <w:numFmt w:val="lowerRoman"/>
      <w:pStyle w:val="Heading8"/>
      <w:lvlText w:val="%8)"/>
      <w:lvlJc w:val="left"/>
      <w:pPr>
        <w:tabs>
          <w:tab w:val="num" w:pos="5760"/>
        </w:tabs>
        <w:ind w:left="5040" w:firstLine="0"/>
      </w:pPr>
      <w:rPr>
        <w:rFonts w:hint="default"/>
        <w:b w:val="0"/>
        <w:i w:val="0"/>
        <w:caps w:val="0"/>
        <w:strike w:val="0"/>
        <w:dstrike w:val="0"/>
        <w:color w:val="010000"/>
      </w:rPr>
    </w:lvl>
    <w:lvl w:ilvl="8">
      <w:start w:val="1"/>
      <w:numFmt w:val="lowerLetter"/>
      <w:pStyle w:val="Heading9"/>
      <w:lvlText w:val="%9)"/>
      <w:lvlJc w:val="left"/>
      <w:pPr>
        <w:tabs>
          <w:tab w:val="num" w:pos="6480"/>
        </w:tabs>
        <w:ind w:left="5760" w:firstLine="0"/>
      </w:pPr>
      <w:rPr>
        <w:rFonts w:hint="default"/>
        <w:b w:val="0"/>
        <w:i w:val="0"/>
        <w:caps w:val="0"/>
        <w:strike w:val="0"/>
        <w:dstrike w:val="0"/>
        <w:color w:val="01000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19"/>
  </w:num>
  <w:num w:numId="13">
    <w:abstractNumId w:val="13"/>
  </w:num>
  <w:num w:numId="14">
    <w:abstractNumId w:val="17"/>
  </w:num>
  <w:num w:numId="15">
    <w:abstractNumId w:val="10"/>
  </w:num>
  <w:num w:numId="16">
    <w:abstractNumId w:val="20"/>
  </w:num>
  <w:num w:numId="17">
    <w:abstractNumId w:val="18"/>
  </w:num>
  <w:num w:numId="18">
    <w:abstractNumId w:val="16"/>
  </w:num>
  <w:num w:numId="19">
    <w:abstractNumId w:val="10"/>
  </w:num>
  <w:num w:numId="20">
    <w:abstractNumId w:val="10"/>
  </w:num>
  <w:num w:numId="21">
    <w:abstractNumId w:val="10"/>
  </w:num>
  <w:num w:numId="22">
    <w:abstractNumId w:val="14"/>
  </w:num>
  <w:num w:numId="23">
    <w:abstractNumId w:val="10"/>
  </w:num>
  <w:num w:numId="24">
    <w:abstractNumId w:val="10"/>
  </w:num>
  <w:num w:numId="25">
    <w:abstractNumId w:val="10"/>
  </w:num>
  <w:num w:numId="26">
    <w:abstractNumId w:val="10"/>
  </w:num>
  <w:num w:numId="27">
    <w:abstractNumId w:val="10"/>
  </w:num>
  <w:num w:numId="28">
    <w:abstractNumId w:val="11"/>
  </w:num>
  <w:num w:numId="29">
    <w:abstractNumId w:val="12"/>
  </w:num>
  <w:num w:numId="30">
    <w:abstractNumId w:val="10"/>
  </w:num>
  <w:num w:numId="31">
    <w:abstractNumId w:val="10"/>
  </w:num>
  <w:num w:numId="32">
    <w:abstractNumId w:val="10"/>
  </w:num>
  <w:num w:numId="33">
    <w:abstractNumId w:val="10"/>
  </w:num>
  <w:num w:numId="3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rawingGridHorizontalSpacing w:val="120"/>
  <w:displayHorizontalDrawingGridEvery w:val="0"/>
  <w:displayVerticalDrawingGridEvery w:val="3"/>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E2F90"/>
    <w:rsid w:val="000E2F90"/>
    <w:rsid w:val="00817937"/>
    <w:rsid w:val="00A11211"/>
    <w:rsid w:val="00B33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annotation text" w:uiPriority="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adjustRightInd w:val="0"/>
    </w:pPr>
  </w:style>
  <w:style w:type="paragraph" w:styleId="Heading1">
    <w:name w:val="heading 1"/>
    <w:basedOn w:val="Normal"/>
    <w:link w:val="Heading1Char"/>
    <w:uiPriority w:val="9"/>
    <w:qFormat/>
    <w:pPr>
      <w:keepNext/>
      <w:numPr>
        <w:numId w:val="11"/>
      </w:numPr>
      <w:outlineLvl w:val="0"/>
    </w:pPr>
    <w:rPr>
      <w:b/>
      <w:bCs/>
    </w:rPr>
  </w:style>
  <w:style w:type="paragraph" w:styleId="Heading2">
    <w:name w:val="heading 2"/>
    <w:basedOn w:val="Normal"/>
    <w:link w:val="Heading2Char"/>
    <w:uiPriority w:val="9"/>
    <w:qFormat/>
    <w:pPr>
      <w:widowControl w:val="0"/>
      <w:adjustRightInd/>
      <w:outlineLvl w:val="1"/>
    </w:pPr>
    <w:rPr>
      <w:color w:val="1F497D"/>
    </w:rPr>
  </w:style>
  <w:style w:type="paragraph" w:styleId="Heading3">
    <w:name w:val="heading 3"/>
    <w:basedOn w:val="Normal"/>
    <w:link w:val="Heading3Char"/>
    <w:uiPriority w:val="9"/>
    <w:qFormat/>
    <w:pPr>
      <w:numPr>
        <w:ilvl w:val="2"/>
        <w:numId w:val="11"/>
      </w:numPr>
      <w:outlineLvl w:val="2"/>
    </w:pPr>
    <w:rPr>
      <w:color w:val="1F497D"/>
    </w:rPr>
  </w:style>
  <w:style w:type="paragraph" w:styleId="Heading4">
    <w:name w:val="heading 4"/>
    <w:basedOn w:val="Normal"/>
    <w:link w:val="Heading4Char"/>
    <w:uiPriority w:val="9"/>
    <w:qFormat/>
    <w:pPr>
      <w:numPr>
        <w:numId w:val="13"/>
      </w:numPr>
      <w:outlineLvl w:val="3"/>
    </w:pPr>
    <w:rPr>
      <w:color w:val="1F497D"/>
    </w:rPr>
  </w:style>
  <w:style w:type="paragraph" w:styleId="Heading5">
    <w:name w:val="heading 5"/>
    <w:basedOn w:val="Normal"/>
    <w:link w:val="Heading5Char"/>
    <w:uiPriority w:val="9"/>
    <w:semiHidden/>
    <w:qFormat/>
    <w:pPr>
      <w:numPr>
        <w:ilvl w:val="4"/>
        <w:numId w:val="11"/>
      </w:numPr>
      <w:outlineLvl w:val="4"/>
    </w:pPr>
    <w:rPr>
      <w:color w:val="1F497D"/>
    </w:rPr>
  </w:style>
  <w:style w:type="paragraph" w:styleId="Heading6">
    <w:name w:val="heading 6"/>
    <w:basedOn w:val="Normal"/>
    <w:link w:val="Heading6Char"/>
    <w:uiPriority w:val="9"/>
    <w:semiHidden/>
    <w:qFormat/>
    <w:pPr>
      <w:numPr>
        <w:ilvl w:val="5"/>
        <w:numId w:val="11"/>
      </w:numPr>
      <w:outlineLvl w:val="5"/>
    </w:pPr>
  </w:style>
  <w:style w:type="paragraph" w:styleId="Heading7">
    <w:name w:val="heading 7"/>
    <w:basedOn w:val="Normal"/>
    <w:link w:val="Heading7Char"/>
    <w:uiPriority w:val="9"/>
    <w:semiHidden/>
    <w:qFormat/>
    <w:pPr>
      <w:numPr>
        <w:ilvl w:val="6"/>
        <w:numId w:val="11"/>
      </w:numPr>
      <w:outlineLvl w:val="6"/>
    </w:pPr>
  </w:style>
  <w:style w:type="paragraph" w:styleId="Heading8">
    <w:name w:val="heading 8"/>
    <w:basedOn w:val="Normal"/>
    <w:link w:val="Heading8Char"/>
    <w:uiPriority w:val="9"/>
    <w:semiHidden/>
    <w:qFormat/>
    <w:pPr>
      <w:numPr>
        <w:ilvl w:val="7"/>
        <w:numId w:val="11"/>
      </w:numPr>
      <w:outlineLvl w:val="7"/>
    </w:pPr>
  </w:style>
  <w:style w:type="paragraph" w:styleId="Heading9">
    <w:name w:val="heading 9"/>
    <w:basedOn w:val="Normal"/>
    <w:link w:val="Heading9Char"/>
    <w:uiPriority w:val="9"/>
    <w:semiHidden/>
    <w:qFormat/>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rPr>
  </w:style>
  <w:style w:type="character" w:customStyle="1" w:styleId="Heading2Char">
    <w:name w:val="Heading 2 Char"/>
    <w:basedOn w:val="DefaultParagraphFont"/>
    <w:link w:val="Heading2"/>
    <w:uiPriority w:val="9"/>
    <w:rPr>
      <w:color w:val="1F497D"/>
    </w:rPr>
  </w:style>
  <w:style w:type="character" w:customStyle="1" w:styleId="Heading3Char">
    <w:name w:val="Heading 3 Char"/>
    <w:basedOn w:val="DefaultParagraphFont"/>
    <w:link w:val="Heading3"/>
    <w:uiPriority w:val="9"/>
    <w:rPr>
      <w:color w:val="1F497D"/>
    </w:rPr>
  </w:style>
  <w:style w:type="character" w:customStyle="1" w:styleId="Heading4Char">
    <w:name w:val="Heading 4 Char"/>
    <w:basedOn w:val="DefaultParagraphFont"/>
    <w:link w:val="Heading4"/>
    <w:uiPriority w:val="9"/>
    <w:rPr>
      <w:color w:val="1F497D"/>
    </w:rPr>
  </w:style>
  <w:style w:type="character" w:customStyle="1" w:styleId="Heading5Char">
    <w:name w:val="Heading 5 Char"/>
    <w:basedOn w:val="DefaultParagraphFont"/>
    <w:link w:val="Heading5"/>
    <w:uiPriority w:val="9"/>
    <w:semiHidden/>
    <w:rPr>
      <w:color w:val="1F497D"/>
    </w:rPr>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customStyle="1" w:styleId="DocID">
    <w:name w:val="DocID"/>
    <w:basedOn w:val="DefaultParagraphFont"/>
    <w:semiHidden/>
    <w:rPr>
      <w:sz w:val="14"/>
      <w:szCs w:val="14"/>
    </w:r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qFormat/>
    <w:pPr>
      <w:spacing w:after="0" w:line="480" w:lineRule="auto"/>
    </w:pPr>
  </w:style>
  <w:style w:type="character" w:customStyle="1" w:styleId="BodyText2Char">
    <w:name w:val="Body Text 2 Char"/>
    <w:basedOn w:val="DefaultParagraphFont"/>
    <w:link w:val="BodyText2"/>
    <w:uiPriority w:val="99"/>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style>
  <w:style w:type="paragraph" w:styleId="ListBullet">
    <w:name w:val="List Bullet"/>
    <w:basedOn w:val="Normal"/>
    <w:uiPriority w:val="99"/>
    <w:qFormat/>
    <w:pPr>
      <w:numPr>
        <w:numId w:val="1"/>
      </w:numPr>
    </w:pPr>
  </w:style>
  <w:style w:type="paragraph" w:styleId="ListNumber">
    <w:name w:val="List Number"/>
    <w:basedOn w:val="Normal"/>
    <w:uiPriority w:val="99"/>
    <w:qFormat/>
    <w:pPr>
      <w:numPr>
        <w:numId w:val="2"/>
      </w:numPr>
    </w:pPr>
  </w:style>
  <w:style w:type="paragraph" w:styleId="ListContinue">
    <w:name w:val="List Continue"/>
    <w:basedOn w:val="Normal"/>
    <w:uiPriority w:val="99"/>
    <w:qFormat/>
    <w:pPr>
      <w:ind w:left="720"/>
    </w:pPr>
  </w:style>
  <w:style w:type="paragraph" w:styleId="Title">
    <w:name w:val="Title"/>
    <w:basedOn w:val="Normal"/>
    <w:next w:val="BodyTextFirstIndent"/>
    <w:link w:val="TitleChar"/>
    <w:uiPriority w:val="10"/>
    <w:qFormat/>
    <w:pPr>
      <w:keepNext/>
      <w:adjustRightInd/>
    </w:pPr>
    <w:rPr>
      <w:b/>
      <w:u w:val="single"/>
    </w:rPr>
  </w:style>
  <w:style w:type="character" w:customStyle="1" w:styleId="TitleChar">
    <w:name w:val="Title Char"/>
    <w:basedOn w:val="DefaultParagraphFont"/>
    <w:link w:val="Title"/>
    <w:uiPriority w:val="10"/>
    <w:rPr>
      <w:b/>
      <w:u w:val="single"/>
    </w:rPr>
  </w:style>
  <w:style w:type="paragraph" w:customStyle="1" w:styleId="TitleLeft">
    <w:name w:val="Title Left"/>
    <w:basedOn w:val="Normal"/>
    <w:next w:val="BodyTextFirstIndent"/>
    <w:qFormat/>
    <w:pPr>
      <w:keepNext/>
    </w:pPr>
    <w:rPr>
      <w:b/>
      <w:bCs/>
    </w:rPr>
  </w:style>
  <w:style w:type="paragraph" w:styleId="BlockText">
    <w:name w:val="Block Text"/>
    <w:basedOn w:val="Normal"/>
    <w:uiPriority w:val="99"/>
    <w:pPr>
      <w:ind w:left="1440" w:right="1440"/>
    </w:pPr>
  </w:style>
  <w:style w:type="paragraph" w:styleId="TOCHeading">
    <w:name w:val="TOC Heading"/>
    <w:basedOn w:val="Normal"/>
    <w:uiPriority w:val="39"/>
    <w:semiHidden/>
    <w:qFormat/>
    <w:pPr>
      <w:jc w:val="center"/>
    </w:pPr>
    <w:rPr>
      <w:b/>
      <w:bCs/>
    </w:rPr>
  </w:style>
  <w:style w:type="paragraph" w:customStyle="1" w:styleId="TOCPage">
    <w:name w:val="TOC Page"/>
    <w:basedOn w:val="Normal"/>
    <w:semiHidden/>
    <w:pPr>
      <w:jc w:val="right"/>
    </w:pPr>
    <w:rPr>
      <w:b/>
      <w:bCs/>
    </w:rPr>
  </w:style>
  <w:style w:type="paragraph" w:styleId="TOC1">
    <w:name w:val="toc 1"/>
    <w:basedOn w:val="Normal"/>
    <w:next w:val="Normal"/>
    <w:autoRedefine/>
    <w:uiPriority w:val="39"/>
    <w:semiHidden/>
    <w:pPr>
      <w:tabs>
        <w:tab w:val="left" w:pos="720"/>
        <w:tab w:val="right" w:leader="dot" w:pos="9360"/>
      </w:tabs>
      <w:ind w:left="720" w:hanging="720"/>
    </w:pPr>
  </w:style>
  <w:style w:type="paragraph" w:styleId="TOC2">
    <w:name w:val="toc 2"/>
    <w:basedOn w:val="Normal"/>
    <w:next w:val="Normal"/>
    <w:autoRedefine/>
    <w:uiPriority w:val="39"/>
    <w:semiHidden/>
    <w:pPr>
      <w:tabs>
        <w:tab w:val="left" w:pos="1440"/>
        <w:tab w:val="right" w:leader="dot" w:pos="9360"/>
      </w:tabs>
      <w:ind w:left="1440" w:hanging="720"/>
    </w:pPr>
  </w:style>
  <w:style w:type="paragraph" w:styleId="TOC3">
    <w:name w:val="toc 3"/>
    <w:basedOn w:val="Normal"/>
    <w:next w:val="Normal"/>
    <w:autoRedefine/>
    <w:uiPriority w:val="39"/>
    <w:semiHidden/>
    <w:pPr>
      <w:tabs>
        <w:tab w:val="left" w:pos="2160"/>
        <w:tab w:val="right" w:leader="dot" w:pos="9360"/>
      </w:tabs>
      <w:ind w:left="2160" w:hanging="720"/>
    </w:pPr>
  </w:style>
  <w:style w:type="paragraph" w:styleId="TOC4">
    <w:name w:val="toc 4"/>
    <w:basedOn w:val="Normal"/>
    <w:next w:val="Normal"/>
    <w:autoRedefine/>
    <w:uiPriority w:val="39"/>
    <w:semiHidden/>
    <w:pPr>
      <w:tabs>
        <w:tab w:val="left" w:pos="2880"/>
        <w:tab w:val="right" w:leader="dot" w:pos="9360"/>
      </w:tabs>
      <w:ind w:left="2880" w:hanging="720"/>
    </w:pPr>
  </w:style>
  <w:style w:type="paragraph" w:styleId="TOC5">
    <w:name w:val="toc 5"/>
    <w:basedOn w:val="Normal"/>
    <w:next w:val="Normal"/>
    <w:autoRedefine/>
    <w:uiPriority w:val="39"/>
    <w:semiHidden/>
    <w:pPr>
      <w:tabs>
        <w:tab w:val="left" w:pos="3600"/>
        <w:tab w:val="right" w:leader="dot" w:pos="9360"/>
      </w:tabs>
      <w:ind w:left="3600" w:hanging="720"/>
    </w:pPr>
  </w:style>
  <w:style w:type="paragraph" w:styleId="TOC6">
    <w:name w:val="toc 6"/>
    <w:basedOn w:val="Normal"/>
    <w:next w:val="Normal"/>
    <w:autoRedefine/>
    <w:uiPriority w:val="39"/>
    <w:semiHidden/>
    <w:pPr>
      <w:tabs>
        <w:tab w:val="left" w:pos="4320"/>
        <w:tab w:val="right" w:leader="dot" w:pos="9360"/>
      </w:tabs>
      <w:ind w:left="4320" w:hanging="720"/>
    </w:pPr>
  </w:style>
  <w:style w:type="paragraph" w:styleId="TOC7">
    <w:name w:val="toc 7"/>
    <w:basedOn w:val="Normal"/>
    <w:next w:val="Normal"/>
    <w:autoRedefine/>
    <w:uiPriority w:val="39"/>
    <w:semiHidden/>
    <w:pPr>
      <w:tabs>
        <w:tab w:val="left" w:pos="5040"/>
        <w:tab w:val="right" w:leader="dot" w:pos="9360"/>
      </w:tabs>
      <w:ind w:left="5040" w:hanging="720"/>
    </w:pPr>
  </w:style>
  <w:style w:type="paragraph" w:styleId="TOC8">
    <w:name w:val="toc 8"/>
    <w:basedOn w:val="Normal"/>
    <w:next w:val="Normal"/>
    <w:autoRedefine/>
    <w:uiPriority w:val="39"/>
    <w:semiHidden/>
    <w:pPr>
      <w:tabs>
        <w:tab w:val="left" w:pos="5760"/>
        <w:tab w:val="right" w:leader="dot" w:pos="9360"/>
      </w:tabs>
      <w:ind w:left="5760" w:hanging="720"/>
    </w:pPr>
  </w:style>
  <w:style w:type="paragraph" w:styleId="TOC9">
    <w:name w:val="toc 9"/>
    <w:basedOn w:val="Normal"/>
    <w:next w:val="Normal"/>
    <w:autoRedefine/>
    <w:uiPriority w:val="39"/>
    <w:semiHidden/>
    <w:pPr>
      <w:tabs>
        <w:tab w:val="left" w:pos="5760"/>
        <w:tab w:val="right" w:leader="dot" w:pos="9360"/>
      </w:tabs>
      <w:ind w:left="5760" w:hanging="720"/>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paragraph" w:styleId="TableofFigures">
    <w:name w:val="table of figures"/>
    <w:basedOn w:val="Normal"/>
    <w:next w:val="Normal"/>
    <w:uiPriority w:val="99"/>
    <w:semiHidden/>
  </w:style>
  <w:style w:type="character" w:styleId="FootnoteReference">
    <w:name w:val="footnote reference"/>
    <w:basedOn w:val="DefaultParagraphFont"/>
    <w:uiPriority w:val="99"/>
    <w:semiHidden/>
    <w:rPr>
      <w:vertAlign w:val="superscript"/>
    </w:rPr>
  </w:style>
  <w:style w:type="paragraph" w:styleId="TableofAuthorities">
    <w:name w:val="table of authorities"/>
    <w:basedOn w:val="Normal"/>
    <w:next w:val="Normal"/>
    <w:uiPriority w:val="99"/>
    <w:semiHidden/>
    <w:pPr>
      <w:ind w:left="240" w:hanging="240"/>
    </w:pPr>
  </w:style>
  <w:style w:type="paragraph" w:styleId="TOAHeading">
    <w:name w:val="toa heading"/>
    <w:basedOn w:val="Normal"/>
    <w:next w:val="Normal"/>
    <w:uiPriority w:val="99"/>
    <w:semiHidden/>
    <w:pPr>
      <w:spacing w:before="120"/>
    </w:pPr>
    <w:rPr>
      <w:b/>
      <w:bCs/>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NoSpacing">
    <w:name w:val="No Spacing"/>
    <w:uiPriority w:val="1"/>
    <w:qFormat/>
    <w:pPr>
      <w:adjustRightInd w:val="0"/>
      <w:spacing w:after="0"/>
    </w:p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uiPriority w:val="99"/>
    <w:qFormat/>
    <w:pPr>
      <w:spacing w:after="0" w:line="480" w:lineRule="auto"/>
      <w:ind w:firstLine="720"/>
    </w:pPr>
  </w:style>
  <w:style w:type="character" w:customStyle="1" w:styleId="BodyTextFirstIndent2Char">
    <w:name w:val="Body Text First Indent 2 Char"/>
    <w:basedOn w:val="BodyTextIndentChar"/>
    <w:link w:val="BodyTextFirstIndent2"/>
    <w:uiPriority w:val="99"/>
  </w:style>
  <w:style w:type="paragraph" w:styleId="BalloonText">
    <w:name w:val="Balloon Text"/>
    <w:basedOn w:val="Normal"/>
    <w:link w:val="BalloonTextChar"/>
    <w:uiPriority w:val="99"/>
    <w:semiHidden/>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ibliography">
    <w:name w:val="Bibliography"/>
    <w:basedOn w:val="Normal"/>
    <w:next w:val="Normal"/>
    <w:uiPriority w:val="37"/>
    <w:semiHidden/>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qFormat/>
    <w:pPr>
      <w:spacing w:after="200"/>
    </w:pPr>
    <w:rPr>
      <w:b/>
      <w:bCs/>
      <w:color w:val="4F81BD"/>
      <w:sz w:val="18"/>
      <w:szCs w:val="18"/>
    </w:rPr>
  </w:style>
  <w:style w:type="paragraph" w:styleId="Closing">
    <w:name w:val="Closing"/>
    <w:basedOn w:val="Normal"/>
    <w:link w:val="ClosingChar"/>
    <w:uiPriority w:val="99"/>
    <w:semiHidden/>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spacing w:after="0"/>
      <w:ind w:left="2880"/>
    </w:pPr>
  </w:style>
  <w:style w:type="paragraph" w:styleId="EnvelopeReturn">
    <w:name w:val="envelope return"/>
    <w:basedOn w:val="Normal"/>
    <w:uiPriority w:val="99"/>
    <w:semiHidden/>
    <w:pPr>
      <w:spacing w:after="0"/>
    </w:pPr>
    <w:rPr>
      <w:sz w:val="20"/>
      <w:szCs w:val="20"/>
    </w:rPr>
  </w:style>
  <w:style w:type="character" w:styleId="FollowedHyperlink">
    <w:name w:val="FollowedHyperlink"/>
    <w:basedOn w:val="DefaultParagraphFont"/>
    <w:uiPriority w:val="99"/>
    <w:semiHidden/>
    <w:rPr>
      <w:color w:val="800080"/>
      <w:u w:val="single"/>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sz w:val="20"/>
      <w:szCs w:val="20"/>
    </w:rPr>
  </w:style>
  <w:style w:type="character" w:styleId="HTMLSample">
    <w:name w:val="HTML Sample"/>
    <w:basedOn w:val="DefaultParagraphFont"/>
    <w:uiPriority w:val="99"/>
    <w:semiHidden/>
  </w:style>
  <w:style w:type="character" w:styleId="HTMLTypewriter">
    <w:name w:val="HTML Typewriter"/>
    <w:basedOn w:val="DefaultParagraphFont"/>
    <w:uiPriority w:val="99"/>
    <w:semiHidden/>
    <w:rPr>
      <w:sz w:val="20"/>
      <w:szCs w:val="20"/>
    </w:rPr>
  </w:style>
  <w:style w:type="character" w:styleId="HTMLVariable">
    <w:name w:val="HTML Variable"/>
    <w:basedOn w:val="DefaultParagraphFont"/>
    <w:uiPriority w:val="99"/>
    <w:semiHidden/>
    <w:rPr>
      <w:i/>
      <w:iCs/>
    </w:rPr>
  </w:style>
  <w:style w:type="character" w:styleId="Hyperlink">
    <w:name w:val="Hyperlink"/>
    <w:basedOn w:val="DefaultParagraphFont"/>
    <w:uiPriority w:val="99"/>
    <w:semiHidden/>
    <w:rPr>
      <w:color w:val="0000FF"/>
      <w:u w:val="single"/>
    </w:rPr>
  </w:style>
  <w:style w:type="paragraph" w:styleId="Index1">
    <w:name w:val="index 1"/>
    <w:basedOn w:val="Normal"/>
    <w:next w:val="Normal"/>
    <w:autoRedefine/>
    <w:uiPriority w:val="99"/>
    <w:semiHidden/>
    <w:pPr>
      <w:spacing w:after="0"/>
      <w:ind w:left="240" w:hanging="240"/>
    </w:pPr>
  </w:style>
  <w:style w:type="paragraph" w:styleId="Index2">
    <w:name w:val="index 2"/>
    <w:basedOn w:val="Normal"/>
    <w:next w:val="Normal"/>
    <w:autoRedefine/>
    <w:uiPriority w:val="99"/>
    <w:semiHidden/>
    <w:pPr>
      <w:spacing w:after="0"/>
      <w:ind w:left="480" w:hanging="240"/>
    </w:pPr>
  </w:style>
  <w:style w:type="paragraph" w:styleId="Index3">
    <w:name w:val="index 3"/>
    <w:basedOn w:val="Normal"/>
    <w:next w:val="Normal"/>
    <w:autoRedefine/>
    <w:uiPriority w:val="99"/>
    <w:semiHidden/>
    <w:pPr>
      <w:spacing w:after="0"/>
      <w:ind w:left="720" w:hanging="240"/>
    </w:pPr>
  </w:style>
  <w:style w:type="paragraph" w:styleId="Index4">
    <w:name w:val="index 4"/>
    <w:basedOn w:val="Normal"/>
    <w:next w:val="Normal"/>
    <w:autoRedefine/>
    <w:uiPriority w:val="99"/>
    <w:semiHidden/>
    <w:pPr>
      <w:spacing w:after="0"/>
      <w:ind w:left="960" w:hanging="240"/>
    </w:pPr>
  </w:style>
  <w:style w:type="paragraph" w:styleId="Index5">
    <w:name w:val="index 5"/>
    <w:basedOn w:val="Normal"/>
    <w:next w:val="Normal"/>
    <w:autoRedefine/>
    <w:uiPriority w:val="99"/>
    <w:semiHidden/>
    <w:pPr>
      <w:spacing w:after="0"/>
      <w:ind w:left="1200" w:hanging="240"/>
    </w:pPr>
  </w:style>
  <w:style w:type="paragraph" w:styleId="Index6">
    <w:name w:val="index 6"/>
    <w:basedOn w:val="Normal"/>
    <w:next w:val="Normal"/>
    <w:autoRedefine/>
    <w:uiPriority w:val="99"/>
    <w:semiHidden/>
    <w:pPr>
      <w:spacing w:after="0"/>
      <w:ind w:left="1440" w:hanging="240"/>
    </w:pPr>
  </w:style>
  <w:style w:type="paragraph" w:styleId="Index7">
    <w:name w:val="index 7"/>
    <w:basedOn w:val="Normal"/>
    <w:next w:val="Normal"/>
    <w:autoRedefine/>
    <w:uiPriority w:val="99"/>
    <w:semiHidden/>
    <w:pPr>
      <w:spacing w:after="0"/>
      <w:ind w:left="1680" w:hanging="240"/>
    </w:pPr>
  </w:style>
  <w:style w:type="paragraph" w:styleId="Index8">
    <w:name w:val="index 8"/>
    <w:basedOn w:val="Normal"/>
    <w:next w:val="Normal"/>
    <w:autoRedefine/>
    <w:uiPriority w:val="99"/>
    <w:semiHidden/>
    <w:pPr>
      <w:spacing w:after="0"/>
      <w:ind w:left="1920" w:hanging="240"/>
    </w:pPr>
  </w:style>
  <w:style w:type="paragraph" w:styleId="Index9">
    <w:name w:val="index 9"/>
    <w:basedOn w:val="Normal"/>
    <w:next w:val="Normal"/>
    <w:autoRedefine/>
    <w:uiPriority w:val="99"/>
    <w:semiHidden/>
    <w:pPr>
      <w:spacing w:after="0"/>
      <w:ind w:left="2160" w:hanging="240"/>
    </w:pPr>
  </w:style>
  <w:style w:type="paragraph" w:styleId="IndexHeading">
    <w:name w:val="index heading"/>
    <w:basedOn w:val="Normal"/>
    <w:next w:val="Index1"/>
    <w:uiPriority w:val="99"/>
    <w:semiHidden/>
    <w:rPr>
      <w:b/>
      <w:bCs/>
    </w:rPr>
  </w:style>
  <w:style w:type="character" w:styleId="IntenseEmphasis">
    <w:name w:val="Intense Emphasis"/>
    <w:basedOn w:val="DefaultParagraphFont"/>
    <w:uiPriority w:val="21"/>
    <w:semiHidden/>
    <w:qFormat/>
    <w:rPr>
      <w:b/>
      <w:bCs/>
      <w:i/>
      <w:iCs/>
      <w:color w:val="4F81BD"/>
    </w:rPr>
  </w:style>
  <w:style w:type="paragraph" w:styleId="IntenseQuote">
    <w:name w:val="Intense Quote"/>
    <w:basedOn w:val="Normal"/>
    <w:next w:val="Normal"/>
    <w:link w:val="IntenseQuoteChar"/>
    <w:uiPriority w:val="30"/>
    <w:semiHidden/>
    <w:qFormat/>
    <w:pPr>
      <w:pBdr>
        <w:bottom w:val="single" w:sz="6" w:space="0"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Pr>
      <w:b/>
      <w:bCs/>
      <w:i/>
      <w:iCs/>
      <w:color w:val="4F81BD"/>
    </w:rPr>
  </w:style>
  <w:style w:type="character" w:styleId="IntenseReference">
    <w:name w:val="Intense Reference"/>
    <w:basedOn w:val="DefaultParagraphFont"/>
    <w:uiPriority w:val="32"/>
    <w:semiHidden/>
    <w:qFormat/>
    <w:rPr>
      <w:b/>
      <w:bCs/>
      <w:smallCaps/>
      <w:color w:val="C0504D"/>
      <w:spacing w:val="5"/>
      <w:u w:val="single"/>
    </w:rPr>
  </w:style>
  <w:style w:type="character" w:styleId="LineNumber">
    <w:name w:val="line number"/>
    <w:basedOn w:val="DefaultParagraphFont"/>
    <w:uiPriority w:val="99"/>
    <w:semiHidden/>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2">
    <w:name w:val="List Bullet 2"/>
    <w:basedOn w:val="Normal"/>
    <w:uiPriority w:val="99"/>
    <w:semiHidden/>
    <w:pPr>
      <w:numPr>
        <w:numId w:val="3"/>
      </w:numPr>
    </w:pPr>
  </w:style>
  <w:style w:type="paragraph" w:styleId="ListBullet3">
    <w:name w:val="List Bullet 3"/>
    <w:basedOn w:val="Normal"/>
    <w:uiPriority w:val="99"/>
    <w:semiHidden/>
    <w:pPr>
      <w:numPr>
        <w:numId w:val="4"/>
      </w:numPr>
    </w:pPr>
  </w:style>
  <w:style w:type="paragraph" w:styleId="ListBullet4">
    <w:name w:val="List Bullet 4"/>
    <w:basedOn w:val="Normal"/>
    <w:uiPriority w:val="99"/>
    <w:semiHidden/>
    <w:pPr>
      <w:numPr>
        <w:numId w:val="5"/>
      </w:numPr>
    </w:pPr>
  </w:style>
  <w:style w:type="paragraph" w:styleId="ListBullet5">
    <w:name w:val="List Bullet 5"/>
    <w:basedOn w:val="Normal"/>
    <w:uiPriority w:val="99"/>
    <w:semiHidden/>
    <w:pPr>
      <w:numPr>
        <w:numId w:val="6"/>
      </w:numPr>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2">
    <w:name w:val="List Number 2"/>
    <w:basedOn w:val="Normal"/>
    <w:uiPriority w:val="99"/>
    <w:semiHidden/>
    <w:pPr>
      <w:numPr>
        <w:numId w:val="7"/>
      </w:numPr>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pPr>
  </w:style>
  <w:style w:type="paragraph" w:styleId="ListNumber5">
    <w:name w:val="List Number 5"/>
    <w:basedOn w:val="Normal"/>
    <w:uiPriority w:val="99"/>
    <w:semiHidden/>
    <w:pPr>
      <w:numPr>
        <w:numId w:val="10"/>
      </w:numPr>
    </w:pPr>
  </w:style>
  <w:style w:type="paragraph" w:styleId="ListParagraph">
    <w:name w:val="List Paragraph"/>
    <w:basedOn w:val="Normal"/>
    <w:uiPriority w:val="34"/>
    <w:qFormat/>
    <w:pPr>
      <w:widowControl w:val="0"/>
      <w:numPr>
        <w:numId w:val="15"/>
      </w:numPr>
      <w:adjustRightInd/>
    </w:pPr>
    <w:rPr>
      <w:rFonts w:ascii="Arial" w:hAnsi="Arial" w:cs="Arial"/>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djustRightInd w:val="0"/>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sz w:val="20"/>
      <w:szCs w:val="20"/>
    </w:rPr>
  </w:style>
  <w:style w:type="paragraph" w:styleId="MessageHeader">
    <w:name w:val="Message Header"/>
    <w:basedOn w:val="Normal"/>
    <w:link w:val="MessageHeaderChar"/>
    <w:uiPriority w:val="99"/>
    <w:semiHidden/>
    <w:pPr>
      <w:pBdr>
        <w:top w:val="single" w:sz="6" w:space="0" w:color="auto"/>
        <w:left w:val="single" w:sz="6" w:space="0" w:color="auto"/>
        <w:bottom w:val="single" w:sz="6" w:space="0" w:color="auto"/>
        <w:right w:val="single" w:sz="6" w:space="0" w:color="auto"/>
      </w:pBdr>
      <w:shd w:val="pct20" w:color="auto" w:fill="auto"/>
      <w:spacing w:after="0"/>
      <w:ind w:left="1080" w:hanging="1080"/>
    </w:pPr>
  </w:style>
  <w:style w:type="character" w:customStyle="1" w:styleId="MessageHeaderChar">
    <w:name w:val="Message Header Char"/>
    <w:basedOn w:val="DefaultParagraphFont"/>
    <w:link w:val="MessageHeader"/>
    <w:uiPriority w:val="99"/>
    <w:semiHidden/>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customStyle="1" w:styleId="NoteHeading1">
    <w:name w:val="Note Heading1"/>
    <w:basedOn w:val="Normal"/>
    <w:next w:val="Normal"/>
    <w:link w:val="NoteHeadingChar"/>
    <w:uiPriority w:val="99"/>
    <w:semiHidden/>
    <w:pPr>
      <w:spacing w:after="0"/>
    </w:pPr>
  </w:style>
  <w:style w:type="character" w:customStyle="1" w:styleId="NoteHeadingChar">
    <w:name w:val="Note Heading Char"/>
    <w:basedOn w:val="DefaultParagraphFont"/>
    <w:link w:val="NoteHeading1"/>
    <w:uiPriority w:val="99"/>
    <w:semiHidden/>
  </w:style>
  <w:style w:type="character" w:styleId="PageNumber">
    <w:name w:val="page number"/>
    <w:basedOn w:val="DefaultParagraphFont"/>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sz w:val="21"/>
      <w:szCs w:val="21"/>
    </w:rPr>
  </w:style>
  <w:style w:type="paragraph" w:styleId="Quote">
    <w:name w:val="Quote"/>
    <w:basedOn w:val="Normal"/>
    <w:next w:val="Normal"/>
    <w:link w:val="QuoteChar"/>
    <w:uiPriority w:val="29"/>
    <w:semiHidden/>
    <w:qFormat/>
    <w:rPr>
      <w:i/>
      <w:iCs/>
      <w:color w:val="000000"/>
    </w:rPr>
  </w:style>
  <w:style w:type="character" w:customStyle="1" w:styleId="QuoteChar">
    <w:name w:val="Quote Char"/>
    <w:basedOn w:val="DefaultParagraphFont"/>
    <w:link w:val="Quote"/>
    <w:uiPriority w:val="29"/>
    <w:semiHidden/>
    <w:rPr>
      <w:i/>
      <w:iCs/>
      <w:color w:val="00000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i/>
      <w:iCs/>
      <w:color w:val="4F81BD"/>
      <w:spacing w:val="15"/>
    </w:rPr>
  </w:style>
  <w:style w:type="character" w:customStyle="1" w:styleId="SubtitleChar">
    <w:name w:val="Subtitle Char"/>
    <w:basedOn w:val="DefaultParagraphFont"/>
    <w:link w:val="Subtitle"/>
    <w:uiPriority w:val="11"/>
    <w:semiHidden/>
    <w:rPr>
      <w:i/>
      <w:iCs/>
      <w:color w:val="4F81BD"/>
      <w:spacing w:val="15"/>
    </w:rPr>
  </w:style>
  <w:style w:type="character" w:styleId="SubtleEmphasis">
    <w:name w:val="Subtle Emphasis"/>
    <w:basedOn w:val="DefaultParagraphFont"/>
    <w:uiPriority w:val="19"/>
    <w:semiHidden/>
    <w:qFormat/>
    <w:rPr>
      <w:i/>
      <w:iCs/>
      <w:color w:val="808080"/>
    </w:rPr>
  </w:style>
  <w:style w:type="character" w:styleId="SubtleReference">
    <w:name w:val="Subtle Reference"/>
    <w:basedOn w:val="DefaultParagraphFont"/>
    <w:uiPriority w:val="31"/>
    <w:semiHidden/>
    <w:qFormat/>
    <w:rPr>
      <w:smallCaps/>
      <w:color w:val="C0504D"/>
      <w:u w:val="single"/>
    </w:rPr>
  </w:style>
  <w:style w:type="paragraph" w:customStyle="1" w:styleId="MemoHeading">
    <w:name w:val="MemoHeading"/>
    <w:basedOn w:val="Normal"/>
    <w:semiHidden/>
    <w:pPr>
      <w:spacing w:before="240" w:after="480"/>
      <w:jc w:val="center"/>
    </w:pPr>
    <w:rPr>
      <w:rFonts w:ascii="Times New Roman Bold" w:hAnsi="Times New Roman Bold" w:cs="Times New Roman Bold"/>
      <w:b/>
      <w:bCs/>
      <w:caps/>
      <w:u w:val="single"/>
    </w:rPr>
  </w:style>
  <w:style w:type="paragraph" w:customStyle="1" w:styleId="MemoTableData">
    <w:name w:val="MemoTableData"/>
    <w:basedOn w:val="Normal"/>
    <w:semiHidden/>
  </w:style>
  <w:style w:type="paragraph" w:customStyle="1" w:styleId="ReLine">
    <w:name w:val="Re Line"/>
    <w:basedOn w:val="MemoTableData"/>
  </w:style>
  <w:style w:type="paragraph" w:customStyle="1" w:styleId="MemoTableLabel">
    <w:name w:val="MemoTableLabel"/>
    <w:basedOn w:val="Normal"/>
    <w:semiHidden/>
    <w:rPr>
      <w:caps/>
    </w:rPr>
  </w:style>
  <w:style w:type="paragraph" w:customStyle="1" w:styleId="ListSubparagraph">
    <w:name w:val="List Subparagraph"/>
    <w:basedOn w:val="ListParagraph"/>
    <w:pPr>
      <w:ind w:left="1440"/>
    </w:pPr>
  </w:style>
  <w:style w:type="paragraph" w:customStyle="1" w:styleId="ListSubparagraph2">
    <w:name w:val="List Subparagraph 2"/>
    <w:basedOn w:val="ListSubparagraph"/>
    <w:pPr>
      <w:ind w:left="2160"/>
    </w:pPr>
  </w:style>
  <w:style w:type="paragraph" w:customStyle="1" w:styleId="ListSubparagraph3">
    <w:name w:val="List Subparagraph 3"/>
    <w:basedOn w:val="ListSubparagraph2"/>
    <w:pPr>
      <w:ind w:left="2880"/>
    </w:pPr>
  </w:style>
  <w:style w:type="paragraph" w:customStyle="1" w:styleId="ListSubparagraph4">
    <w:name w:val="List Subparagraph 4"/>
    <w:basedOn w:val="ListSubparagraph3"/>
    <w:pPr>
      <w:ind w:left="3600"/>
    </w:pPr>
  </w:style>
  <w:style w:type="paragraph" w:customStyle="1" w:styleId="NumberedParagraph">
    <w:name w:val="Numbered Paragraph"/>
    <w:basedOn w:val="BodyTextFirstIndent"/>
    <w:pPr>
      <w:numPr>
        <w:numId w:val="12"/>
      </w:numPr>
      <w:tabs>
        <w:tab w:val="left" w:pos="1080"/>
      </w:tabs>
      <w:ind w:left="0" w:firstLine="720"/>
    </w:pPr>
  </w:style>
  <w:style w:type="table" w:styleId="TableGrid">
    <w:name w:val="Table Grid"/>
    <w:basedOn w:val="TableNormal"/>
    <w:uiPriority w:val="99"/>
    <w:pPr>
      <w:adjustRightInd w:val="0"/>
      <w:spacing w:after="0"/>
    </w:pPr>
    <w:tblPr>
      <w:tblBorders>
        <w:top w:val="single" w:sz="4" w:space="0" w:color="000000"/>
        <w:left w:val="single" w:sz="4" w:space="0" w:color="000000"/>
        <w:bottom w:val="single" w:sz="4" w:space="0" w:color="000000"/>
        <w:right w:val="single" w:sz="4" w:space="0" w:color="000000"/>
      </w:tblBorders>
      <w:tblCellMar>
        <w:top w:w="3" w:type="dxa"/>
        <w:bottom w:w="3" w:type="dxa"/>
      </w:tblCellMar>
    </w:tblPr>
  </w:style>
  <w:style w:type="paragraph" w:customStyle="1" w:styleId="p1">
    <w:name w:val="p1"/>
    <w:basedOn w:val="Normal"/>
    <w:pPr>
      <w:adjustRightInd/>
      <w:spacing w:after="0"/>
    </w:pPr>
    <w:rPr>
      <w:rFonts w:ascii="Helvetica" w:eastAsiaTheme="minorHAnsi" w:hAnsi="Helvetica" w:cs="Helvetica"/>
      <w:sz w:val="18"/>
      <w:szCs w:val="18"/>
    </w:rPr>
  </w:style>
  <w:style w:type="paragraph" w:customStyle="1" w:styleId="p2">
    <w:name w:val="p2"/>
    <w:basedOn w:val="Normal"/>
    <w:pPr>
      <w:adjustRightInd/>
      <w:spacing w:after="0"/>
    </w:pPr>
    <w:rPr>
      <w:rFonts w:ascii="Verdana" w:eastAsiaTheme="minorHAnsi" w:hAnsi="Verdana"/>
      <w:color w:val="9443FB"/>
      <w:sz w:val="20"/>
      <w:szCs w:val="20"/>
    </w:rPr>
  </w:style>
  <w:style w:type="paragraph" w:customStyle="1" w:styleId="p3">
    <w:name w:val="p3"/>
    <w:basedOn w:val="Normal"/>
    <w:pPr>
      <w:adjustRightInd/>
      <w:spacing w:after="0"/>
    </w:pPr>
    <w:rPr>
      <w:rFonts w:ascii="Verdana" w:eastAsiaTheme="minorHAnsi" w:hAnsi="Verdana"/>
      <w:color w:val="9443FB"/>
      <w:sz w:val="20"/>
      <w:szCs w:val="20"/>
    </w:rPr>
  </w:style>
  <w:style w:type="character" w:customStyle="1" w:styleId="s11">
    <w:name w:val="s11"/>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7473">
      <w:bodyDiv w:val="1"/>
      <w:marLeft w:val="0"/>
      <w:marRight w:val="0"/>
      <w:marTop w:val="0"/>
      <w:marBottom w:val="0"/>
      <w:divBdr>
        <w:top w:val="none" w:sz="0" w:space="0" w:color="auto"/>
        <w:left w:val="none" w:sz="0" w:space="0" w:color="auto"/>
        <w:bottom w:val="none" w:sz="0" w:space="0" w:color="auto"/>
        <w:right w:val="none" w:sz="0" w:space="0" w:color="auto"/>
      </w:divBdr>
    </w:div>
    <w:div w:id="379549948">
      <w:bodyDiv w:val="1"/>
      <w:marLeft w:val="0"/>
      <w:marRight w:val="0"/>
      <w:marTop w:val="0"/>
      <w:marBottom w:val="0"/>
      <w:divBdr>
        <w:top w:val="none" w:sz="0" w:space="0" w:color="auto"/>
        <w:left w:val="none" w:sz="0" w:space="0" w:color="auto"/>
        <w:bottom w:val="none" w:sz="0" w:space="0" w:color="auto"/>
        <w:right w:val="none" w:sz="0" w:space="0" w:color="auto"/>
      </w:divBdr>
    </w:div>
    <w:div w:id="691800936">
      <w:bodyDiv w:val="1"/>
      <w:marLeft w:val="0"/>
      <w:marRight w:val="0"/>
      <w:marTop w:val="0"/>
      <w:marBottom w:val="0"/>
      <w:divBdr>
        <w:top w:val="none" w:sz="0" w:space="0" w:color="auto"/>
        <w:left w:val="none" w:sz="0" w:space="0" w:color="auto"/>
        <w:bottom w:val="none" w:sz="0" w:space="0" w:color="auto"/>
        <w:right w:val="none" w:sz="0" w:space="0" w:color="auto"/>
      </w:divBdr>
      <w:divsChild>
        <w:div w:id="1703899819">
          <w:marLeft w:val="0"/>
          <w:marRight w:val="0"/>
          <w:marTop w:val="0"/>
          <w:marBottom w:val="0"/>
          <w:divBdr>
            <w:top w:val="none" w:sz="0" w:space="0" w:color="auto"/>
            <w:left w:val="none" w:sz="0" w:space="0" w:color="auto"/>
            <w:bottom w:val="none" w:sz="0" w:space="0" w:color="auto"/>
            <w:right w:val="none" w:sz="0" w:space="0" w:color="auto"/>
          </w:divBdr>
          <w:divsChild>
            <w:div w:id="22219502">
              <w:marLeft w:val="0"/>
              <w:marRight w:val="0"/>
              <w:marTop w:val="0"/>
              <w:marBottom w:val="0"/>
              <w:divBdr>
                <w:top w:val="none" w:sz="0" w:space="0" w:color="auto"/>
                <w:left w:val="none" w:sz="0" w:space="0" w:color="auto"/>
                <w:bottom w:val="none" w:sz="0" w:space="0" w:color="auto"/>
                <w:right w:val="none" w:sz="0" w:space="0" w:color="auto"/>
              </w:divBdr>
              <w:divsChild>
                <w:div w:id="1531647544">
                  <w:marLeft w:val="0"/>
                  <w:marRight w:val="0"/>
                  <w:marTop w:val="96"/>
                  <w:marBottom w:val="0"/>
                  <w:divBdr>
                    <w:top w:val="none" w:sz="0" w:space="0" w:color="auto"/>
                    <w:left w:val="none" w:sz="0" w:space="0" w:color="auto"/>
                    <w:bottom w:val="none" w:sz="0" w:space="0" w:color="auto"/>
                    <w:right w:val="none" w:sz="0" w:space="0" w:color="auto"/>
                  </w:divBdr>
                  <w:divsChild>
                    <w:div w:id="2139643269">
                      <w:marLeft w:val="0"/>
                      <w:marRight w:val="0"/>
                      <w:marTop w:val="0"/>
                      <w:marBottom w:val="0"/>
                      <w:divBdr>
                        <w:top w:val="none" w:sz="0" w:space="0" w:color="auto"/>
                        <w:left w:val="none" w:sz="0" w:space="0" w:color="auto"/>
                        <w:bottom w:val="none" w:sz="0" w:space="0" w:color="auto"/>
                        <w:right w:val="none" w:sz="0" w:space="0" w:color="auto"/>
                      </w:divBdr>
                      <w:divsChild>
                        <w:div w:id="431362783">
                          <w:marLeft w:val="0"/>
                          <w:marRight w:val="0"/>
                          <w:marTop w:val="0"/>
                          <w:marBottom w:val="0"/>
                          <w:divBdr>
                            <w:top w:val="none" w:sz="0" w:space="0" w:color="auto"/>
                            <w:left w:val="none" w:sz="0" w:space="0" w:color="auto"/>
                            <w:bottom w:val="none" w:sz="0" w:space="0" w:color="auto"/>
                            <w:right w:val="none" w:sz="0" w:space="0" w:color="auto"/>
                          </w:divBdr>
                          <w:divsChild>
                            <w:div w:id="889270259">
                              <w:marLeft w:val="264"/>
                              <w:marRight w:val="264"/>
                              <w:marTop w:val="0"/>
                              <w:marBottom w:val="52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4309">
      <w:bodyDiv w:val="1"/>
      <w:marLeft w:val="0"/>
      <w:marRight w:val="0"/>
      <w:marTop w:val="0"/>
      <w:marBottom w:val="0"/>
      <w:divBdr>
        <w:top w:val="none" w:sz="0" w:space="0" w:color="auto"/>
        <w:left w:val="none" w:sz="0" w:space="0" w:color="auto"/>
        <w:bottom w:val="none" w:sz="0" w:space="0" w:color="auto"/>
        <w:right w:val="none" w:sz="0" w:space="0" w:color="auto"/>
      </w:divBdr>
    </w:div>
    <w:div w:id="1040789247">
      <w:bodyDiv w:val="1"/>
      <w:marLeft w:val="0"/>
      <w:marRight w:val="0"/>
      <w:marTop w:val="0"/>
      <w:marBottom w:val="0"/>
      <w:divBdr>
        <w:top w:val="none" w:sz="0" w:space="0" w:color="auto"/>
        <w:left w:val="none" w:sz="0" w:space="0" w:color="auto"/>
        <w:bottom w:val="none" w:sz="0" w:space="0" w:color="auto"/>
        <w:right w:val="none" w:sz="0" w:space="0" w:color="auto"/>
      </w:divBdr>
    </w:div>
    <w:div w:id="1070036024">
      <w:bodyDiv w:val="1"/>
      <w:marLeft w:val="0"/>
      <w:marRight w:val="0"/>
      <w:marTop w:val="0"/>
      <w:marBottom w:val="0"/>
      <w:divBdr>
        <w:top w:val="none" w:sz="0" w:space="0" w:color="auto"/>
        <w:left w:val="none" w:sz="0" w:space="0" w:color="auto"/>
        <w:bottom w:val="none" w:sz="0" w:space="0" w:color="auto"/>
        <w:right w:val="none" w:sz="0" w:space="0" w:color="auto"/>
      </w:divBdr>
    </w:div>
    <w:div w:id="1152792283">
      <w:bodyDiv w:val="1"/>
      <w:marLeft w:val="0"/>
      <w:marRight w:val="0"/>
      <w:marTop w:val="0"/>
      <w:marBottom w:val="0"/>
      <w:divBdr>
        <w:top w:val="none" w:sz="0" w:space="0" w:color="auto"/>
        <w:left w:val="none" w:sz="0" w:space="0" w:color="auto"/>
        <w:bottom w:val="none" w:sz="0" w:space="0" w:color="auto"/>
        <w:right w:val="none" w:sz="0" w:space="0" w:color="auto"/>
      </w:divBdr>
    </w:div>
    <w:div w:id="1376546839">
      <w:bodyDiv w:val="1"/>
      <w:marLeft w:val="0"/>
      <w:marRight w:val="0"/>
      <w:marTop w:val="0"/>
      <w:marBottom w:val="0"/>
      <w:divBdr>
        <w:top w:val="none" w:sz="0" w:space="0" w:color="auto"/>
        <w:left w:val="none" w:sz="0" w:space="0" w:color="auto"/>
        <w:bottom w:val="none" w:sz="0" w:space="0" w:color="auto"/>
        <w:right w:val="none" w:sz="0" w:space="0" w:color="auto"/>
      </w:divBdr>
    </w:div>
    <w:div w:id="1491411378">
      <w:bodyDiv w:val="1"/>
      <w:marLeft w:val="0"/>
      <w:marRight w:val="0"/>
      <w:marTop w:val="0"/>
      <w:marBottom w:val="0"/>
      <w:divBdr>
        <w:top w:val="none" w:sz="0" w:space="0" w:color="auto"/>
        <w:left w:val="none" w:sz="0" w:space="0" w:color="auto"/>
        <w:bottom w:val="none" w:sz="0" w:space="0" w:color="auto"/>
        <w:right w:val="none" w:sz="0" w:space="0" w:color="auto"/>
      </w:divBdr>
    </w:div>
    <w:div w:id="1519349261">
      <w:bodyDiv w:val="1"/>
      <w:marLeft w:val="0"/>
      <w:marRight w:val="0"/>
      <w:marTop w:val="0"/>
      <w:marBottom w:val="0"/>
      <w:divBdr>
        <w:top w:val="none" w:sz="0" w:space="0" w:color="auto"/>
        <w:left w:val="none" w:sz="0" w:space="0" w:color="auto"/>
        <w:bottom w:val="none" w:sz="0" w:space="0" w:color="auto"/>
        <w:right w:val="none" w:sz="0" w:space="0" w:color="auto"/>
      </w:divBdr>
    </w:div>
    <w:div w:id="15262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4141</Words>
  <Characters>22019</Characters>
  <Application>Microsoft Office Word</Application>
  <DocSecurity>0</DocSecurity>
  <PresentationFormat/>
  <Lines>347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Comparison of Board Proposal to CCWG 2nd Draft Proposal-210150807-   .docx (00717263).DOCX</dc:title>
  <dc:subject>00717263.DOCX; 1</dc:subject>
  <cp:lastModifiedBy>Rosemary E. Fei</cp:lastModifiedBy>
  <cp:revision>6</cp:revision>
  <dcterms:created xsi:type="dcterms:W3CDTF">2015-09-26T22:24:00Z</dcterms:created>
  <dcterms:modified xsi:type="dcterms:W3CDTF">2015-09-26T22:24:00Z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210150807v.6</vt:lpwstr>
  </property>
</Properties>
</file>