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99EC96" w14:textId="77777777" w:rsidR="000F523E" w:rsidRDefault="000F523E">
      <w:pPr>
        <w:pStyle w:val="Standard"/>
        <w:spacing w:before="0" w:line="240" w:lineRule="auto"/>
        <w:rPr>
          <w:rFonts w:ascii="Arial" w:eastAsia="Economica" w:hAnsi="Arial" w:cs="Arial"/>
          <w:color w:val="666666"/>
          <w:sz w:val="28"/>
          <w:szCs w:val="28"/>
        </w:rPr>
      </w:pPr>
    </w:p>
    <w:p w14:paraId="7F162C20" w14:textId="77777777" w:rsidR="000F523E" w:rsidRDefault="002D5CA1">
      <w:pPr>
        <w:pStyle w:val="Title"/>
        <w:jc w:val="center"/>
      </w:pPr>
      <w:bookmarkStart w:id="0" w:name="_mbjsiz6n6jlo"/>
      <w:bookmarkEnd w:id="0"/>
      <w:r>
        <w:rPr>
          <w:noProof/>
        </w:rPr>
        <w:drawing>
          <wp:inline distT="0" distB="0" distL="0" distR="0" wp14:anchorId="3DE37F26" wp14:editId="5B91B157">
            <wp:extent cx="3796223" cy="4063319"/>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3796223" cy="4063319"/>
                    </a:xfrm>
                    <a:prstGeom prst="rect">
                      <a:avLst/>
                    </a:prstGeom>
                    <a:noFill/>
                    <a:ln>
                      <a:noFill/>
                      <a:prstDash/>
                    </a:ln>
                  </pic:spPr>
                </pic:pic>
              </a:graphicData>
            </a:graphic>
          </wp:inline>
        </w:drawing>
      </w:r>
    </w:p>
    <w:p w14:paraId="10A7CEB9" w14:textId="77777777" w:rsidR="000F523E" w:rsidRDefault="000F523E">
      <w:pPr>
        <w:pStyle w:val="Title"/>
        <w:jc w:val="center"/>
        <w:rPr>
          <w:rFonts w:ascii="Arial" w:hAnsi="Arial" w:cs="Arial"/>
          <w:b/>
          <w:sz w:val="48"/>
          <w:szCs w:val="48"/>
        </w:rPr>
      </w:pPr>
      <w:bookmarkStart w:id="1" w:name="_pedmfdvczoyy"/>
      <w:bookmarkEnd w:id="1"/>
    </w:p>
    <w:p w14:paraId="10B255DE" w14:textId="77777777" w:rsidR="000F523E" w:rsidRDefault="002D5CA1">
      <w:pPr>
        <w:pStyle w:val="Title"/>
        <w:jc w:val="center"/>
      </w:pPr>
      <w:r>
        <w:rPr>
          <w:rFonts w:ascii="Arial" w:hAnsi="Arial" w:cs="Arial"/>
          <w:b/>
          <w:sz w:val="48"/>
          <w:szCs w:val="48"/>
        </w:rPr>
        <w:t>At-Large Advisory Committee (ALAC) Outreach &amp; Engagement Subcommittee</w:t>
      </w:r>
    </w:p>
    <w:p w14:paraId="2494E424" w14:textId="77777777" w:rsidR="000F523E" w:rsidRDefault="000F523E">
      <w:pPr>
        <w:pStyle w:val="Subtitle"/>
        <w:jc w:val="center"/>
        <w:rPr>
          <w:rFonts w:ascii="Arial" w:hAnsi="Arial" w:cs="Arial"/>
          <w:b/>
          <w:sz w:val="72"/>
          <w:szCs w:val="72"/>
        </w:rPr>
      </w:pPr>
      <w:bookmarkStart w:id="2" w:name="_1i8oepyxmi5s"/>
      <w:bookmarkEnd w:id="2"/>
    </w:p>
    <w:p w14:paraId="7F00FF48" w14:textId="77777777" w:rsidR="000F523E" w:rsidRDefault="002D5CA1">
      <w:pPr>
        <w:pStyle w:val="Subtitle"/>
        <w:jc w:val="center"/>
      </w:pPr>
      <w:r>
        <w:rPr>
          <w:rFonts w:ascii="Arial" w:hAnsi="Arial" w:cs="Arial"/>
          <w:b/>
          <w:sz w:val="48"/>
          <w:szCs w:val="48"/>
        </w:rPr>
        <w:t>ALAC / At-Large Outreach and Engagement Strategy v2</w:t>
      </w:r>
    </w:p>
    <w:p w14:paraId="644E74ED" w14:textId="77777777" w:rsidR="000F523E" w:rsidRDefault="000F523E">
      <w:pPr>
        <w:pStyle w:val="Subtitle"/>
        <w:rPr>
          <w:rFonts w:ascii="Arial" w:hAnsi="Arial" w:cs="Arial"/>
        </w:rPr>
      </w:pPr>
      <w:bookmarkStart w:id="3" w:name="_3mbqebhlv058"/>
      <w:bookmarkEnd w:id="3"/>
    </w:p>
    <w:p w14:paraId="30E88708" w14:textId="77777777" w:rsidR="000F523E" w:rsidRDefault="002D5CA1">
      <w:pPr>
        <w:pStyle w:val="Standard"/>
        <w:spacing w:before="60"/>
      </w:pPr>
      <w:r>
        <w:rPr>
          <w:noProof/>
        </w:rPr>
        <w:drawing>
          <wp:inline distT="0" distB="0" distL="0" distR="0" wp14:anchorId="7F4D3CF4" wp14:editId="5128617D">
            <wp:extent cx="5943600" cy="38130"/>
            <wp:effectExtent l="0" t="0" r="0" b="0"/>
            <wp:docPr id="5" name="image5.png" descr="horizontal lin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5943600" cy="38130"/>
                    </a:xfrm>
                    <a:prstGeom prst="rect">
                      <a:avLst/>
                    </a:prstGeom>
                    <a:noFill/>
                    <a:ln>
                      <a:noFill/>
                      <a:prstDash/>
                    </a:ln>
                  </pic:spPr>
                </pic:pic>
              </a:graphicData>
            </a:graphic>
          </wp:inline>
        </w:drawing>
      </w:r>
    </w:p>
    <w:p w14:paraId="63911D10" w14:textId="77777777" w:rsidR="000F523E" w:rsidRDefault="002D5CA1">
      <w:pPr>
        <w:pStyle w:val="Heading1"/>
        <w:spacing w:before="120"/>
        <w:jc w:val="center"/>
      </w:pPr>
      <w:bookmarkStart w:id="4" w:name="_vydniszftb1n"/>
      <w:bookmarkEnd w:id="4"/>
      <w:r>
        <w:rPr>
          <w:noProof/>
        </w:rPr>
        <w:lastRenderedPageBreak/>
        <w:drawing>
          <wp:inline distT="0" distB="0" distL="0" distR="0" wp14:anchorId="1530D433" wp14:editId="0D496F90">
            <wp:extent cx="4257720" cy="2720522"/>
            <wp:effectExtent l="0" t="0" r="9480" b="3628"/>
            <wp:docPr id="6" name="image14.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4257720" cy="2720522"/>
                    </a:xfrm>
                    <a:prstGeom prst="rect">
                      <a:avLst/>
                    </a:prstGeom>
                    <a:noFill/>
                    <a:ln>
                      <a:noFill/>
                      <a:prstDash/>
                    </a:ln>
                  </pic:spPr>
                </pic:pic>
              </a:graphicData>
            </a:graphic>
          </wp:inline>
        </w:drawing>
      </w:r>
    </w:p>
    <w:p w14:paraId="5114E2E0" w14:textId="77777777" w:rsidR="000F523E" w:rsidRDefault="002D5CA1">
      <w:pPr>
        <w:pStyle w:val="Heading1"/>
        <w:spacing w:before="120"/>
        <w:jc w:val="center"/>
      </w:pPr>
      <w:r>
        <w:rPr>
          <w:rFonts w:ascii="Arial" w:hAnsi="Arial" w:cs="Arial"/>
          <w:sz w:val="16"/>
          <w:szCs w:val="16"/>
        </w:rPr>
        <w:t>The O&amp;E team after the meeting with the Co-Chairs, during ICANN63.</w:t>
      </w:r>
      <w:r>
        <w:rPr>
          <w:rFonts w:ascii="Arial" w:hAnsi="Arial" w:cs="Arial"/>
          <w:sz w:val="16"/>
          <w:szCs w:val="16"/>
        </w:rPr>
        <w:br/>
        <w:t xml:space="preserve"> Seated (L-R): </w:t>
      </w:r>
      <w:r>
        <w:rPr>
          <w:rFonts w:ascii="Arial" w:eastAsia="Roboto" w:hAnsi="Arial" w:cs="Arial"/>
          <w:color w:val="202124"/>
          <w:sz w:val="16"/>
          <w:szCs w:val="16"/>
        </w:rPr>
        <w:t>Maritza Y. Aguero</w:t>
      </w:r>
      <w:r>
        <w:rPr>
          <w:rFonts w:ascii="Arial" w:eastAsia="Roboto" w:hAnsi="Arial" w:cs="Arial"/>
          <w:color w:val="202124"/>
          <w:sz w:val="27"/>
          <w:szCs w:val="27"/>
        </w:rPr>
        <w:t xml:space="preserve"> </w:t>
      </w:r>
      <w:r>
        <w:rPr>
          <w:rFonts w:ascii="Arial" w:hAnsi="Arial" w:cs="Arial"/>
          <w:sz w:val="16"/>
          <w:szCs w:val="16"/>
        </w:rPr>
        <w:t>(LACRALO Co-Chair) and Maureen Hilyard (ALAC Chair)</w:t>
      </w:r>
      <w:r>
        <w:rPr>
          <w:rFonts w:ascii="Arial" w:hAnsi="Arial" w:cs="Arial"/>
          <w:sz w:val="16"/>
          <w:szCs w:val="16"/>
        </w:rPr>
        <w:br/>
        <w:t xml:space="preserve"> Standing (L-R): Glenn McKnight (NARALO Co-Chair), Ali Almeshal (APRALO Co-Chair), Daniel K. Nanghaka (O&amp;E SC Chair), and Matthias Hudobnik (EURALO Co-Chair)</w:t>
      </w:r>
    </w:p>
    <w:p w14:paraId="29509314" w14:textId="77777777" w:rsidR="000F523E" w:rsidRDefault="000F523E">
      <w:pPr>
        <w:pStyle w:val="Heading1"/>
        <w:rPr>
          <w:rFonts w:ascii="Arial" w:hAnsi="Arial" w:cs="Arial"/>
          <w:sz w:val="28"/>
          <w:szCs w:val="28"/>
        </w:rPr>
      </w:pPr>
      <w:bookmarkStart w:id="5" w:name="_arolcxe0i15c"/>
      <w:bookmarkEnd w:id="5"/>
    </w:p>
    <w:p w14:paraId="132728BB" w14:textId="77777777" w:rsidR="000F523E" w:rsidRDefault="002D5CA1">
      <w:pPr>
        <w:pStyle w:val="Heading1"/>
      </w:pPr>
      <w:r>
        <w:rPr>
          <w:rFonts w:ascii="Arial" w:hAnsi="Arial" w:cs="Arial"/>
          <w:sz w:val="28"/>
          <w:szCs w:val="28"/>
        </w:rPr>
        <w:t>Introduction</w:t>
      </w:r>
    </w:p>
    <w:p w14:paraId="605245D4" w14:textId="77777777" w:rsidR="000F523E" w:rsidRDefault="002D5CA1">
      <w:pPr>
        <w:pStyle w:val="Standard"/>
      </w:pPr>
      <w:r>
        <w:rPr>
          <w:rFonts w:ascii="Arial" w:hAnsi="Arial" w:cs="Arial"/>
        </w:rPr>
        <w:t>The At-Large Outreach and Engagement Strategy was</w:t>
      </w:r>
      <w:r>
        <w:rPr>
          <w:rFonts w:ascii="Arial" w:hAnsi="Arial" w:cs="Arial"/>
          <w:i/>
        </w:rPr>
        <w:t xml:space="preserve"> </w:t>
      </w:r>
      <w:r>
        <w:rPr>
          <w:rFonts w:ascii="Arial" w:hAnsi="Arial" w:cs="Arial"/>
        </w:rPr>
        <w:t>prepared by the ALAC Outreach and Engagement Subcommittee (O&amp;E SC) in March 2019, with the purpose of enhancing outreach, communication and engagement.</w:t>
      </w:r>
    </w:p>
    <w:p w14:paraId="4F4DC32F" w14:textId="77777777" w:rsidR="000F523E" w:rsidRDefault="002D5CA1">
      <w:pPr>
        <w:pStyle w:val="Standard"/>
      </w:pPr>
      <w:r>
        <w:rPr>
          <w:rFonts w:ascii="Arial" w:hAnsi="Arial" w:cs="Arial"/>
        </w:rPr>
        <w:t xml:space="preserve">The strategy was developed with reference to the </w:t>
      </w:r>
      <w:hyperlink r:id="rId10" w:history="1">
        <w:r>
          <w:rPr>
            <w:rStyle w:val="Internetlink"/>
            <w:rFonts w:ascii="Arial" w:hAnsi="Arial" w:cs="Arial"/>
          </w:rPr>
          <w:t>ICANN Strategic Plan for Fiscal Years 2016-2020</w:t>
        </w:r>
      </w:hyperlink>
      <w:r>
        <w:rPr>
          <w:rFonts w:ascii="Arial" w:hAnsi="Arial" w:cs="Arial"/>
        </w:rPr>
        <w:t>.</w:t>
      </w:r>
    </w:p>
    <w:p w14:paraId="7545D4DD" w14:textId="77777777" w:rsidR="000F523E" w:rsidRDefault="002D5CA1">
      <w:pPr>
        <w:pStyle w:val="Standard"/>
      </w:pPr>
      <w:r>
        <w:rPr>
          <w:rFonts w:ascii="Arial" w:hAnsi="Arial" w:cs="Arial"/>
        </w:rPr>
        <w:t xml:space="preserve">The first draft (v1) of the O&amp;E Strategy was presented during the ICANN63 Annual General Meeting (AGM) in Barcelona, Spain. The </w:t>
      </w:r>
      <w:hyperlink r:id="rId11" w:history="1">
        <w:r>
          <w:rPr>
            <w:rStyle w:val="Internetlink"/>
            <w:rFonts w:ascii="Arial" w:hAnsi="Arial" w:cs="Arial"/>
          </w:rPr>
          <w:t>first draft</w:t>
        </w:r>
      </w:hyperlink>
      <w:r>
        <w:rPr>
          <w:rFonts w:ascii="Arial" w:hAnsi="Arial" w:cs="Arial"/>
        </w:rPr>
        <w:t xml:space="preserve"> attracted input and comments from the At-Large community, leading to an updated O&amp;E Strategy (v1.1).</w:t>
      </w:r>
    </w:p>
    <w:p w14:paraId="1304069E" w14:textId="77777777" w:rsidR="000F523E" w:rsidRDefault="002D5CA1">
      <w:pPr>
        <w:pStyle w:val="Standard"/>
      </w:pPr>
      <w:r>
        <w:rPr>
          <w:rFonts w:ascii="Arial" w:hAnsi="Arial" w:cs="Arial"/>
        </w:rPr>
        <w:t>The initiation of this draft was prompted by items in the</w:t>
      </w:r>
      <w:hyperlink r:id="rId12" w:history="1">
        <w:r>
          <w:rPr>
            <w:rFonts w:ascii="Arial" w:hAnsi="Arial" w:cs="Arial"/>
            <w:color w:val="1155CC"/>
            <w:u w:val="single"/>
          </w:rPr>
          <w:t xml:space="preserve"> At-Large Review Implementation Overview Proposal</w:t>
        </w:r>
      </w:hyperlink>
      <w:r>
        <w:rPr>
          <w:rFonts w:ascii="Arial" w:hAnsi="Arial" w:cs="Arial"/>
        </w:rPr>
        <w:t xml:space="preserve"> directly related to, and affecting, the O&amp;E SC.</w:t>
      </w:r>
    </w:p>
    <w:p w14:paraId="1C7E9745" w14:textId="77777777" w:rsidR="000F523E" w:rsidRDefault="002D5CA1">
      <w:pPr>
        <w:pStyle w:val="Standard"/>
      </w:pPr>
      <w:r>
        <w:rPr>
          <w:rFonts w:ascii="Arial" w:hAnsi="Arial" w:cs="Arial"/>
        </w:rPr>
        <w:t>This O&amp;E strategy builds a benchmark for other working groups to enhance engagement and participation within ICANN.</w:t>
      </w:r>
    </w:p>
    <w:p w14:paraId="3F7DEA90" w14:textId="77777777" w:rsidR="000F523E" w:rsidRDefault="002D5CA1">
      <w:pPr>
        <w:pStyle w:val="Heading2"/>
        <w:jc w:val="center"/>
        <w:rPr>
          <w:rFonts w:ascii="Arial" w:hAnsi="Arial" w:cs="Arial"/>
        </w:rPr>
      </w:pPr>
      <w:bookmarkStart w:id="6" w:name="_270ldoebzhj6"/>
      <w:r>
        <w:rPr>
          <w:rFonts w:ascii="Arial" w:hAnsi="Arial" w:cs="Arial"/>
          <w:noProof/>
        </w:rPr>
        <w:drawing>
          <wp:anchor distT="0" distB="0" distL="114300" distR="114300" simplePos="0" relativeHeight="251658240" behindDoc="0" locked="0" layoutInCell="1" allowOverlap="1" wp14:anchorId="5549A248" wp14:editId="04E37C20">
            <wp:simplePos x="0" y="0"/>
            <wp:positionH relativeFrom="column">
              <wp:posOffset>-114482</wp:posOffset>
            </wp:positionH>
            <wp:positionV relativeFrom="paragraph">
              <wp:posOffset>399958</wp:posOffset>
            </wp:positionV>
            <wp:extent cx="2380000" cy="1338132"/>
            <wp:effectExtent l="0" t="0" r="1250" b="0"/>
            <wp:wrapSquare wrapText="bothSides"/>
            <wp:docPr id="7" name="image7.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2380000" cy="1338132"/>
                    </a:xfrm>
                    <a:prstGeom prst="rect">
                      <a:avLst/>
                    </a:prstGeom>
                    <a:noFill/>
                    <a:ln>
                      <a:noFill/>
                      <a:prstDash/>
                    </a:ln>
                  </pic:spPr>
                </pic:pic>
              </a:graphicData>
            </a:graphic>
          </wp:anchor>
        </w:drawing>
      </w:r>
      <w:bookmarkEnd w:id="6"/>
    </w:p>
    <w:p w14:paraId="5C9C6E80" w14:textId="77777777" w:rsidR="000F523E" w:rsidRDefault="002D5CA1">
      <w:pPr>
        <w:pStyle w:val="Standard"/>
        <w:jc w:val="both"/>
      </w:pPr>
      <w:r>
        <w:rPr>
          <w:noProof/>
        </w:rPr>
        <w:drawing>
          <wp:inline distT="0" distB="0" distL="0" distR="0" wp14:anchorId="261D948B" wp14:editId="57D865D2">
            <wp:extent cx="2119670" cy="1512691"/>
            <wp:effectExtent l="0" t="0" r="0" b="0"/>
            <wp:docPr id="8" name="image10.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2119670" cy="1512691"/>
                    </a:xfrm>
                    <a:prstGeom prst="rect">
                      <a:avLst/>
                    </a:prstGeom>
                    <a:noFill/>
                    <a:ln>
                      <a:noFill/>
                      <a:prstDash/>
                    </a:ln>
                  </pic:spPr>
                </pic:pic>
              </a:graphicData>
            </a:graphic>
          </wp:inline>
        </w:drawing>
      </w:r>
    </w:p>
    <w:p w14:paraId="78481CAF" w14:textId="77777777" w:rsidR="000F523E" w:rsidRDefault="002D5CA1">
      <w:pPr>
        <w:pStyle w:val="Standard"/>
        <w:jc w:val="both"/>
      </w:pPr>
      <w:r>
        <w:rPr>
          <w:rFonts w:ascii="Arial" w:hAnsi="Arial" w:cs="Arial"/>
          <w:b/>
        </w:rPr>
        <w:t>O&amp;E Mission Statement</w:t>
      </w:r>
    </w:p>
    <w:p w14:paraId="01814CE8" w14:textId="30F1185F" w:rsidR="000F523E" w:rsidRDefault="002D5CA1">
      <w:pPr>
        <w:pStyle w:val="Standard"/>
        <w:jc w:val="both"/>
      </w:pPr>
      <w:r>
        <w:rPr>
          <w:rFonts w:ascii="Arial" w:hAnsi="Arial" w:cs="Arial"/>
        </w:rPr>
        <w:t>To drive and better facilitate</w:t>
      </w:r>
      <w:r w:rsidR="00F9352D">
        <w:rPr>
          <w:rFonts w:ascii="Arial" w:hAnsi="Arial" w:cs="Arial"/>
        </w:rPr>
        <w:t xml:space="preserve"> participation of the At-Large community with</w:t>
      </w:r>
      <w:r>
        <w:rPr>
          <w:rFonts w:ascii="Arial" w:hAnsi="Arial" w:cs="Arial"/>
        </w:rPr>
        <w:t xml:space="preserve">in ICANN and related ICANN </w:t>
      </w:r>
      <w:r w:rsidR="00F9352D">
        <w:rPr>
          <w:rFonts w:ascii="Arial" w:hAnsi="Arial" w:cs="Arial"/>
        </w:rPr>
        <w:t xml:space="preserve">policy </w:t>
      </w:r>
      <w:r>
        <w:rPr>
          <w:rFonts w:ascii="Arial" w:hAnsi="Arial" w:cs="Arial"/>
        </w:rPr>
        <w:t>activities, via an effective outreach and engagement strategy.</w:t>
      </w:r>
    </w:p>
    <w:p w14:paraId="586FFFFA" w14:textId="77777777" w:rsidR="000F523E" w:rsidRDefault="002D5CA1">
      <w:pPr>
        <w:pStyle w:val="Standard"/>
        <w:jc w:val="center"/>
      </w:pPr>
      <w:r>
        <w:rPr>
          <w:noProof/>
        </w:rPr>
        <w:drawing>
          <wp:inline distT="0" distB="0" distL="0" distR="0" wp14:anchorId="23C71483" wp14:editId="276ABCA9">
            <wp:extent cx="3769156" cy="2246772"/>
            <wp:effectExtent l="0" t="0" r="2744" b="1128"/>
            <wp:docPr id="9" name="image9.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3769156" cy="2246772"/>
                    </a:xfrm>
                    <a:prstGeom prst="rect">
                      <a:avLst/>
                    </a:prstGeom>
                    <a:noFill/>
                    <a:ln>
                      <a:noFill/>
                      <a:prstDash/>
                    </a:ln>
                  </pic:spPr>
                </pic:pic>
              </a:graphicData>
            </a:graphic>
          </wp:inline>
        </w:drawing>
      </w:r>
    </w:p>
    <w:p w14:paraId="5BBBED4A" w14:textId="77777777" w:rsidR="000F523E" w:rsidRDefault="000F523E">
      <w:pPr>
        <w:pStyle w:val="Standard"/>
        <w:jc w:val="both"/>
        <w:rPr>
          <w:rFonts w:ascii="Arial" w:hAnsi="Arial" w:cs="Arial"/>
          <w:b/>
        </w:rPr>
      </w:pPr>
    </w:p>
    <w:p w14:paraId="538B2286" w14:textId="77777777" w:rsidR="000F523E" w:rsidRDefault="002D5CA1">
      <w:pPr>
        <w:pStyle w:val="Standard"/>
        <w:jc w:val="both"/>
      </w:pPr>
      <w:r>
        <w:rPr>
          <w:rFonts w:ascii="Arial" w:hAnsi="Arial" w:cs="Arial"/>
          <w:b/>
        </w:rPr>
        <w:t>Strategic Objectives</w:t>
      </w:r>
    </w:p>
    <w:p w14:paraId="1BB84513" w14:textId="77777777" w:rsidR="000F523E" w:rsidRDefault="002D5CA1">
      <w:pPr>
        <w:pStyle w:val="Standard"/>
        <w:numPr>
          <w:ilvl w:val="0"/>
          <w:numId w:val="9"/>
        </w:numPr>
        <w:spacing w:before="240"/>
      </w:pPr>
      <w:r>
        <w:rPr>
          <w:rFonts w:ascii="Arial" w:hAnsi="Arial" w:cs="Arial"/>
        </w:rPr>
        <w:t>Influence the qualitative and quantitative growth of the At-Large community, through increased collaboration and engagement with At-Large Structures (ALSes) and Individual Members.</w:t>
      </w:r>
    </w:p>
    <w:p w14:paraId="073EADF1" w14:textId="51390F3F" w:rsidR="000F523E" w:rsidRDefault="002D5CA1">
      <w:pPr>
        <w:pStyle w:val="Standard"/>
        <w:numPr>
          <w:ilvl w:val="0"/>
          <w:numId w:val="5"/>
        </w:numPr>
        <w:spacing w:before="0"/>
      </w:pPr>
      <w:r>
        <w:rPr>
          <w:rFonts w:ascii="Arial" w:hAnsi="Arial" w:cs="Arial"/>
        </w:rPr>
        <w:t>Facilitate and prom</w:t>
      </w:r>
      <w:r w:rsidR="00F9352D">
        <w:rPr>
          <w:rFonts w:ascii="Arial" w:hAnsi="Arial" w:cs="Arial"/>
        </w:rPr>
        <w:t>ote informed participation with</w:t>
      </w:r>
      <w:r>
        <w:rPr>
          <w:rFonts w:ascii="Arial" w:hAnsi="Arial" w:cs="Arial"/>
        </w:rPr>
        <w:t xml:space="preserve">in </w:t>
      </w:r>
      <w:r w:rsidR="00F9352D">
        <w:rPr>
          <w:rFonts w:ascii="Arial" w:hAnsi="Arial" w:cs="Arial"/>
        </w:rPr>
        <w:t>ICANN</w:t>
      </w:r>
      <w:r>
        <w:rPr>
          <w:rFonts w:ascii="Arial" w:hAnsi="Arial" w:cs="Arial"/>
        </w:rPr>
        <w:t>.</w:t>
      </w:r>
      <w:r>
        <w:rPr>
          <w:rFonts w:ascii="Arial" w:hAnsi="Arial" w:cs="Arial"/>
        </w:rPr>
        <w:tab/>
      </w:r>
    </w:p>
    <w:p w14:paraId="0AA3A755" w14:textId="607200CC" w:rsidR="000F523E" w:rsidRDefault="002D5CA1">
      <w:pPr>
        <w:pStyle w:val="Standard"/>
        <w:numPr>
          <w:ilvl w:val="0"/>
          <w:numId w:val="5"/>
        </w:numPr>
        <w:spacing w:before="0"/>
      </w:pPr>
      <w:r>
        <w:rPr>
          <w:rFonts w:ascii="Arial" w:hAnsi="Arial" w:cs="Arial"/>
        </w:rPr>
        <w:t>Improve the collaboration between At-Large working groups, the ICANN Global Stakeholde</w:t>
      </w:r>
      <w:r w:rsidR="00CD23A4">
        <w:rPr>
          <w:rFonts w:ascii="Arial" w:hAnsi="Arial" w:cs="Arial"/>
        </w:rPr>
        <w:t>r Engagement Team (GSE), and At-</w:t>
      </w:r>
      <w:r>
        <w:rPr>
          <w:rFonts w:ascii="Arial" w:hAnsi="Arial" w:cs="Arial"/>
        </w:rPr>
        <w:t>Large staff on a monthly basis.</w:t>
      </w:r>
      <w:r>
        <w:rPr>
          <w:rFonts w:ascii="Arial" w:hAnsi="Arial" w:cs="Arial"/>
        </w:rPr>
        <w:tab/>
      </w:r>
    </w:p>
    <w:p w14:paraId="435724DF" w14:textId="77777777" w:rsidR="000F523E" w:rsidRDefault="002D5CA1">
      <w:pPr>
        <w:pStyle w:val="Standard"/>
        <w:numPr>
          <w:ilvl w:val="0"/>
          <w:numId w:val="5"/>
        </w:numPr>
        <w:spacing w:before="0"/>
        <w:jc w:val="both"/>
      </w:pPr>
      <w:r>
        <w:rPr>
          <w:rFonts w:ascii="Arial" w:hAnsi="Arial" w:cs="Arial"/>
        </w:rPr>
        <w:t>Build and share collaboration best practices with other ICANN constituencies.</w:t>
      </w:r>
    </w:p>
    <w:p w14:paraId="012E534F" w14:textId="4FAB9754" w:rsidR="000F523E" w:rsidRDefault="002D5CA1">
      <w:pPr>
        <w:pStyle w:val="Standard"/>
        <w:numPr>
          <w:ilvl w:val="0"/>
          <w:numId w:val="5"/>
        </w:numPr>
        <w:spacing w:before="0"/>
        <w:jc w:val="both"/>
      </w:pPr>
      <w:r>
        <w:rPr>
          <w:rFonts w:ascii="Arial" w:hAnsi="Arial" w:cs="Arial"/>
        </w:rPr>
        <w:t xml:space="preserve">Enhance collaboration between Regional At-Large Organizations (RALOs), the </w:t>
      </w:r>
      <w:r>
        <w:rPr>
          <w:rFonts w:ascii="Arial" w:eastAsia="Roboto" w:hAnsi="Arial" w:cs="Arial"/>
          <w:color w:val="3C4043"/>
          <w:shd w:val="clear" w:color="auto" w:fill="FFFFFF"/>
        </w:rPr>
        <w:t xml:space="preserve">Regional Internet Registries (RIRs) </w:t>
      </w:r>
      <w:r>
        <w:rPr>
          <w:rFonts w:ascii="Arial" w:hAnsi="Arial" w:cs="Arial"/>
        </w:rPr>
        <w:t>and other MOU partners to build</w:t>
      </w:r>
      <w:r w:rsidR="00CD23A4">
        <w:rPr>
          <w:rFonts w:ascii="Arial" w:hAnsi="Arial" w:cs="Arial"/>
        </w:rPr>
        <w:t xml:space="preserve"> capacity and competency within</w:t>
      </w:r>
      <w:bookmarkStart w:id="7" w:name="_GoBack"/>
      <w:bookmarkEnd w:id="7"/>
      <w:r>
        <w:rPr>
          <w:rFonts w:ascii="Arial" w:hAnsi="Arial" w:cs="Arial"/>
        </w:rPr>
        <w:t xml:space="preserve"> ICANN.</w:t>
      </w:r>
      <w:r>
        <w:rPr>
          <w:rFonts w:ascii="Arial" w:hAnsi="Arial" w:cs="Arial"/>
        </w:rPr>
        <w:tab/>
      </w:r>
    </w:p>
    <w:p w14:paraId="693EBE6F" w14:textId="77777777" w:rsidR="000F523E" w:rsidRDefault="002D5CA1">
      <w:pPr>
        <w:pStyle w:val="Standard"/>
        <w:numPr>
          <w:ilvl w:val="0"/>
          <w:numId w:val="5"/>
        </w:numPr>
        <w:spacing w:before="0" w:after="240"/>
        <w:jc w:val="both"/>
      </w:pPr>
      <w:r>
        <w:rPr>
          <w:rFonts w:ascii="Arial" w:hAnsi="Arial" w:cs="Arial"/>
        </w:rPr>
        <w:t>Use relevant metrics and performance indicators to enhance outreach and engagement, and produce an O&amp;E Annual Report on opportunities, challenges and recommendations.</w:t>
      </w:r>
    </w:p>
    <w:p w14:paraId="271CA622" w14:textId="77777777" w:rsidR="000F523E" w:rsidRDefault="002D5CA1">
      <w:pPr>
        <w:pStyle w:val="Standard"/>
        <w:jc w:val="center"/>
      </w:pPr>
      <w:r>
        <w:rPr>
          <w:noProof/>
        </w:rPr>
        <w:drawing>
          <wp:inline distT="0" distB="0" distL="0" distR="0" wp14:anchorId="44D4556B" wp14:editId="20DDC24A">
            <wp:extent cx="2857682" cy="1600200"/>
            <wp:effectExtent l="0" t="0" r="0" b="0"/>
            <wp:docPr id="10" name="image6.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2857682" cy="1600200"/>
                    </a:xfrm>
                    <a:prstGeom prst="rect">
                      <a:avLst/>
                    </a:prstGeom>
                    <a:noFill/>
                    <a:ln>
                      <a:noFill/>
                      <a:prstDash/>
                    </a:ln>
                  </pic:spPr>
                </pic:pic>
              </a:graphicData>
            </a:graphic>
          </wp:inline>
        </w:drawing>
      </w:r>
    </w:p>
    <w:p w14:paraId="111E2452" w14:textId="77777777" w:rsidR="000F523E" w:rsidRDefault="000F523E">
      <w:pPr>
        <w:pStyle w:val="Standard"/>
        <w:jc w:val="both"/>
        <w:rPr>
          <w:rFonts w:ascii="Arial" w:hAnsi="Arial" w:cs="Arial"/>
          <w:b/>
        </w:rPr>
      </w:pPr>
    </w:p>
    <w:p w14:paraId="4C641995" w14:textId="77777777" w:rsidR="000F523E" w:rsidRDefault="002D5CA1">
      <w:pPr>
        <w:pStyle w:val="Standard"/>
        <w:jc w:val="both"/>
      </w:pPr>
      <w:r>
        <w:rPr>
          <w:rFonts w:ascii="Arial" w:hAnsi="Arial" w:cs="Arial"/>
          <w:b/>
        </w:rPr>
        <w:t>Key Communication Objectives</w:t>
      </w:r>
    </w:p>
    <w:p w14:paraId="37364105" w14:textId="77777777" w:rsidR="000F523E" w:rsidRDefault="002D5CA1">
      <w:pPr>
        <w:pStyle w:val="Standard"/>
        <w:numPr>
          <w:ilvl w:val="0"/>
          <w:numId w:val="10"/>
        </w:numPr>
        <w:spacing w:before="240"/>
        <w:jc w:val="both"/>
      </w:pPr>
      <w:r>
        <w:rPr>
          <w:rFonts w:ascii="Arial" w:hAnsi="Arial" w:cs="Arial"/>
        </w:rPr>
        <w:t>Facilitate the support and development of strong communication, both within the At-Large community and within the broader ICANN community.</w:t>
      </w:r>
    </w:p>
    <w:p w14:paraId="37693921" w14:textId="77777777" w:rsidR="000F523E" w:rsidRDefault="002D5CA1">
      <w:pPr>
        <w:pStyle w:val="Standard"/>
        <w:numPr>
          <w:ilvl w:val="0"/>
          <w:numId w:val="2"/>
        </w:numPr>
        <w:spacing w:before="0"/>
        <w:jc w:val="both"/>
      </w:pPr>
      <w:r>
        <w:rPr>
          <w:rFonts w:ascii="Arial" w:hAnsi="Arial" w:cs="Arial"/>
        </w:rPr>
        <w:t>Provide communication channels, tools and protocols, which promote the effective and efficient exchange of information among stakeholders.</w:t>
      </w:r>
    </w:p>
    <w:p w14:paraId="5AC1786F" w14:textId="77777777" w:rsidR="000F523E" w:rsidRDefault="002D5CA1">
      <w:pPr>
        <w:pStyle w:val="Standard"/>
        <w:numPr>
          <w:ilvl w:val="0"/>
          <w:numId w:val="2"/>
        </w:numPr>
        <w:spacing w:before="0"/>
        <w:jc w:val="both"/>
      </w:pPr>
      <w:r>
        <w:rPr>
          <w:rFonts w:ascii="Arial" w:hAnsi="Arial" w:cs="Arial"/>
        </w:rPr>
        <w:t>Synchronize promotion of activities on shared community calendars, wiki, website, blog and newsletters.</w:t>
      </w:r>
    </w:p>
    <w:p w14:paraId="4B36252C" w14:textId="29FF4D35" w:rsidR="000F523E" w:rsidRDefault="002D5CA1">
      <w:pPr>
        <w:pStyle w:val="Standard"/>
        <w:numPr>
          <w:ilvl w:val="0"/>
          <w:numId w:val="2"/>
        </w:numPr>
        <w:spacing w:before="0" w:after="240"/>
        <w:jc w:val="both"/>
      </w:pPr>
      <w:r>
        <w:rPr>
          <w:rFonts w:ascii="Arial" w:hAnsi="Arial" w:cs="Arial"/>
        </w:rPr>
        <w:t>To deliver a comprehensive communication and out</w:t>
      </w:r>
      <w:r w:rsidR="000A32AF">
        <w:rPr>
          <w:rFonts w:ascii="Arial" w:hAnsi="Arial" w:cs="Arial"/>
        </w:rPr>
        <w:t>reach action plan, in alignment</w:t>
      </w:r>
      <w:r>
        <w:rPr>
          <w:rFonts w:ascii="Arial" w:hAnsi="Arial" w:cs="Arial"/>
        </w:rPr>
        <w:t xml:space="preserve"> with the ICANN Strategic Plan and other priorities identified by the ICANN Global Stakeholder Engagement Team (GSE).</w:t>
      </w:r>
    </w:p>
    <w:p w14:paraId="773CE392" w14:textId="77777777" w:rsidR="000F523E" w:rsidRDefault="002D5CA1">
      <w:pPr>
        <w:pStyle w:val="Standard"/>
        <w:jc w:val="both"/>
      </w:pPr>
      <w:r>
        <w:rPr>
          <w:rFonts w:ascii="Arial" w:hAnsi="Arial" w:cs="Arial"/>
        </w:rPr>
        <w:t>Specifically, to:</w:t>
      </w:r>
    </w:p>
    <w:p w14:paraId="75F34907" w14:textId="77777777" w:rsidR="000F523E" w:rsidRDefault="002D5CA1">
      <w:pPr>
        <w:pStyle w:val="Standard"/>
        <w:numPr>
          <w:ilvl w:val="0"/>
          <w:numId w:val="11"/>
        </w:numPr>
        <w:spacing w:before="240"/>
      </w:pPr>
      <w:r>
        <w:rPr>
          <w:rFonts w:ascii="Arial" w:hAnsi="Arial" w:cs="Arial"/>
          <w:b/>
        </w:rPr>
        <w:t xml:space="preserve">Build awareness </w:t>
      </w:r>
      <w:r>
        <w:rPr>
          <w:rFonts w:ascii="Arial" w:hAnsi="Arial" w:cs="Arial"/>
        </w:rPr>
        <w:t>of ICANN policy, among a wide but defined group of stakeholders and interest groups.</w:t>
      </w:r>
    </w:p>
    <w:p w14:paraId="11458E74" w14:textId="77777777" w:rsidR="000F523E" w:rsidRDefault="002D5CA1">
      <w:pPr>
        <w:pStyle w:val="Standard"/>
        <w:numPr>
          <w:ilvl w:val="0"/>
          <w:numId w:val="3"/>
        </w:numPr>
        <w:spacing w:before="0"/>
        <w:jc w:val="both"/>
      </w:pPr>
      <w:r>
        <w:rPr>
          <w:rFonts w:ascii="Arial" w:hAnsi="Arial" w:cs="Arial"/>
          <w:b/>
        </w:rPr>
        <w:t xml:space="preserve">Communicate </w:t>
      </w:r>
      <w:r>
        <w:rPr>
          <w:rFonts w:ascii="Arial" w:hAnsi="Arial" w:cs="Arial"/>
        </w:rPr>
        <w:t>ICANN policy both in draft, approved and amended versions, to build the capacity of the At-Large community in the ICANN policy workflow.</w:t>
      </w:r>
    </w:p>
    <w:p w14:paraId="3476A3D3" w14:textId="77777777" w:rsidR="000F523E" w:rsidRDefault="002D5CA1">
      <w:pPr>
        <w:pStyle w:val="Standard"/>
        <w:numPr>
          <w:ilvl w:val="0"/>
          <w:numId w:val="3"/>
        </w:numPr>
        <w:spacing w:before="0"/>
        <w:jc w:val="both"/>
      </w:pPr>
      <w:r>
        <w:rPr>
          <w:rFonts w:ascii="Arial" w:hAnsi="Arial" w:cs="Arial"/>
          <w:b/>
        </w:rPr>
        <w:t xml:space="preserve">Inform and influence </w:t>
      </w:r>
      <w:r>
        <w:rPr>
          <w:rFonts w:ascii="Arial" w:hAnsi="Arial" w:cs="Arial"/>
        </w:rPr>
        <w:t>specific policies and policymakers on trending ICANN policy discussions.</w:t>
      </w:r>
    </w:p>
    <w:p w14:paraId="4677AB85" w14:textId="77777777" w:rsidR="000F523E" w:rsidRDefault="002D5CA1">
      <w:pPr>
        <w:pStyle w:val="Standard"/>
        <w:numPr>
          <w:ilvl w:val="0"/>
          <w:numId w:val="3"/>
        </w:numPr>
        <w:spacing w:before="0"/>
      </w:pPr>
      <w:r>
        <w:rPr>
          <w:rFonts w:ascii="Arial" w:hAnsi="Arial" w:cs="Arial"/>
          <w:b/>
        </w:rPr>
        <w:t xml:space="preserve">Encourage </w:t>
      </w:r>
      <w:r>
        <w:rPr>
          <w:rFonts w:ascii="Arial" w:hAnsi="Arial" w:cs="Arial"/>
        </w:rPr>
        <w:t>community participation in the ICANN advisory process.</w:t>
      </w:r>
    </w:p>
    <w:p w14:paraId="77FBED4C" w14:textId="77777777" w:rsidR="000F523E" w:rsidRDefault="002D5CA1">
      <w:pPr>
        <w:pStyle w:val="Standard"/>
        <w:numPr>
          <w:ilvl w:val="0"/>
          <w:numId w:val="3"/>
        </w:numPr>
        <w:spacing w:before="0"/>
      </w:pPr>
      <w:r>
        <w:rPr>
          <w:rFonts w:ascii="Arial" w:hAnsi="Arial" w:cs="Arial"/>
          <w:b/>
        </w:rPr>
        <w:t xml:space="preserve">Raise awareness </w:t>
      </w:r>
      <w:r>
        <w:rPr>
          <w:rFonts w:ascii="Arial" w:hAnsi="Arial" w:cs="Arial"/>
        </w:rPr>
        <w:t>of the Internet end user perspective in the context of the Domain Name System (DNS); with the need for participation in the ICANN multistakeholder model.</w:t>
      </w:r>
    </w:p>
    <w:p w14:paraId="16CB709A" w14:textId="77777777" w:rsidR="000F523E" w:rsidRDefault="002D5CA1">
      <w:pPr>
        <w:pStyle w:val="Standard"/>
        <w:numPr>
          <w:ilvl w:val="0"/>
          <w:numId w:val="3"/>
        </w:numPr>
        <w:spacing w:before="0" w:after="240"/>
      </w:pPr>
      <w:r>
        <w:rPr>
          <w:rFonts w:ascii="Arial" w:hAnsi="Arial" w:cs="Arial"/>
          <w:b/>
        </w:rPr>
        <w:t xml:space="preserve">Ensure </w:t>
      </w:r>
      <w:r>
        <w:rPr>
          <w:rFonts w:ascii="Arial" w:hAnsi="Arial" w:cs="Arial"/>
        </w:rPr>
        <w:t>periodic progress reports to identified stakeholders to enhance dialogue and understanding about ICANN policy issues.</w:t>
      </w:r>
    </w:p>
    <w:p w14:paraId="15AB7E51" w14:textId="77777777" w:rsidR="000F523E" w:rsidRDefault="002D5CA1">
      <w:pPr>
        <w:pStyle w:val="Standard"/>
        <w:spacing w:before="240" w:after="240"/>
        <w:ind w:left="0"/>
        <w:jc w:val="both"/>
      </w:pPr>
      <w:r>
        <w:rPr>
          <w:rFonts w:ascii="Arial" w:hAnsi="Arial" w:cs="Arial"/>
        </w:rPr>
        <w:t>This communication strategy has been developed in collaboration with At-Large staff and the Social Media Working Group (SMWG) to identify key stakeholders (target audiences), as well as key messages and suitable communication channels. The strategy proposes specific communication and stakeholder participation activities which focus on encouraging the engagement of regional communities and members in the work of At-Large.</w:t>
      </w:r>
    </w:p>
    <w:p w14:paraId="6F19B001" w14:textId="77777777" w:rsidR="000F523E" w:rsidRDefault="002D5CA1">
      <w:pPr>
        <w:pStyle w:val="Standard"/>
        <w:spacing w:before="240" w:after="240"/>
        <w:ind w:left="720"/>
        <w:jc w:val="center"/>
      </w:pPr>
      <w:r>
        <w:rPr>
          <w:noProof/>
        </w:rPr>
        <w:drawing>
          <wp:inline distT="0" distB="0" distL="0" distR="0" wp14:anchorId="7673513E" wp14:editId="4100B8DA">
            <wp:extent cx="5600882" cy="2166487"/>
            <wp:effectExtent l="0" t="0" r="0" b="5213"/>
            <wp:docPr id="11" name="image17.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5600882" cy="2166487"/>
                    </a:xfrm>
                    <a:prstGeom prst="rect">
                      <a:avLst/>
                    </a:prstGeom>
                    <a:noFill/>
                    <a:ln>
                      <a:noFill/>
                      <a:prstDash/>
                    </a:ln>
                  </pic:spPr>
                </pic:pic>
              </a:graphicData>
            </a:graphic>
          </wp:inline>
        </w:drawing>
      </w:r>
    </w:p>
    <w:p w14:paraId="47821A9D" w14:textId="77777777" w:rsidR="000F523E" w:rsidRDefault="000F523E">
      <w:pPr>
        <w:pStyle w:val="Standard"/>
        <w:spacing w:before="240" w:after="240"/>
        <w:ind w:left="720"/>
        <w:rPr>
          <w:rFonts w:ascii="Arial" w:hAnsi="Arial" w:cs="Arial"/>
        </w:rPr>
      </w:pPr>
    </w:p>
    <w:p w14:paraId="6543C370" w14:textId="77777777" w:rsidR="000F523E" w:rsidRDefault="002D5CA1">
      <w:pPr>
        <w:pStyle w:val="Standard"/>
        <w:spacing w:before="240" w:after="240"/>
        <w:ind w:left="0"/>
        <w:jc w:val="both"/>
      </w:pPr>
      <w:r>
        <w:rPr>
          <w:rFonts w:ascii="Arial" w:hAnsi="Arial" w:cs="Arial"/>
          <w:b/>
        </w:rPr>
        <w:t>Communication Channel</w:t>
      </w:r>
    </w:p>
    <w:p w14:paraId="73AD87AF" w14:textId="77777777" w:rsidR="000F523E" w:rsidRDefault="002D5CA1">
      <w:pPr>
        <w:pStyle w:val="Standard"/>
        <w:spacing w:before="240" w:after="240"/>
        <w:ind w:left="0"/>
        <w:jc w:val="both"/>
      </w:pPr>
      <w:r>
        <w:rPr>
          <w:rFonts w:ascii="Arial" w:hAnsi="Arial" w:cs="Arial"/>
        </w:rPr>
        <w:t>The O&amp;E strategy aims to promote the use of the At-Large website as a single channel that offers maximum usability. This communication channel, should give general knowledge and news, and should inform its community about the work of At-Large, and in particular the role of At-Large Structures (ALSes) and their importance to the work of At-Large.</w:t>
      </w:r>
    </w:p>
    <w:p w14:paraId="633B4945" w14:textId="3A752AFC" w:rsidR="000F523E" w:rsidRDefault="002D5CA1">
      <w:pPr>
        <w:pStyle w:val="Standard"/>
        <w:spacing w:before="240" w:after="240"/>
        <w:ind w:left="0"/>
        <w:jc w:val="both"/>
      </w:pPr>
      <w:r>
        <w:rPr>
          <w:rFonts w:ascii="Arial" w:hAnsi="Arial" w:cs="Arial"/>
        </w:rPr>
        <w:t>The channel would first of all simplify the application procedure, to increase the potential of attracting ALSes which are both knowledgeable about ICANN and are prepared to contribute to the work of At-Large. The channel should include explanatory content about the</w:t>
      </w:r>
      <w:r w:rsidR="000A32AF">
        <w:rPr>
          <w:rFonts w:ascii="Arial" w:hAnsi="Arial" w:cs="Arial"/>
        </w:rPr>
        <w:t xml:space="preserve"> </w:t>
      </w:r>
      <w:r>
        <w:rPr>
          <w:rFonts w:ascii="Arial" w:hAnsi="Arial" w:cs="Arial"/>
        </w:rPr>
        <w:t>work that members of an accredited ALS will be involved in, and where necessary, introductory online training about At-Large activity.</w:t>
      </w:r>
    </w:p>
    <w:p w14:paraId="7476D047" w14:textId="3CC0FFA5" w:rsidR="000F523E" w:rsidRDefault="002D5CA1">
      <w:pPr>
        <w:pStyle w:val="Standard"/>
        <w:spacing w:before="240" w:after="240"/>
        <w:ind w:left="0"/>
        <w:jc w:val="both"/>
      </w:pPr>
      <w:r>
        <w:rPr>
          <w:rFonts w:ascii="Arial" w:hAnsi="Arial" w:cs="Arial"/>
        </w:rPr>
        <w:t>It i</w:t>
      </w:r>
      <w:r w:rsidR="000A32AF">
        <w:rPr>
          <w:rFonts w:ascii="Arial" w:hAnsi="Arial" w:cs="Arial"/>
        </w:rPr>
        <w:t>s important to note the At-Large</w:t>
      </w:r>
      <w:r>
        <w:rPr>
          <w:rFonts w:ascii="Arial" w:hAnsi="Arial" w:cs="Arial"/>
        </w:rPr>
        <w:t xml:space="preserve"> website would be a focal point to facilitate a range of uses:</w:t>
      </w:r>
    </w:p>
    <w:p w14:paraId="0D21296F" w14:textId="77777777" w:rsidR="000F523E" w:rsidRDefault="002D5CA1">
      <w:pPr>
        <w:pStyle w:val="Standard"/>
        <w:numPr>
          <w:ilvl w:val="0"/>
          <w:numId w:val="12"/>
        </w:numPr>
        <w:spacing w:before="240"/>
        <w:jc w:val="both"/>
      </w:pPr>
      <w:r>
        <w:rPr>
          <w:rFonts w:ascii="Arial" w:hAnsi="Arial" w:cs="Arial"/>
        </w:rPr>
        <w:t>The collection of regular feedback from ALSes on ICANN related issues, via an online feedback form.</w:t>
      </w:r>
    </w:p>
    <w:p w14:paraId="4C3F41B1" w14:textId="77777777" w:rsidR="000F523E" w:rsidRDefault="002D5CA1">
      <w:pPr>
        <w:pStyle w:val="Standard"/>
        <w:numPr>
          <w:ilvl w:val="0"/>
          <w:numId w:val="13"/>
        </w:numPr>
        <w:spacing w:before="0"/>
        <w:jc w:val="both"/>
      </w:pPr>
      <w:r>
        <w:rPr>
          <w:rFonts w:ascii="Arial" w:hAnsi="Arial" w:cs="Arial"/>
        </w:rPr>
        <w:t>The promotion of standardized promotion materials for RALOs to use during their events.</w:t>
      </w:r>
    </w:p>
    <w:p w14:paraId="31C8103F" w14:textId="77777777" w:rsidR="000F523E" w:rsidRDefault="002D5CA1">
      <w:pPr>
        <w:pStyle w:val="Standard"/>
        <w:numPr>
          <w:ilvl w:val="0"/>
          <w:numId w:val="8"/>
        </w:numPr>
        <w:spacing w:before="0"/>
        <w:jc w:val="both"/>
      </w:pPr>
      <w:r>
        <w:rPr>
          <w:rFonts w:ascii="Arial" w:hAnsi="Arial" w:cs="Arial"/>
        </w:rPr>
        <w:t xml:space="preserve">The use of a blog template to encourage informative blog on the website, authored by ALS and Individual Members about interesting activities within their regions as well as general information about the work of At-Large.  </w:t>
      </w:r>
    </w:p>
    <w:p w14:paraId="63241EC5" w14:textId="77777777" w:rsidR="000F523E" w:rsidRDefault="002D5CA1">
      <w:pPr>
        <w:pStyle w:val="Standard"/>
        <w:numPr>
          <w:ilvl w:val="0"/>
          <w:numId w:val="8"/>
        </w:numPr>
        <w:spacing w:before="0"/>
        <w:jc w:val="both"/>
      </w:pPr>
      <w:r>
        <w:rPr>
          <w:rFonts w:ascii="Arial" w:hAnsi="Arial" w:cs="Arial"/>
        </w:rPr>
        <w:t>RALOs could contribute to a centralized repository of presentations about local, regional and global events, which may be shared between RALOS and across ICANN to explain the work of At-Large and its policy work.</w:t>
      </w:r>
    </w:p>
    <w:p w14:paraId="7BBD5C41" w14:textId="77777777" w:rsidR="000F523E" w:rsidRDefault="002D5CA1">
      <w:pPr>
        <w:pStyle w:val="Standard"/>
        <w:numPr>
          <w:ilvl w:val="0"/>
          <w:numId w:val="8"/>
        </w:numPr>
        <w:spacing w:before="0"/>
        <w:jc w:val="both"/>
      </w:pPr>
      <w:r>
        <w:rPr>
          <w:rFonts w:ascii="Arial" w:hAnsi="Arial" w:cs="Arial"/>
        </w:rPr>
        <w:t>The website should be the regular home of the calendar of events, which represent an overview of the matrix of O&amp;E activities that are occurring across At-Large.</w:t>
      </w:r>
    </w:p>
    <w:p w14:paraId="2A893103" w14:textId="77777777" w:rsidR="000F523E" w:rsidRDefault="002D5CA1">
      <w:pPr>
        <w:pStyle w:val="Standard"/>
        <w:numPr>
          <w:ilvl w:val="0"/>
          <w:numId w:val="8"/>
        </w:numPr>
        <w:spacing w:before="0" w:after="240"/>
        <w:jc w:val="both"/>
      </w:pPr>
      <w:r>
        <w:rPr>
          <w:rFonts w:ascii="Arial" w:hAnsi="Arial" w:cs="Arial"/>
        </w:rPr>
        <w:t>One of the most effective ways to engage with the community is through face to face (F2F) meetings. RALO leaders become the authorized ambassadors for At-Large within their regions, and it is important that any messages that they convey to their regional partners and communities are consistent with the aims and objectives of At-Large.</w:t>
      </w:r>
    </w:p>
    <w:p w14:paraId="6C29FC41" w14:textId="77777777" w:rsidR="000F523E" w:rsidRDefault="002D5CA1">
      <w:pPr>
        <w:pStyle w:val="Standard"/>
        <w:spacing w:before="240" w:after="240"/>
        <w:ind w:left="720"/>
        <w:jc w:val="center"/>
      </w:pPr>
      <w:r>
        <w:rPr>
          <w:rFonts w:ascii="Arial" w:hAnsi="Arial" w:cs="Arial"/>
        </w:rPr>
        <w:t xml:space="preserve">  </w:t>
      </w:r>
      <w:r>
        <w:rPr>
          <w:noProof/>
        </w:rPr>
        <w:drawing>
          <wp:inline distT="0" distB="0" distL="0" distR="0" wp14:anchorId="53C04A74" wp14:editId="12F51404">
            <wp:extent cx="2531150" cy="1684782"/>
            <wp:effectExtent l="0" t="0" r="2500" b="0"/>
            <wp:docPr id="12" name="image11.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2531150" cy="1684782"/>
                    </a:xfrm>
                    <a:prstGeom prst="rect">
                      <a:avLst/>
                    </a:prstGeom>
                    <a:noFill/>
                    <a:ln>
                      <a:noFill/>
                      <a:prstDash/>
                    </a:ln>
                  </pic:spPr>
                </pic:pic>
              </a:graphicData>
            </a:graphic>
          </wp:inline>
        </w:drawing>
      </w:r>
    </w:p>
    <w:p w14:paraId="21BF4459" w14:textId="77777777" w:rsidR="000F523E" w:rsidRDefault="002D5CA1">
      <w:pPr>
        <w:pStyle w:val="Standard"/>
        <w:spacing w:before="240" w:after="240"/>
        <w:ind w:left="720"/>
        <w:jc w:val="both"/>
      </w:pPr>
      <w:r>
        <w:rPr>
          <w:rFonts w:ascii="Arial" w:hAnsi="Arial" w:cs="Arial"/>
          <w:b/>
        </w:rPr>
        <w:t>Promotional Material</w:t>
      </w:r>
    </w:p>
    <w:p w14:paraId="41ADD230" w14:textId="77777777" w:rsidR="000F523E" w:rsidRDefault="002D5CA1">
      <w:pPr>
        <w:pStyle w:val="Standard"/>
        <w:spacing w:before="240" w:after="240"/>
        <w:ind w:left="720"/>
        <w:jc w:val="both"/>
      </w:pPr>
      <w:r>
        <w:rPr>
          <w:rFonts w:ascii="Arial" w:hAnsi="Arial" w:cs="Arial"/>
        </w:rPr>
        <w:t>The provision of discretionary funding for RALOs supports the work of outreach and engagement into the 5 regions. For example, RALO banners, tabletop banners and brochures have been impactful at regional events, and uplift the presence of At-Large at events around the world. Small takeaways when available are a sure way to entice visitors to the table, but they should not be given away unless the receiver is a guaranteed sign-up.  Where possible, they should display the logo of ICANN or ICANN At-Large.</w:t>
      </w:r>
    </w:p>
    <w:p w14:paraId="44655CB2" w14:textId="77777777" w:rsidR="000F523E" w:rsidRDefault="002D5CA1">
      <w:pPr>
        <w:pStyle w:val="Standard"/>
        <w:spacing w:before="240" w:after="240"/>
        <w:ind w:left="0"/>
        <w:jc w:val="center"/>
      </w:pPr>
      <w:r>
        <w:rPr>
          <w:noProof/>
        </w:rPr>
        <w:drawing>
          <wp:inline distT="0" distB="0" distL="0" distR="0" wp14:anchorId="5F0DA90E" wp14:editId="2A1B627E">
            <wp:extent cx="1547622" cy="2590952"/>
            <wp:effectExtent l="0" t="0" r="0" b="0"/>
            <wp:docPr id="13" name="image18.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1547622" cy="2590952"/>
                    </a:xfrm>
                    <a:prstGeom prst="rect">
                      <a:avLst/>
                    </a:prstGeom>
                    <a:noFill/>
                    <a:ln>
                      <a:noFill/>
                      <a:prstDash/>
                    </a:ln>
                  </pic:spPr>
                </pic:pic>
              </a:graphicData>
            </a:graphic>
          </wp:inline>
        </w:drawing>
      </w:r>
      <w:r>
        <w:rPr>
          <w:noProof/>
        </w:rPr>
        <w:drawing>
          <wp:inline distT="0" distB="0" distL="0" distR="0" wp14:anchorId="779E3E88" wp14:editId="0CD1E18B">
            <wp:extent cx="2080808" cy="2599182"/>
            <wp:effectExtent l="0" t="0" r="0" b="0"/>
            <wp:docPr id="14" name="image12.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2080808" cy="2599182"/>
                    </a:xfrm>
                    <a:prstGeom prst="rect">
                      <a:avLst/>
                    </a:prstGeom>
                    <a:noFill/>
                    <a:ln>
                      <a:noFill/>
                      <a:prstDash/>
                    </a:ln>
                  </pic:spPr>
                </pic:pic>
              </a:graphicData>
            </a:graphic>
          </wp:inline>
        </w:drawing>
      </w:r>
    </w:p>
    <w:p w14:paraId="7FA1E9A8" w14:textId="77777777" w:rsidR="000F523E" w:rsidRDefault="002D5CA1">
      <w:pPr>
        <w:pStyle w:val="Standard"/>
        <w:spacing w:before="240" w:after="240"/>
        <w:ind w:left="720"/>
        <w:jc w:val="both"/>
      </w:pPr>
      <w:r>
        <w:rPr>
          <w:rFonts w:ascii="Arial" w:hAnsi="Arial" w:cs="Arial"/>
          <w:b/>
        </w:rPr>
        <w:t>Details and Promotional Material Suggestions:</w:t>
      </w:r>
    </w:p>
    <w:p w14:paraId="018DDFCD" w14:textId="77777777" w:rsidR="000F523E" w:rsidRDefault="002D5CA1">
      <w:pPr>
        <w:pStyle w:val="Standard"/>
        <w:numPr>
          <w:ilvl w:val="0"/>
          <w:numId w:val="14"/>
        </w:numPr>
        <w:spacing w:before="240" w:after="240"/>
        <w:jc w:val="both"/>
      </w:pPr>
      <w:r>
        <w:rPr>
          <w:rFonts w:ascii="Arial" w:hAnsi="Arial" w:cs="Arial"/>
        </w:rPr>
        <w:t>Booth branding and banner with logo. RALO banners are the only banners that can be displayed at an At-Large booth. They are attractive and eye-catching and can be used to encourage visitors to “take a selfie” and then promote the RALO for inclusion into a blog post or about an event, or for distribution by social media to promote the event or the RALO.</w:t>
      </w:r>
    </w:p>
    <w:p w14:paraId="3ACF6210" w14:textId="77777777" w:rsidR="000F523E" w:rsidRDefault="002D5CA1">
      <w:pPr>
        <w:pStyle w:val="Standard"/>
        <w:spacing w:before="240" w:after="240"/>
        <w:ind w:left="1440"/>
        <w:jc w:val="both"/>
      </w:pPr>
      <w:r>
        <w:rPr>
          <w:noProof/>
        </w:rPr>
        <w:drawing>
          <wp:inline distT="0" distB="0" distL="0" distR="0" wp14:anchorId="6AC647F7" wp14:editId="53C3D0F4">
            <wp:extent cx="1577522" cy="1585478"/>
            <wp:effectExtent l="0" t="0" r="3628" b="0"/>
            <wp:docPr id="15" name="image13.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1577522" cy="1585478"/>
                    </a:xfrm>
                    <a:prstGeom prst="rect">
                      <a:avLst/>
                    </a:prstGeom>
                    <a:noFill/>
                    <a:ln>
                      <a:noFill/>
                      <a:prstDash/>
                    </a:ln>
                  </pic:spPr>
                </pic:pic>
              </a:graphicData>
            </a:graphic>
          </wp:inline>
        </w:drawing>
      </w:r>
      <w:r>
        <w:rPr>
          <w:rFonts w:ascii="Arial" w:hAnsi="Arial" w:cs="Arial"/>
        </w:rPr>
        <w:tab/>
      </w:r>
      <w:r>
        <w:rPr>
          <w:noProof/>
        </w:rPr>
        <w:drawing>
          <wp:inline distT="0" distB="0" distL="0" distR="0" wp14:anchorId="1A341528" wp14:editId="5B1C6450">
            <wp:extent cx="2049078" cy="1356878"/>
            <wp:effectExtent l="0" t="0" r="8322" b="0"/>
            <wp:docPr id="16" name="image16.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2049078" cy="1356878"/>
                    </a:xfrm>
                    <a:prstGeom prst="rect">
                      <a:avLst/>
                    </a:prstGeom>
                    <a:noFill/>
                    <a:ln>
                      <a:noFill/>
                      <a:prstDash/>
                    </a:ln>
                  </pic:spPr>
                </pic:pic>
              </a:graphicData>
            </a:graphic>
          </wp:inline>
        </w:drawing>
      </w:r>
    </w:p>
    <w:p w14:paraId="40F1C832" w14:textId="77777777" w:rsidR="000F523E" w:rsidRDefault="000F523E">
      <w:pPr>
        <w:pStyle w:val="Standard"/>
        <w:spacing w:before="240" w:after="240"/>
        <w:ind w:left="1440"/>
        <w:jc w:val="both"/>
        <w:rPr>
          <w:rFonts w:ascii="Arial" w:hAnsi="Arial" w:cs="Arial"/>
        </w:rPr>
      </w:pPr>
    </w:p>
    <w:p w14:paraId="1699F6F1" w14:textId="77777777" w:rsidR="000F523E" w:rsidRDefault="000F523E">
      <w:pPr>
        <w:pStyle w:val="Standard"/>
        <w:spacing w:before="240" w:after="240"/>
        <w:ind w:left="1440"/>
        <w:jc w:val="both"/>
        <w:rPr>
          <w:rFonts w:ascii="Arial" w:hAnsi="Arial" w:cs="Arial"/>
        </w:rPr>
      </w:pPr>
    </w:p>
    <w:p w14:paraId="2BA327AF" w14:textId="77777777" w:rsidR="000F523E" w:rsidRDefault="002D5CA1">
      <w:pPr>
        <w:pStyle w:val="Standard"/>
        <w:numPr>
          <w:ilvl w:val="0"/>
          <w:numId w:val="7"/>
        </w:numPr>
        <w:spacing w:before="240"/>
        <w:jc w:val="both"/>
      </w:pPr>
      <w:r>
        <w:rPr>
          <w:rFonts w:ascii="Arial" w:hAnsi="Arial" w:cs="Arial"/>
        </w:rPr>
        <w:t>An At-Large flash-card, pin or badge, featuring the At-Large logo.</w:t>
      </w:r>
    </w:p>
    <w:p w14:paraId="2D363DE4" w14:textId="6D8A160A" w:rsidR="000F523E" w:rsidRDefault="002D5CA1">
      <w:pPr>
        <w:pStyle w:val="Standard"/>
        <w:numPr>
          <w:ilvl w:val="0"/>
          <w:numId w:val="7"/>
        </w:numPr>
        <w:spacing w:before="0" w:after="240"/>
        <w:jc w:val="both"/>
      </w:pPr>
      <w:r>
        <w:rPr>
          <w:rFonts w:ascii="Arial" w:hAnsi="Arial" w:cs="Arial"/>
        </w:rPr>
        <w:t>A</w:t>
      </w:r>
      <w:r w:rsidR="000A32AF">
        <w:rPr>
          <w:rFonts w:ascii="Arial" w:hAnsi="Arial" w:cs="Arial"/>
        </w:rPr>
        <w:t>n At-L</w:t>
      </w:r>
      <w:r>
        <w:rPr>
          <w:rFonts w:ascii="Arial" w:hAnsi="Arial" w:cs="Arial"/>
        </w:rPr>
        <w:t>arge barcode could be placed on the banner – which would</w:t>
      </w:r>
      <w:r w:rsidR="000A32AF">
        <w:rPr>
          <w:rFonts w:ascii="Arial" w:hAnsi="Arial" w:cs="Arial"/>
        </w:rPr>
        <w:t xml:space="preserve"> directly access the At- Large </w:t>
      </w:r>
      <w:r>
        <w:rPr>
          <w:rFonts w:ascii="Arial" w:hAnsi="Arial" w:cs="Arial"/>
        </w:rPr>
        <w:t>website or another the RALO webpage.</w:t>
      </w:r>
    </w:p>
    <w:p w14:paraId="14F11B16" w14:textId="77777777" w:rsidR="000F523E" w:rsidRDefault="002D5CA1">
      <w:pPr>
        <w:pStyle w:val="Standard"/>
        <w:spacing w:before="0" w:after="240"/>
        <w:ind w:left="720"/>
        <w:jc w:val="both"/>
        <w:rPr>
          <w:rFonts w:ascii="Arial" w:hAnsi="Arial" w:cs="Arial"/>
          <w:color w:val="000000"/>
        </w:rPr>
      </w:pPr>
      <w:r>
        <w:rPr>
          <w:rFonts w:ascii="Arial" w:hAnsi="Arial" w:cs="Arial"/>
          <w:noProof/>
          <w:color w:val="000000"/>
        </w:rPr>
        <w:drawing>
          <wp:anchor distT="0" distB="0" distL="114300" distR="114300" simplePos="0" relativeHeight="251659264" behindDoc="0" locked="0" layoutInCell="1" allowOverlap="1" wp14:anchorId="6B414786" wp14:editId="4261C030">
            <wp:simplePos x="0" y="0"/>
            <wp:positionH relativeFrom="column">
              <wp:posOffset>-66568</wp:posOffset>
            </wp:positionH>
            <wp:positionV relativeFrom="paragraph">
              <wp:posOffset>382310</wp:posOffset>
            </wp:positionV>
            <wp:extent cx="2023932" cy="2007748"/>
            <wp:effectExtent l="0" t="0" r="0" b="0"/>
            <wp:wrapSquare wrapText="bothSides"/>
            <wp:docPr id="17" name="image3.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2023932" cy="2007748"/>
                    </a:xfrm>
                    <a:prstGeom prst="rect">
                      <a:avLst/>
                    </a:prstGeom>
                    <a:noFill/>
                    <a:ln>
                      <a:noFill/>
                      <a:prstDash/>
                    </a:ln>
                  </pic:spPr>
                </pic:pic>
              </a:graphicData>
            </a:graphic>
          </wp:anchor>
        </w:drawing>
      </w:r>
    </w:p>
    <w:p w14:paraId="00A8EADF" w14:textId="77777777" w:rsidR="000F523E" w:rsidRDefault="002D5CA1">
      <w:pPr>
        <w:pStyle w:val="Standard"/>
        <w:spacing w:before="240" w:after="240"/>
        <w:ind w:left="0"/>
        <w:jc w:val="both"/>
      </w:pPr>
      <w:r>
        <w:rPr>
          <w:rFonts w:ascii="Arial" w:hAnsi="Arial" w:cs="Arial"/>
        </w:rPr>
        <w:t>These and other ideas aim to help At-Large more positively engage with our current members as well as provide useful information and a basis for future involvement of new members within the community.</w:t>
      </w:r>
    </w:p>
    <w:p w14:paraId="6B471240" w14:textId="77777777" w:rsidR="000F523E" w:rsidRDefault="000F523E">
      <w:pPr>
        <w:pStyle w:val="Standard"/>
        <w:spacing w:before="240" w:after="240"/>
        <w:ind w:left="720"/>
        <w:jc w:val="both"/>
        <w:rPr>
          <w:rFonts w:ascii="Arial" w:hAnsi="Arial" w:cs="Arial"/>
        </w:rPr>
      </w:pPr>
    </w:p>
    <w:p w14:paraId="209405A8" w14:textId="77777777" w:rsidR="000F523E" w:rsidRDefault="000F523E">
      <w:pPr>
        <w:pStyle w:val="Standard"/>
        <w:spacing w:before="240" w:after="240"/>
        <w:ind w:left="720"/>
        <w:jc w:val="both"/>
        <w:rPr>
          <w:rFonts w:ascii="Arial" w:hAnsi="Arial" w:cs="Arial"/>
        </w:rPr>
      </w:pPr>
    </w:p>
    <w:p w14:paraId="4493FACD" w14:textId="77777777" w:rsidR="000F523E" w:rsidRDefault="000F523E" w:rsidP="000A32AF">
      <w:pPr>
        <w:pStyle w:val="Standard"/>
        <w:spacing w:before="240" w:after="240"/>
        <w:ind w:left="0"/>
        <w:jc w:val="both"/>
        <w:rPr>
          <w:rFonts w:ascii="Arial" w:hAnsi="Arial" w:cs="Arial"/>
        </w:rPr>
      </w:pPr>
    </w:p>
    <w:p w14:paraId="7C096BBA" w14:textId="77777777" w:rsidR="000F523E" w:rsidRDefault="002D5CA1">
      <w:pPr>
        <w:pStyle w:val="Standard"/>
        <w:spacing w:before="240" w:after="240"/>
        <w:ind w:left="0"/>
        <w:jc w:val="center"/>
      </w:pPr>
      <w:r>
        <w:rPr>
          <w:noProof/>
        </w:rPr>
        <w:drawing>
          <wp:inline distT="0" distB="0" distL="0" distR="0" wp14:anchorId="3B16C97B" wp14:editId="743C3791">
            <wp:extent cx="2615001" cy="1873788"/>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2615001" cy="1873788"/>
                    </a:xfrm>
                    <a:prstGeom prst="rect">
                      <a:avLst/>
                    </a:prstGeom>
                    <a:noFill/>
                    <a:ln>
                      <a:noFill/>
                      <a:prstDash/>
                    </a:ln>
                  </pic:spPr>
                </pic:pic>
              </a:graphicData>
            </a:graphic>
          </wp:inline>
        </w:drawing>
      </w:r>
    </w:p>
    <w:p w14:paraId="1076B5EF" w14:textId="77777777" w:rsidR="000F523E" w:rsidRDefault="002D5CA1">
      <w:pPr>
        <w:pStyle w:val="Standard"/>
        <w:spacing w:before="240" w:after="240"/>
        <w:ind w:left="0"/>
        <w:jc w:val="both"/>
      </w:pPr>
      <w:r>
        <w:rPr>
          <w:rFonts w:ascii="Arial" w:hAnsi="Arial" w:cs="Arial"/>
          <w:b/>
          <w:shd w:val="clear" w:color="auto" w:fill="FFFFFF"/>
        </w:rPr>
        <w:t>Metrics and Program Evaluation</w:t>
      </w:r>
    </w:p>
    <w:p w14:paraId="4D30951B" w14:textId="657C77FD" w:rsidR="000F523E" w:rsidRPr="000A32AF" w:rsidRDefault="002D5CA1">
      <w:pPr>
        <w:pStyle w:val="Standard"/>
        <w:spacing w:before="240" w:after="240"/>
        <w:ind w:left="0"/>
        <w:jc w:val="both"/>
      </w:pPr>
      <w:r>
        <w:rPr>
          <w:rFonts w:ascii="Arial" w:hAnsi="Arial" w:cs="Arial"/>
        </w:rPr>
        <w:t>The ALAC Outreach and Engagement (O&amp;E) Subcommittee will work closely with the ALAC Subcommittee on Metrics for the evaluation of the efficiency and effectiveness of the work of the community in the 5 regions.</w:t>
      </w:r>
    </w:p>
    <w:p w14:paraId="5BD5176E" w14:textId="77777777" w:rsidR="000F523E" w:rsidRDefault="002D5CA1">
      <w:pPr>
        <w:pStyle w:val="Standard"/>
        <w:spacing w:before="240" w:after="240"/>
        <w:ind w:left="0"/>
        <w:jc w:val="both"/>
      </w:pPr>
      <w:r>
        <w:rPr>
          <w:rFonts w:ascii="Arial" w:hAnsi="Arial" w:cs="Arial"/>
          <w:b/>
        </w:rPr>
        <w:t>Template for Recording and Evaluating Event Activities</w:t>
      </w:r>
    </w:p>
    <w:p w14:paraId="18F0C303" w14:textId="77777777" w:rsidR="000F523E" w:rsidRDefault="002D5CA1">
      <w:pPr>
        <w:pStyle w:val="Standard"/>
        <w:spacing w:before="240" w:after="240"/>
        <w:ind w:left="0"/>
        <w:jc w:val="both"/>
      </w:pPr>
      <w:r>
        <w:rPr>
          <w:rFonts w:ascii="Arial" w:hAnsi="Arial" w:cs="Arial"/>
        </w:rPr>
        <w:t xml:space="preserve">The following template covers the overall strategy and the activity calendar of the O&amp;E </w:t>
      </w:r>
      <w:r>
        <w:rPr>
          <w:rFonts w:ascii="Arial" w:hAnsi="Arial" w:cs="Arial"/>
        </w:rPr>
        <w:br/>
        <w:t xml:space="preserve">Subcommittee. This will be located on the </w:t>
      </w:r>
      <w:hyperlink r:id="rId25" w:history="1">
        <w:r>
          <w:rPr>
            <w:rStyle w:val="Internetlink"/>
            <w:rFonts w:ascii="Arial" w:hAnsi="Arial" w:cs="Arial"/>
          </w:rPr>
          <w:t>community wiki</w:t>
        </w:r>
      </w:hyperlink>
      <w:r>
        <w:rPr>
          <w:rFonts w:ascii="Arial" w:hAnsi="Arial" w:cs="Arial"/>
        </w:rPr>
        <w:t>.</w:t>
      </w:r>
    </w:p>
    <w:tbl>
      <w:tblPr>
        <w:tblW w:w="9367" w:type="dxa"/>
        <w:tblInd w:w="-15" w:type="dxa"/>
        <w:tblLayout w:type="fixed"/>
        <w:tblCellMar>
          <w:left w:w="10" w:type="dxa"/>
          <w:right w:w="10" w:type="dxa"/>
        </w:tblCellMar>
        <w:tblLook w:val="0000" w:firstRow="0" w:lastRow="0" w:firstColumn="0" w:lastColumn="0" w:noHBand="0" w:noVBand="0"/>
      </w:tblPr>
      <w:tblGrid>
        <w:gridCol w:w="765"/>
        <w:gridCol w:w="1785"/>
        <w:gridCol w:w="1561"/>
        <w:gridCol w:w="975"/>
        <w:gridCol w:w="945"/>
        <w:gridCol w:w="1920"/>
        <w:gridCol w:w="1416"/>
      </w:tblGrid>
      <w:tr w:rsidR="000F523E" w14:paraId="0F0E3B49" w14:textId="77777777">
        <w:trPr>
          <w:trHeight w:val="1720"/>
        </w:trPr>
        <w:tc>
          <w:tcPr>
            <w:tcW w:w="764"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6775FAB7" w14:textId="77777777" w:rsidR="000F523E" w:rsidRDefault="000F523E">
            <w:pPr>
              <w:pStyle w:val="Standard"/>
              <w:widowControl w:val="0"/>
              <w:spacing w:before="0" w:line="276" w:lineRule="auto"/>
              <w:ind w:left="0"/>
              <w:rPr>
                <w:rFonts w:ascii="Arial" w:hAnsi="Arial" w:cs="Arial"/>
                <w:b/>
              </w:rPr>
            </w:pPr>
          </w:p>
          <w:p w14:paraId="34203A43" w14:textId="77777777" w:rsidR="000F523E" w:rsidRDefault="002D5CA1">
            <w:pPr>
              <w:pStyle w:val="Standard"/>
              <w:widowControl w:val="0"/>
              <w:spacing w:before="0" w:line="276" w:lineRule="auto"/>
              <w:ind w:left="0"/>
            </w:pPr>
            <w:r>
              <w:rPr>
                <w:rFonts w:ascii="Arial" w:hAnsi="Arial" w:cs="Arial"/>
                <w:b/>
              </w:rPr>
              <w:t>Date</w:t>
            </w: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5367F8E0" w14:textId="77777777" w:rsidR="000F523E" w:rsidRDefault="002D5CA1">
            <w:pPr>
              <w:pStyle w:val="Standard"/>
              <w:widowControl w:val="0"/>
              <w:spacing w:before="0" w:line="276" w:lineRule="auto"/>
              <w:ind w:left="0"/>
            </w:pPr>
            <w:r>
              <w:rPr>
                <w:rFonts w:ascii="Arial" w:hAnsi="Arial" w:cs="Arial"/>
                <w:b/>
              </w:rPr>
              <w:tab/>
            </w:r>
            <w:r>
              <w:rPr>
                <w:rFonts w:ascii="Arial" w:hAnsi="Arial" w:cs="Arial"/>
                <w:b/>
              </w:rPr>
              <w:tab/>
            </w:r>
          </w:p>
          <w:p w14:paraId="56C38FBA" w14:textId="77777777" w:rsidR="000F523E" w:rsidRDefault="002D5CA1">
            <w:pPr>
              <w:pStyle w:val="Standard"/>
              <w:widowControl w:val="0"/>
              <w:spacing w:before="0" w:line="276" w:lineRule="auto"/>
              <w:ind w:left="0"/>
            </w:pPr>
            <w:r>
              <w:rPr>
                <w:rFonts w:ascii="Arial" w:hAnsi="Arial" w:cs="Arial"/>
                <w:b/>
              </w:rPr>
              <w:t>Event/Action</w:t>
            </w:r>
          </w:p>
        </w:tc>
        <w:tc>
          <w:tcPr>
            <w:tcW w:w="1561"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276DB10F" w14:textId="77777777" w:rsidR="000F523E" w:rsidRDefault="002D5CA1">
            <w:pPr>
              <w:pStyle w:val="Standard"/>
              <w:widowControl w:val="0"/>
              <w:spacing w:before="0" w:line="276" w:lineRule="auto"/>
              <w:ind w:left="0"/>
            </w:pPr>
            <w:r>
              <w:rPr>
                <w:rFonts w:ascii="Arial" w:hAnsi="Arial" w:cs="Arial"/>
                <w:b/>
              </w:rPr>
              <w:tab/>
            </w:r>
          </w:p>
          <w:p w14:paraId="362E41CD" w14:textId="77777777" w:rsidR="000F523E" w:rsidRDefault="002D5CA1">
            <w:pPr>
              <w:pStyle w:val="Standard"/>
              <w:widowControl w:val="0"/>
              <w:spacing w:before="0" w:line="276" w:lineRule="auto"/>
              <w:ind w:left="0"/>
            </w:pPr>
            <w:r>
              <w:rPr>
                <w:rFonts w:ascii="Arial" w:hAnsi="Arial" w:cs="Arial"/>
                <w:b/>
              </w:rPr>
              <w:t>Participants</w:t>
            </w:r>
          </w:p>
        </w:tc>
        <w:tc>
          <w:tcPr>
            <w:tcW w:w="97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279F158A" w14:textId="77777777" w:rsidR="000F523E" w:rsidRDefault="002D5CA1">
            <w:pPr>
              <w:pStyle w:val="Standard"/>
              <w:widowControl w:val="0"/>
              <w:spacing w:before="0" w:line="276" w:lineRule="auto"/>
              <w:ind w:left="0"/>
            </w:pPr>
            <w:r>
              <w:rPr>
                <w:rFonts w:ascii="Arial" w:hAnsi="Arial" w:cs="Arial"/>
                <w:b/>
              </w:rPr>
              <w:tab/>
            </w:r>
          </w:p>
          <w:p w14:paraId="1D0A0E3A" w14:textId="77777777" w:rsidR="000F523E" w:rsidRDefault="002D5CA1">
            <w:pPr>
              <w:pStyle w:val="Standard"/>
              <w:widowControl w:val="0"/>
              <w:spacing w:before="0" w:line="276" w:lineRule="auto"/>
              <w:ind w:left="0"/>
            </w:pPr>
            <w:r>
              <w:rPr>
                <w:rFonts w:ascii="Arial" w:hAnsi="Arial" w:cs="Arial"/>
                <w:b/>
              </w:rPr>
              <w:t>Details</w:t>
            </w:r>
            <w:r>
              <w:rPr>
                <w:rFonts w:ascii="Arial" w:hAnsi="Arial" w:cs="Arial"/>
                <w:b/>
              </w:rPr>
              <w:tab/>
            </w:r>
          </w:p>
        </w:tc>
        <w:tc>
          <w:tcPr>
            <w:tcW w:w="94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25D0784D" w14:textId="77777777" w:rsidR="000F523E" w:rsidRDefault="002D5CA1">
            <w:pPr>
              <w:pStyle w:val="Standard"/>
              <w:widowControl w:val="0"/>
              <w:spacing w:before="0" w:line="276" w:lineRule="auto"/>
              <w:ind w:left="0"/>
            </w:pPr>
            <w:r>
              <w:rPr>
                <w:rFonts w:ascii="Arial" w:hAnsi="Arial" w:cs="Arial"/>
                <w:b/>
              </w:rPr>
              <w:tab/>
            </w:r>
          </w:p>
          <w:p w14:paraId="49A3E269" w14:textId="77777777" w:rsidR="000F523E" w:rsidRDefault="002D5CA1">
            <w:pPr>
              <w:pStyle w:val="Standard"/>
              <w:widowControl w:val="0"/>
              <w:spacing w:before="0" w:line="276" w:lineRule="auto"/>
              <w:ind w:left="0"/>
            </w:pPr>
            <w:r>
              <w:rPr>
                <w:rFonts w:ascii="Arial" w:hAnsi="Arial" w:cs="Arial"/>
                <w:b/>
              </w:rPr>
              <w:t>RALO</w:t>
            </w:r>
          </w:p>
        </w:tc>
        <w:tc>
          <w:tcPr>
            <w:tcW w:w="1920"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2F31B814" w14:textId="77777777" w:rsidR="000F523E" w:rsidRDefault="002D5CA1">
            <w:pPr>
              <w:pStyle w:val="Standard"/>
              <w:widowControl w:val="0"/>
              <w:spacing w:before="0" w:line="276" w:lineRule="auto"/>
              <w:ind w:left="0"/>
            </w:pPr>
            <w:r>
              <w:rPr>
                <w:rFonts w:ascii="Arial" w:hAnsi="Arial" w:cs="Arial"/>
                <w:b/>
              </w:rPr>
              <w:tab/>
            </w:r>
            <w:r>
              <w:rPr>
                <w:rFonts w:ascii="Arial" w:hAnsi="Arial" w:cs="Arial"/>
                <w:b/>
              </w:rPr>
              <w:tab/>
            </w:r>
          </w:p>
          <w:p w14:paraId="216F9A41" w14:textId="77777777" w:rsidR="000F523E" w:rsidRDefault="002D5CA1">
            <w:pPr>
              <w:pStyle w:val="Standard"/>
              <w:widowControl w:val="0"/>
              <w:spacing w:before="0" w:line="276" w:lineRule="auto"/>
              <w:ind w:left="0"/>
            </w:pPr>
            <w:r>
              <w:rPr>
                <w:rFonts w:ascii="Arial" w:hAnsi="Arial" w:cs="Arial"/>
                <w:b/>
              </w:rPr>
              <w:t>Collaboration with ICANN structures</w:t>
            </w:r>
            <w:r>
              <w:rPr>
                <w:rFonts w:ascii="Arial" w:hAnsi="Arial" w:cs="Arial"/>
                <w:b/>
              </w:rPr>
              <w:tab/>
            </w:r>
          </w:p>
        </w:tc>
        <w:tc>
          <w:tcPr>
            <w:tcW w:w="1416"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517D71ED" w14:textId="77777777" w:rsidR="000F523E" w:rsidRDefault="002D5CA1">
            <w:pPr>
              <w:pStyle w:val="Standard"/>
              <w:widowControl w:val="0"/>
              <w:spacing w:before="0" w:line="276" w:lineRule="auto"/>
              <w:ind w:left="0"/>
            </w:pPr>
            <w:r>
              <w:rPr>
                <w:rFonts w:ascii="Arial" w:hAnsi="Arial" w:cs="Arial"/>
                <w:b/>
              </w:rPr>
              <w:tab/>
            </w:r>
          </w:p>
          <w:p w14:paraId="5488616B" w14:textId="77777777" w:rsidR="000F523E" w:rsidRDefault="002D5CA1">
            <w:pPr>
              <w:pStyle w:val="Standard"/>
              <w:widowControl w:val="0"/>
              <w:spacing w:before="0" w:line="276" w:lineRule="auto"/>
              <w:ind w:left="0"/>
            </w:pPr>
            <w:r>
              <w:rPr>
                <w:rFonts w:ascii="Arial" w:hAnsi="Arial" w:cs="Arial"/>
                <w:b/>
              </w:rPr>
              <w:t>Comments</w:t>
            </w:r>
          </w:p>
        </w:tc>
      </w:tr>
      <w:tr w:rsidR="000F523E" w14:paraId="69F0B7CE" w14:textId="77777777">
        <w:trPr>
          <w:trHeight w:val="2640"/>
        </w:trPr>
        <w:tc>
          <w:tcPr>
            <w:tcW w:w="764"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30052B33" w14:textId="77777777" w:rsidR="000F523E" w:rsidRDefault="000F523E">
            <w:pPr>
              <w:pStyle w:val="Standard"/>
              <w:widowControl w:val="0"/>
              <w:spacing w:before="0" w:line="276" w:lineRule="auto"/>
              <w:ind w:left="0"/>
              <w:rPr>
                <w:rFonts w:ascii="Arial" w:hAnsi="Arial" w:cs="Arial"/>
              </w:rPr>
            </w:pPr>
          </w:p>
        </w:tc>
        <w:tc>
          <w:tcPr>
            <w:tcW w:w="178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51570889" w14:textId="77777777" w:rsidR="000F523E" w:rsidRDefault="000F523E">
            <w:pPr>
              <w:pStyle w:val="Standard"/>
              <w:widowControl w:val="0"/>
              <w:spacing w:before="0" w:line="276" w:lineRule="auto"/>
              <w:ind w:left="0"/>
              <w:rPr>
                <w:rFonts w:ascii="Arial" w:hAnsi="Arial" w:cs="Arial"/>
              </w:rPr>
            </w:pPr>
          </w:p>
        </w:tc>
        <w:tc>
          <w:tcPr>
            <w:tcW w:w="1561"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12EF54C7" w14:textId="77777777" w:rsidR="000F523E" w:rsidRDefault="000F523E">
            <w:pPr>
              <w:pStyle w:val="Standard"/>
              <w:widowControl w:val="0"/>
              <w:spacing w:before="0" w:line="276" w:lineRule="auto"/>
              <w:ind w:left="0"/>
              <w:rPr>
                <w:rFonts w:ascii="Arial" w:hAnsi="Arial" w:cs="Arial"/>
              </w:rPr>
            </w:pPr>
          </w:p>
        </w:tc>
        <w:tc>
          <w:tcPr>
            <w:tcW w:w="97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02940414" w14:textId="77777777" w:rsidR="000F523E" w:rsidRDefault="000F523E">
            <w:pPr>
              <w:pStyle w:val="Standard"/>
              <w:widowControl w:val="0"/>
              <w:spacing w:before="0" w:line="276" w:lineRule="auto"/>
              <w:ind w:left="0"/>
              <w:rPr>
                <w:rFonts w:ascii="Arial" w:hAnsi="Arial" w:cs="Arial"/>
              </w:rPr>
            </w:pPr>
          </w:p>
        </w:tc>
        <w:tc>
          <w:tcPr>
            <w:tcW w:w="945"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036D2612" w14:textId="77777777" w:rsidR="000F523E" w:rsidRDefault="000F523E">
            <w:pPr>
              <w:pStyle w:val="Standard"/>
              <w:widowControl w:val="0"/>
              <w:spacing w:before="0" w:line="276" w:lineRule="auto"/>
              <w:ind w:left="0"/>
              <w:rPr>
                <w:rFonts w:ascii="Arial" w:hAnsi="Arial" w:cs="Arial"/>
              </w:rPr>
            </w:pPr>
          </w:p>
        </w:tc>
        <w:tc>
          <w:tcPr>
            <w:tcW w:w="1920"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0D5A39DD" w14:textId="77777777" w:rsidR="000F523E" w:rsidRDefault="000F523E">
            <w:pPr>
              <w:pStyle w:val="Standard"/>
              <w:widowControl w:val="0"/>
              <w:spacing w:before="0" w:line="276" w:lineRule="auto"/>
              <w:ind w:left="0"/>
              <w:rPr>
                <w:rFonts w:ascii="Arial" w:hAnsi="Arial" w:cs="Arial"/>
              </w:rPr>
            </w:pPr>
          </w:p>
        </w:tc>
        <w:tc>
          <w:tcPr>
            <w:tcW w:w="1416" w:type="dxa"/>
            <w:tcBorders>
              <w:top w:val="single" w:sz="6" w:space="0" w:color="000001"/>
              <w:left w:val="single" w:sz="6" w:space="0" w:color="000001"/>
              <w:bottom w:val="single" w:sz="6" w:space="0" w:color="000001"/>
              <w:right w:val="single" w:sz="6" w:space="0" w:color="000001"/>
            </w:tcBorders>
            <w:shd w:val="clear" w:color="auto" w:fill="FFFFFF"/>
            <w:tcMar>
              <w:top w:w="100" w:type="dxa"/>
              <w:left w:w="100" w:type="dxa"/>
              <w:bottom w:w="100" w:type="dxa"/>
              <w:right w:w="100" w:type="dxa"/>
            </w:tcMar>
          </w:tcPr>
          <w:p w14:paraId="596A9C08" w14:textId="77777777" w:rsidR="000F523E" w:rsidRDefault="000F523E">
            <w:pPr>
              <w:pStyle w:val="Standard"/>
              <w:widowControl w:val="0"/>
              <w:spacing w:before="0" w:line="276" w:lineRule="auto"/>
              <w:ind w:left="0"/>
              <w:rPr>
                <w:rFonts w:ascii="Arial" w:hAnsi="Arial" w:cs="Arial"/>
              </w:rPr>
            </w:pPr>
          </w:p>
        </w:tc>
      </w:tr>
    </w:tbl>
    <w:p w14:paraId="52C85AB6" w14:textId="77777777" w:rsidR="000F523E" w:rsidRDefault="000F523E">
      <w:pPr>
        <w:pStyle w:val="Standard"/>
        <w:spacing w:before="240" w:after="240"/>
        <w:ind w:left="720"/>
        <w:rPr>
          <w:rFonts w:ascii="Arial" w:hAnsi="Arial" w:cs="Arial"/>
        </w:rPr>
      </w:pPr>
    </w:p>
    <w:p w14:paraId="6B4CE223" w14:textId="77777777" w:rsidR="000F523E" w:rsidRDefault="002D5CA1">
      <w:pPr>
        <w:pStyle w:val="Heading2"/>
        <w:spacing w:before="360" w:after="80" w:line="360" w:lineRule="auto"/>
        <w:ind w:left="0" w:right="0"/>
      </w:pPr>
      <w:bookmarkStart w:id="8" w:name="_73m8mfimvjsc"/>
      <w:bookmarkEnd w:id="8"/>
      <w:r>
        <w:rPr>
          <w:rFonts w:ascii="Arial" w:hAnsi="Arial" w:cs="Arial"/>
          <w:sz w:val="28"/>
          <w:szCs w:val="28"/>
        </w:rPr>
        <w:t>Conclusions</w:t>
      </w:r>
    </w:p>
    <w:p w14:paraId="7F8C59BD" w14:textId="77777777" w:rsidR="000F523E" w:rsidRDefault="002D5CA1">
      <w:pPr>
        <w:pStyle w:val="Standard"/>
        <w:spacing w:before="240" w:after="240"/>
        <w:ind w:left="0"/>
      </w:pPr>
      <w:r>
        <w:rPr>
          <w:rFonts w:ascii="Arial" w:hAnsi="Arial" w:cs="Arial"/>
        </w:rPr>
        <w:t>The evaluation process allows for a better understanding of how key stakeholders—both internal and external to the ICANN At-Large community —view the effectiveness of outreach and engagement activity.</w:t>
      </w:r>
    </w:p>
    <w:p w14:paraId="465B9FC5" w14:textId="77777777" w:rsidR="000F523E" w:rsidRDefault="002D5CA1">
      <w:pPr>
        <w:pStyle w:val="Standard"/>
        <w:spacing w:before="240" w:after="240"/>
        <w:ind w:left="0"/>
      </w:pPr>
      <w:r>
        <w:rPr>
          <w:rFonts w:ascii="Arial" w:hAnsi="Arial" w:cs="Arial"/>
        </w:rPr>
        <w:t>More specifically, the evaluation will reveal the following:</w:t>
      </w:r>
    </w:p>
    <w:p w14:paraId="440D2900" w14:textId="77777777" w:rsidR="000F523E" w:rsidRDefault="002D5CA1">
      <w:pPr>
        <w:pStyle w:val="Standard"/>
        <w:numPr>
          <w:ilvl w:val="0"/>
          <w:numId w:val="15"/>
        </w:numPr>
        <w:spacing w:before="240"/>
      </w:pPr>
      <w:r>
        <w:rPr>
          <w:rFonts w:ascii="Arial" w:hAnsi="Arial" w:cs="Arial"/>
        </w:rPr>
        <w:t>The effectiveness of the At-Large website and any other communication strategies employed by the O&amp;E Subcommittee to implement the O&amp;E strategy.</w:t>
      </w:r>
    </w:p>
    <w:p w14:paraId="47EAB612" w14:textId="77777777" w:rsidR="000F523E" w:rsidRDefault="002D5CA1">
      <w:pPr>
        <w:pStyle w:val="Standard"/>
        <w:numPr>
          <w:ilvl w:val="0"/>
          <w:numId w:val="6"/>
        </w:numPr>
        <w:spacing w:before="0"/>
      </w:pPr>
      <w:r>
        <w:rPr>
          <w:rFonts w:ascii="Arial" w:hAnsi="Arial" w:cs="Arial"/>
        </w:rPr>
        <w:t>The level of awareness of our At-Large community about the work of At-Large.</w:t>
      </w:r>
    </w:p>
    <w:p w14:paraId="1257BEE9" w14:textId="77777777" w:rsidR="000F523E" w:rsidRDefault="002D5CA1">
      <w:pPr>
        <w:pStyle w:val="Standard"/>
        <w:numPr>
          <w:ilvl w:val="0"/>
          <w:numId w:val="6"/>
        </w:numPr>
        <w:spacing w:before="0"/>
      </w:pPr>
      <w:r>
        <w:rPr>
          <w:rFonts w:ascii="Arial" w:hAnsi="Arial" w:cs="Arial"/>
        </w:rPr>
        <w:t>The level of awareness of our At-Large community about ICANN policy issues.</w:t>
      </w:r>
    </w:p>
    <w:p w14:paraId="4B43B979" w14:textId="77777777" w:rsidR="000F523E" w:rsidRDefault="002D5CA1">
      <w:pPr>
        <w:pStyle w:val="Standard"/>
        <w:numPr>
          <w:ilvl w:val="0"/>
          <w:numId w:val="6"/>
        </w:numPr>
        <w:spacing w:before="0"/>
      </w:pPr>
      <w:r>
        <w:rPr>
          <w:rFonts w:ascii="Arial" w:hAnsi="Arial" w:cs="Arial"/>
        </w:rPr>
        <w:t>The effectiveness of the communication system to reach targeted stakeholder groups and the achievement of specific aims and objectives during outreach activities with this targeted group.</w:t>
      </w:r>
    </w:p>
    <w:p w14:paraId="002F4614" w14:textId="77777777" w:rsidR="000F523E" w:rsidRDefault="002D5CA1">
      <w:pPr>
        <w:pStyle w:val="Standard"/>
        <w:numPr>
          <w:ilvl w:val="0"/>
          <w:numId w:val="6"/>
        </w:numPr>
        <w:spacing w:before="0"/>
      </w:pPr>
      <w:r>
        <w:rPr>
          <w:rFonts w:ascii="Arial" w:hAnsi="Arial" w:cs="Arial"/>
        </w:rPr>
        <w:t xml:space="preserve">The effectiveness of the communication system for appropriate recording purposes: checklists, task lists, inventory lists and spreadsheets to systematically measure outreach and engagement activities. </w:t>
      </w:r>
      <w:r>
        <w:rPr>
          <w:rFonts w:ascii="Arial" w:hAnsi="Arial" w:cs="Arial"/>
        </w:rPr>
        <w:tab/>
      </w:r>
    </w:p>
    <w:p w14:paraId="30A02F0E" w14:textId="77777777" w:rsidR="000F523E" w:rsidRDefault="002D5CA1">
      <w:pPr>
        <w:pStyle w:val="Standard"/>
        <w:numPr>
          <w:ilvl w:val="0"/>
          <w:numId w:val="6"/>
        </w:numPr>
        <w:spacing w:before="0"/>
      </w:pPr>
      <w:r>
        <w:rPr>
          <w:rFonts w:ascii="Arial" w:hAnsi="Arial" w:cs="Arial"/>
        </w:rPr>
        <w:t>The commitment of At-Large members to post and share the results of their O&amp;E activities within their regions by various platforms which include but are not limited to newsletters, e-books, webinars, blogs, wiki and social media tools.</w:t>
      </w:r>
    </w:p>
    <w:p w14:paraId="0C39F200" w14:textId="77777777" w:rsidR="000F523E" w:rsidRDefault="002D5CA1">
      <w:pPr>
        <w:pStyle w:val="Standard"/>
        <w:numPr>
          <w:ilvl w:val="0"/>
          <w:numId w:val="6"/>
        </w:numPr>
        <w:spacing w:before="0" w:after="240"/>
      </w:pPr>
      <w:r>
        <w:rPr>
          <w:rFonts w:ascii="Arial" w:hAnsi="Arial" w:cs="Arial"/>
        </w:rPr>
        <w:t>The identification of initiatives and activities in the Outreach and Engagement Strategy which may be improved upon.</w:t>
      </w:r>
    </w:p>
    <w:p w14:paraId="2605978F" w14:textId="77777777" w:rsidR="000F523E" w:rsidRDefault="000F523E">
      <w:pPr>
        <w:pStyle w:val="Standard"/>
        <w:spacing w:before="240" w:after="240"/>
        <w:ind w:left="720"/>
        <w:rPr>
          <w:rFonts w:ascii="Arial" w:hAnsi="Arial" w:cs="Arial"/>
        </w:rPr>
      </w:pPr>
    </w:p>
    <w:p w14:paraId="3F940D36" w14:textId="77777777" w:rsidR="000F523E" w:rsidRDefault="000F523E">
      <w:pPr>
        <w:pStyle w:val="Standard"/>
        <w:spacing w:before="240" w:after="240"/>
        <w:ind w:left="720"/>
        <w:jc w:val="both"/>
        <w:rPr>
          <w:rFonts w:ascii="Arial" w:hAnsi="Arial" w:cs="Arial"/>
        </w:rPr>
      </w:pPr>
    </w:p>
    <w:p w14:paraId="2DCB964D" w14:textId="77777777" w:rsidR="000F523E" w:rsidRDefault="000F523E">
      <w:pPr>
        <w:pStyle w:val="Standard"/>
        <w:spacing w:before="240" w:after="240"/>
        <w:ind w:left="720"/>
        <w:jc w:val="both"/>
        <w:rPr>
          <w:rFonts w:ascii="Arial" w:hAnsi="Arial" w:cs="Arial"/>
        </w:rPr>
      </w:pPr>
    </w:p>
    <w:p w14:paraId="7651DEF6" w14:textId="77777777" w:rsidR="000F523E" w:rsidRDefault="000F523E">
      <w:pPr>
        <w:pStyle w:val="Standard"/>
      </w:pPr>
    </w:p>
    <w:sectPr w:rsidR="000F523E">
      <w:headerReference w:type="default" r:id="rId26"/>
      <w:footerReference w:type="default" r:id="rId27"/>
      <w:headerReference w:type="first" r:id="rId28"/>
      <w:footerReference w:type="first" r:id="rId29"/>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B75D02" w14:textId="77777777" w:rsidR="00A36CB8" w:rsidRDefault="00A36CB8">
      <w:r>
        <w:separator/>
      </w:r>
    </w:p>
  </w:endnote>
  <w:endnote w:type="continuationSeparator" w:id="0">
    <w:p w14:paraId="512C0202" w14:textId="77777777" w:rsidR="00A36CB8" w:rsidRDefault="00A36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Open Sans">
    <w:altName w:val="Times New Roman"/>
    <w:charset w:val="00"/>
    <w:family w:val="auto"/>
    <w:pitch w:val="default"/>
  </w:font>
  <w:font w:name="Trebuchet MS">
    <w:panose1 w:val="020B0603020202020204"/>
    <w:charset w:val="00"/>
    <w:family w:val="swiss"/>
    <w:pitch w:val="variable"/>
    <w:sig w:usb0="00000287" w:usb1="00000000" w:usb2="00000000" w:usb3="00000000" w:csb0="0000009F" w:csb1="00000000"/>
  </w:font>
  <w:font w:name="Liberation Sans">
    <w:altName w:val="Arial"/>
    <w:charset w:val="00"/>
    <w:family w:val="swiss"/>
    <w:pitch w:val="variable"/>
  </w:font>
  <w:font w:name="Microsoft YaHei">
    <w:panose1 w:val="020B0503020204020204"/>
    <w:charset w:val="86"/>
    <w:family w:val="swiss"/>
    <w:pitch w:val="variable"/>
    <w:sig w:usb0="80000287" w:usb1="28CF3C52" w:usb2="00000016" w:usb3="00000000" w:csb0="0004001F" w:csb1="00000000"/>
  </w:font>
  <w:font w:name="Economica">
    <w:altName w:val="Times New Roman"/>
    <w:charset w:val="00"/>
    <w:family w:val="auto"/>
    <w:pitch w:val="default"/>
  </w:font>
  <w:font w:name="Roboto">
    <w:altName w:val="Times New Roman"/>
    <w:charset w:val="00"/>
    <w:family w:val="auto"/>
    <w:pitch w:val="default"/>
  </w:font>
  <w:font w:name="游ゴシック Light">
    <w:charset w:val="80"/>
    <w:family w:val="auto"/>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游明朝">
    <w:charset w:val="80"/>
    <w:family w:val="roman"/>
    <w:pitch w:val="variable"/>
    <w:sig w:usb0="800002E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941471" w14:textId="77777777" w:rsidR="003D5B37" w:rsidRDefault="002D5CA1">
    <w:pPr>
      <w:pStyle w:val="Standard"/>
      <w:spacing w:before="0" w:line="240" w:lineRule="auto"/>
    </w:pPr>
    <w:r>
      <w:rPr>
        <w:noProof/>
      </w:rPr>
      <w:drawing>
        <wp:inline distT="0" distB="0" distL="0" distR="0" wp14:anchorId="5C0D1A41" wp14:editId="7DB52433">
          <wp:extent cx="5943600" cy="25603"/>
          <wp:effectExtent l="0" t="0" r="0" b="0"/>
          <wp:docPr id="2" name="image1.png" descr="horizontal lin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5943600" cy="25603"/>
                  </a:xfrm>
                  <a:prstGeom prst="rect">
                    <a:avLst/>
                  </a:prstGeom>
                  <a:noFill/>
                  <a:ln>
                    <a:noFill/>
                    <a:prstDash/>
                  </a:ln>
                </pic:spPr>
              </pic:pic>
            </a:graphicData>
          </a:graphic>
        </wp:inline>
      </w:drawing>
    </w:r>
  </w:p>
  <w:p w14:paraId="0BE11A4E" w14:textId="77777777" w:rsidR="003D5B37" w:rsidRDefault="002D5CA1">
    <w:pPr>
      <w:pStyle w:val="Standard"/>
      <w:spacing w:before="0" w:line="240" w:lineRule="auto"/>
      <w:ind w:firstLine="75"/>
    </w:pPr>
    <w:r>
      <w:rPr>
        <w:rFonts w:ascii="Economica" w:eastAsia="Economica" w:hAnsi="Economica" w:cs="Economica"/>
      </w:rPr>
      <w:fldChar w:fldCharType="begin"/>
    </w:r>
    <w:r>
      <w:rPr>
        <w:rFonts w:ascii="Economica" w:eastAsia="Economica" w:hAnsi="Economica" w:cs="Economica"/>
      </w:rPr>
      <w:instrText xml:space="preserve"> PAGE </w:instrText>
    </w:r>
    <w:r>
      <w:rPr>
        <w:rFonts w:ascii="Economica" w:eastAsia="Economica" w:hAnsi="Economica" w:cs="Economica"/>
      </w:rPr>
      <w:fldChar w:fldCharType="separate"/>
    </w:r>
    <w:r w:rsidR="00CD23A4">
      <w:rPr>
        <w:rFonts w:ascii="Economica" w:eastAsia="Economica" w:hAnsi="Economica" w:cs="Economica"/>
        <w:noProof/>
      </w:rPr>
      <w:t>5</w:t>
    </w:r>
    <w:r>
      <w:rPr>
        <w:rFonts w:ascii="Economica" w:eastAsia="Economica" w:hAnsi="Economica" w:cs="Economica"/>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3627F6" w14:textId="77777777" w:rsidR="003D5B37" w:rsidRDefault="002D5CA1">
    <w:pPr>
      <w:pStyle w:val="Standard"/>
      <w:spacing w:before="0"/>
    </w:pPr>
    <w:r>
      <w:rPr>
        <w:noProof/>
      </w:rPr>
      <w:drawing>
        <wp:inline distT="0" distB="0" distL="0" distR="0" wp14:anchorId="293AAAA5" wp14:editId="4AB147FE">
          <wp:extent cx="5943600" cy="25603"/>
          <wp:effectExtent l="0" t="0" r="0" b="0"/>
          <wp:docPr id="3" name="image2.png" descr="horizontal lin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5943600" cy="25603"/>
                  </a:xfrm>
                  <a:prstGeom prst="rect">
                    <a:avLst/>
                  </a:prstGeom>
                  <a:noFill/>
                  <a:ln>
                    <a:noFill/>
                    <a:prstDash/>
                  </a:ln>
                </pic:spPr>
              </pic:pic>
            </a:graphicData>
          </a:graphic>
        </wp:inline>
      </w:drawing>
    </w:r>
  </w:p>
  <w:p w14:paraId="68A7FC35" w14:textId="77777777" w:rsidR="003D5B37" w:rsidRDefault="00A36CB8">
    <w:pPr>
      <w:pStyle w:val="Subtitle"/>
    </w:pPr>
    <w:bookmarkStart w:id="10" w:name="_w494w0yg8rg0"/>
    <w:bookmarkEnd w:id="10"/>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BFB276" w14:textId="77777777" w:rsidR="00A36CB8" w:rsidRDefault="00A36CB8">
      <w:r>
        <w:rPr>
          <w:color w:val="000000"/>
        </w:rPr>
        <w:separator/>
      </w:r>
    </w:p>
  </w:footnote>
  <w:footnote w:type="continuationSeparator" w:id="0">
    <w:p w14:paraId="199646E2" w14:textId="77777777" w:rsidR="00A36CB8" w:rsidRDefault="00A36CB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864BC" w14:textId="77777777" w:rsidR="003D5B37" w:rsidRDefault="00A36CB8">
    <w:pPr>
      <w:pStyle w:val="Subtitle"/>
      <w:spacing w:before="600"/>
    </w:pPr>
    <w:bookmarkStart w:id="9" w:name="_leajue2ys1lr"/>
    <w:bookmarkEnd w:id="9"/>
  </w:p>
  <w:p w14:paraId="531D4FCC" w14:textId="77777777" w:rsidR="003D5B37" w:rsidRDefault="002D5CA1">
    <w:pPr>
      <w:pStyle w:val="Standard"/>
      <w:spacing w:before="0" w:line="240" w:lineRule="auto"/>
    </w:pPr>
    <w:r>
      <w:rPr>
        <w:noProof/>
      </w:rPr>
      <w:drawing>
        <wp:inline distT="0" distB="0" distL="0" distR="0" wp14:anchorId="1D052B52" wp14:editId="6A5BBA75">
          <wp:extent cx="5943600" cy="25603"/>
          <wp:effectExtent l="0" t="0" r="0" b="0"/>
          <wp:docPr id="1" name="image8.png" descr="horizontal lin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5943600" cy="25603"/>
                  </a:xfrm>
                  <a:prstGeom prst="rect">
                    <a:avLst/>
                  </a:prstGeom>
                  <a:noFill/>
                  <a:ln>
                    <a:noFill/>
                    <a:prstDash/>
                  </a:ln>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40A51" w14:textId="77777777" w:rsidR="003D5B37" w:rsidRDefault="00A36CB8">
    <w:pPr>
      <w:pStyle w:val="Standard"/>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E2EA0"/>
    <w:multiLevelType w:val="multilevel"/>
    <w:tmpl w:val="C4429FA8"/>
    <w:styleLink w:val="WWNum1"/>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1">
    <w:nsid w:val="159A5B74"/>
    <w:multiLevelType w:val="multilevel"/>
    <w:tmpl w:val="73643A5A"/>
    <w:styleLink w:val="NoList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2">
    <w:nsid w:val="1D527FE0"/>
    <w:multiLevelType w:val="multilevel"/>
    <w:tmpl w:val="1138E3CE"/>
    <w:styleLink w:val="WWNum3"/>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3">
    <w:nsid w:val="37AB476F"/>
    <w:multiLevelType w:val="multilevel"/>
    <w:tmpl w:val="55643B5A"/>
    <w:styleLink w:val="WWNum7"/>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4">
    <w:nsid w:val="3C6C2B4D"/>
    <w:multiLevelType w:val="multilevel"/>
    <w:tmpl w:val="BA96856A"/>
    <w:styleLink w:val="WWNum5"/>
    <w:lvl w:ilvl="0">
      <w:start w:val="1"/>
      <w:numFmt w:val="decimal"/>
      <w:lvlText w:val="%1."/>
      <w:lvlJc w:val="left"/>
      <w:pPr>
        <w:ind w:left="720" w:hanging="360"/>
      </w:pPr>
      <w:rPr>
        <w:rFonts w:ascii="Arial" w:hAnsi="Arial"/>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nsid w:val="3E2F5324"/>
    <w:multiLevelType w:val="multilevel"/>
    <w:tmpl w:val="96D63810"/>
    <w:styleLink w:val="WWNum2"/>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6">
    <w:nsid w:val="6C7E72FE"/>
    <w:multiLevelType w:val="multilevel"/>
    <w:tmpl w:val="B8FE73E4"/>
    <w:styleLink w:val="WWNum4"/>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abstractNum w:abstractNumId="7">
    <w:nsid w:val="6F240E98"/>
    <w:multiLevelType w:val="multilevel"/>
    <w:tmpl w:val="1A9C360A"/>
    <w:styleLink w:val="WWNum6"/>
    <w:lvl w:ilvl="0">
      <w:numFmt w:val="bullet"/>
      <w:lvlText w:val="●"/>
      <w:lvlJc w:val="left"/>
      <w:pPr>
        <w:ind w:left="720" w:hanging="360"/>
      </w:pPr>
      <w:rPr>
        <w:rFonts w:ascii="Arial" w:hAnsi="Arial"/>
        <w:u w:val="none"/>
      </w:rPr>
    </w:lvl>
    <w:lvl w:ilvl="1">
      <w:numFmt w:val="bullet"/>
      <w:lvlText w:val="○"/>
      <w:lvlJc w:val="left"/>
      <w:pPr>
        <w:ind w:left="1440" w:hanging="360"/>
      </w:pPr>
      <w:rPr>
        <w:u w:val="none"/>
      </w:rPr>
    </w:lvl>
    <w:lvl w:ilvl="2">
      <w:numFmt w:val="bullet"/>
      <w:lvlText w:val="■"/>
      <w:lvlJc w:val="left"/>
      <w:pPr>
        <w:ind w:left="2160" w:hanging="360"/>
      </w:pPr>
      <w:rPr>
        <w:u w:val="none"/>
      </w:rPr>
    </w:lvl>
    <w:lvl w:ilvl="3">
      <w:numFmt w:val="bullet"/>
      <w:lvlText w:val="●"/>
      <w:lvlJc w:val="left"/>
      <w:pPr>
        <w:ind w:left="2880" w:hanging="360"/>
      </w:pPr>
      <w:rPr>
        <w:u w:val="none"/>
      </w:rPr>
    </w:lvl>
    <w:lvl w:ilvl="4">
      <w:numFmt w:val="bullet"/>
      <w:lvlText w:val="○"/>
      <w:lvlJc w:val="left"/>
      <w:pPr>
        <w:ind w:left="3600" w:hanging="360"/>
      </w:pPr>
      <w:rPr>
        <w:u w:val="none"/>
      </w:rPr>
    </w:lvl>
    <w:lvl w:ilvl="5">
      <w:numFmt w:val="bullet"/>
      <w:lvlText w:val="■"/>
      <w:lvlJc w:val="left"/>
      <w:pPr>
        <w:ind w:left="4320" w:hanging="360"/>
      </w:pPr>
      <w:rPr>
        <w:u w:val="none"/>
      </w:rPr>
    </w:lvl>
    <w:lvl w:ilvl="6">
      <w:numFmt w:val="bullet"/>
      <w:lvlText w:val="●"/>
      <w:lvlJc w:val="left"/>
      <w:pPr>
        <w:ind w:left="5040" w:hanging="360"/>
      </w:pPr>
      <w:rPr>
        <w:u w:val="none"/>
      </w:rPr>
    </w:lvl>
    <w:lvl w:ilvl="7">
      <w:numFmt w:val="bullet"/>
      <w:lvlText w:val="○"/>
      <w:lvlJc w:val="left"/>
      <w:pPr>
        <w:ind w:left="5760" w:hanging="360"/>
      </w:pPr>
      <w:rPr>
        <w:u w:val="none"/>
      </w:rPr>
    </w:lvl>
    <w:lvl w:ilvl="8">
      <w:numFmt w:val="bullet"/>
      <w:lvlText w:val="■"/>
      <w:lvlJc w:val="left"/>
      <w:pPr>
        <w:ind w:left="6480" w:hanging="360"/>
      </w:pPr>
      <w:rPr>
        <w:u w:val="none"/>
      </w:rPr>
    </w:lvl>
  </w:abstractNum>
  <w:num w:numId="1">
    <w:abstractNumId w:val="1"/>
  </w:num>
  <w:num w:numId="2">
    <w:abstractNumId w:val="0"/>
  </w:num>
  <w:num w:numId="3">
    <w:abstractNumId w:val="5"/>
  </w:num>
  <w:num w:numId="4">
    <w:abstractNumId w:val="2"/>
  </w:num>
  <w:num w:numId="5">
    <w:abstractNumId w:val="6"/>
  </w:num>
  <w:num w:numId="6">
    <w:abstractNumId w:val="4"/>
  </w:num>
  <w:num w:numId="7">
    <w:abstractNumId w:val="7"/>
  </w:num>
  <w:num w:numId="8">
    <w:abstractNumId w:val="3"/>
  </w:num>
  <w:num w:numId="9">
    <w:abstractNumId w:val="6"/>
  </w:num>
  <w:num w:numId="10">
    <w:abstractNumId w:val="0"/>
  </w:num>
  <w:num w:numId="11">
    <w:abstractNumId w:val="5"/>
  </w:num>
  <w:num w:numId="12">
    <w:abstractNumId w:val="2"/>
  </w:num>
  <w:num w:numId="13">
    <w:abstractNumId w:val="3"/>
  </w:num>
  <w:num w:numId="14">
    <w:abstractNumId w:val="7"/>
  </w:num>
  <w:num w:numId="15">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autoHyphenation/>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523E"/>
    <w:rsid w:val="000A0E80"/>
    <w:rsid w:val="000A32AF"/>
    <w:rsid w:val="000F523E"/>
    <w:rsid w:val="002D5CA1"/>
    <w:rsid w:val="008D09B4"/>
    <w:rsid w:val="00A36CB8"/>
    <w:rsid w:val="00CD23A4"/>
    <w:rsid w:val="00F935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D017307"/>
  <w15:docId w15:val="{46A71967-CA72-4471-B2E0-092C465C6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Open Sans" w:eastAsia="Open Sans" w:hAnsi="Open Sans" w:cs="Open Sans"/>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Standard"/>
    <w:next w:val="Standard"/>
    <w:uiPriority w:val="9"/>
    <w:qFormat/>
    <w:pPr>
      <w:outlineLvl w:val="0"/>
    </w:pPr>
    <w:rPr>
      <w:b/>
      <w:sz w:val="32"/>
      <w:szCs w:val="32"/>
    </w:rPr>
  </w:style>
  <w:style w:type="paragraph" w:styleId="Heading2">
    <w:name w:val="heading 2"/>
    <w:basedOn w:val="Standard"/>
    <w:next w:val="Standard"/>
    <w:uiPriority w:val="9"/>
    <w:unhideWhenUsed/>
    <w:qFormat/>
    <w:pPr>
      <w:spacing w:before="480" w:line="240" w:lineRule="auto"/>
      <w:ind w:right="1785"/>
      <w:outlineLvl w:val="1"/>
    </w:pPr>
    <w:rPr>
      <w:b/>
      <w:sz w:val="26"/>
      <w:szCs w:val="26"/>
    </w:rPr>
  </w:style>
  <w:style w:type="paragraph" w:styleId="Heading3">
    <w:name w:val="heading 3"/>
    <w:basedOn w:val="Standard"/>
    <w:next w:val="Standard"/>
    <w:uiPriority w:val="9"/>
    <w:semiHidden/>
    <w:unhideWhenUsed/>
    <w:qFormat/>
    <w:pPr>
      <w:outlineLvl w:val="2"/>
    </w:pPr>
    <w:rPr>
      <w:b/>
      <w:color w:val="8C7252"/>
      <w:sz w:val="24"/>
      <w:szCs w:val="24"/>
    </w:rPr>
  </w:style>
  <w:style w:type="paragraph" w:styleId="Heading4">
    <w:name w:val="heading 4"/>
    <w:basedOn w:val="Standard"/>
    <w:next w:val="Standard"/>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Standard"/>
    <w:next w:val="Standard"/>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Standard"/>
    <w:next w:val="Standard"/>
    <w:uiPriority w:val="9"/>
    <w:semiHidden/>
    <w:unhideWhenUsed/>
    <w:qFormat/>
    <w:pPr>
      <w:keepNext/>
      <w:keepLines/>
      <w:spacing w:before="160"/>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spacing w:before="200" w:line="360" w:lineRule="auto"/>
      <w:ind w:left="-15"/>
    </w:pPr>
  </w:style>
  <w:style w:type="paragraph" w:customStyle="1" w:styleId="Heading">
    <w:name w:val="Heading"/>
    <w:basedOn w:val="Standard"/>
    <w:next w:val="Textbody"/>
    <w:pPr>
      <w:keepNext/>
      <w:spacing w:before="240" w:after="120"/>
    </w:pPr>
    <w:rPr>
      <w:rFonts w:ascii="Liberation Sans" w:eastAsia="Microsoft YaHei" w:hAnsi="Liberation Sans" w:cs="Arial"/>
      <w:sz w:val="28"/>
      <w:szCs w:val="28"/>
    </w:rPr>
  </w:style>
  <w:style w:type="paragraph" w:customStyle="1" w:styleId="Textbody">
    <w:name w:val="Text body"/>
    <w:basedOn w:val="Standard"/>
    <w:pPr>
      <w:spacing w:before="0" w:after="140" w:line="276" w:lineRule="auto"/>
    </w:pPr>
  </w:style>
  <w:style w:type="paragraph" w:styleId="List">
    <w:name w:val="List"/>
    <w:basedOn w:val="Textbody"/>
    <w:rPr>
      <w:rFonts w:cs="Arial"/>
      <w:sz w:val="24"/>
    </w:rPr>
  </w:style>
  <w:style w:type="paragraph" w:styleId="Caption">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sz w:val="24"/>
    </w:rPr>
  </w:style>
  <w:style w:type="paragraph" w:styleId="Title">
    <w:name w:val="Title"/>
    <w:basedOn w:val="Standard"/>
    <w:next w:val="Standard"/>
    <w:uiPriority w:val="10"/>
    <w:qFormat/>
    <w:pPr>
      <w:spacing w:before="0" w:line="240" w:lineRule="auto"/>
      <w:ind w:left="0" w:firstLine="15"/>
    </w:pPr>
    <w:rPr>
      <w:rFonts w:ascii="Economica" w:eastAsia="Economica" w:hAnsi="Economica" w:cs="Economica"/>
      <w:sz w:val="60"/>
      <w:szCs w:val="60"/>
    </w:rPr>
  </w:style>
  <w:style w:type="paragraph" w:styleId="Subtitle">
    <w:name w:val="Subtitle"/>
    <w:basedOn w:val="Standard"/>
    <w:next w:val="Standard"/>
    <w:uiPriority w:val="11"/>
    <w:qFormat/>
    <w:pPr>
      <w:spacing w:before="0" w:line="240" w:lineRule="auto"/>
    </w:pPr>
    <w:rPr>
      <w:rFonts w:ascii="Economica" w:eastAsia="Economica" w:hAnsi="Economica" w:cs="Economica"/>
      <w:color w:val="999999"/>
      <w:sz w:val="28"/>
      <w:szCs w:val="28"/>
    </w:rPr>
  </w:style>
  <w:style w:type="paragraph" w:styleId="Header">
    <w:name w:val="header"/>
    <w:basedOn w:val="Standard"/>
  </w:style>
  <w:style w:type="paragraph" w:styleId="Footer">
    <w:name w:val="footer"/>
    <w:basedOn w:val="Standard"/>
  </w:style>
  <w:style w:type="character" w:customStyle="1" w:styleId="Internetlink">
    <w:name w:val="Internet link"/>
    <w:basedOn w:val="DefaultParagraphFont"/>
    <w:rPr>
      <w:color w:val="0000FF"/>
      <w:u w:val="single"/>
    </w:rPr>
  </w:style>
  <w:style w:type="character" w:customStyle="1" w:styleId="ListLabel1">
    <w:name w:val="ListLabel 1"/>
    <w:rPr>
      <w:rFonts w:ascii="Arial" w:eastAsia="Arial" w:hAnsi="Arial" w:cs="Arial"/>
      <w:u w:val="none"/>
    </w:rPr>
  </w:style>
  <w:style w:type="character" w:customStyle="1" w:styleId="ListLabel2">
    <w:name w:val="ListLabel 2"/>
    <w:rPr>
      <w:u w:val="none"/>
    </w:rPr>
  </w:style>
  <w:style w:type="character" w:customStyle="1" w:styleId="ListLabel3">
    <w:name w:val="ListLabel 3"/>
    <w:rPr>
      <w:u w:val="none"/>
    </w:rPr>
  </w:style>
  <w:style w:type="character" w:customStyle="1" w:styleId="ListLabel4">
    <w:name w:val="ListLabel 4"/>
    <w:rPr>
      <w:u w:val="none"/>
    </w:rPr>
  </w:style>
  <w:style w:type="character" w:customStyle="1" w:styleId="ListLabel5">
    <w:name w:val="ListLabel 5"/>
    <w:rPr>
      <w:u w:val="none"/>
    </w:rPr>
  </w:style>
  <w:style w:type="character" w:customStyle="1" w:styleId="ListLabel6">
    <w:name w:val="ListLabel 6"/>
    <w:rPr>
      <w:u w:val="none"/>
    </w:rPr>
  </w:style>
  <w:style w:type="character" w:customStyle="1" w:styleId="ListLabel7">
    <w:name w:val="ListLabel 7"/>
    <w:rPr>
      <w:u w:val="none"/>
    </w:rPr>
  </w:style>
  <w:style w:type="character" w:customStyle="1" w:styleId="ListLabel8">
    <w:name w:val="ListLabel 8"/>
    <w:rPr>
      <w:u w:val="none"/>
    </w:rPr>
  </w:style>
  <w:style w:type="character" w:customStyle="1" w:styleId="ListLabel9">
    <w:name w:val="ListLabel 9"/>
    <w:rPr>
      <w:u w:val="none"/>
    </w:rPr>
  </w:style>
  <w:style w:type="character" w:customStyle="1" w:styleId="ListLabel10">
    <w:name w:val="ListLabel 10"/>
    <w:rPr>
      <w:rFonts w:ascii="Arial" w:eastAsia="Arial" w:hAnsi="Arial" w:cs="Arial"/>
      <w:u w:val="none"/>
    </w:rPr>
  </w:style>
  <w:style w:type="character" w:customStyle="1" w:styleId="ListLabel11">
    <w:name w:val="ListLabel 11"/>
    <w:rPr>
      <w:u w:val="none"/>
    </w:rPr>
  </w:style>
  <w:style w:type="character" w:customStyle="1" w:styleId="ListLabel12">
    <w:name w:val="ListLabel 12"/>
    <w:rPr>
      <w:u w:val="none"/>
    </w:rPr>
  </w:style>
  <w:style w:type="character" w:customStyle="1" w:styleId="ListLabel13">
    <w:name w:val="ListLabel 13"/>
    <w:rPr>
      <w:u w:val="none"/>
    </w:rPr>
  </w:style>
  <w:style w:type="character" w:customStyle="1" w:styleId="ListLabel14">
    <w:name w:val="ListLabel 14"/>
    <w:rPr>
      <w:u w:val="none"/>
    </w:rPr>
  </w:style>
  <w:style w:type="character" w:customStyle="1" w:styleId="ListLabel15">
    <w:name w:val="ListLabel 15"/>
    <w:rPr>
      <w:u w:val="none"/>
    </w:rPr>
  </w:style>
  <w:style w:type="character" w:customStyle="1" w:styleId="ListLabel16">
    <w:name w:val="ListLabel 16"/>
    <w:rPr>
      <w:u w:val="none"/>
    </w:rPr>
  </w:style>
  <w:style w:type="character" w:customStyle="1" w:styleId="ListLabel17">
    <w:name w:val="ListLabel 17"/>
    <w:rPr>
      <w:u w:val="none"/>
    </w:rPr>
  </w:style>
  <w:style w:type="character" w:customStyle="1" w:styleId="ListLabel18">
    <w:name w:val="ListLabel 18"/>
    <w:rPr>
      <w:u w:val="none"/>
    </w:rPr>
  </w:style>
  <w:style w:type="character" w:customStyle="1" w:styleId="ListLabel19">
    <w:name w:val="ListLabel 19"/>
    <w:rPr>
      <w:rFonts w:ascii="Arial" w:eastAsia="Arial" w:hAnsi="Arial" w:cs="Arial"/>
      <w:u w:val="none"/>
    </w:rPr>
  </w:style>
  <w:style w:type="character" w:customStyle="1" w:styleId="ListLabel20">
    <w:name w:val="ListLabel 20"/>
    <w:rPr>
      <w:u w:val="none"/>
    </w:rPr>
  </w:style>
  <w:style w:type="character" w:customStyle="1" w:styleId="ListLabel21">
    <w:name w:val="ListLabel 21"/>
    <w:rPr>
      <w:u w:val="none"/>
    </w:rPr>
  </w:style>
  <w:style w:type="character" w:customStyle="1" w:styleId="ListLabel22">
    <w:name w:val="ListLabel 22"/>
    <w:rPr>
      <w:u w:val="none"/>
    </w:rPr>
  </w:style>
  <w:style w:type="character" w:customStyle="1" w:styleId="ListLabel23">
    <w:name w:val="ListLabel 23"/>
    <w:rPr>
      <w:u w:val="none"/>
    </w:rPr>
  </w:style>
  <w:style w:type="character" w:customStyle="1" w:styleId="ListLabel24">
    <w:name w:val="ListLabel 24"/>
    <w:rPr>
      <w:u w:val="none"/>
    </w:rPr>
  </w:style>
  <w:style w:type="character" w:customStyle="1" w:styleId="ListLabel25">
    <w:name w:val="ListLabel 25"/>
    <w:rPr>
      <w:u w:val="none"/>
    </w:rPr>
  </w:style>
  <w:style w:type="character" w:customStyle="1" w:styleId="ListLabel26">
    <w:name w:val="ListLabel 26"/>
    <w:rPr>
      <w:u w:val="none"/>
    </w:rPr>
  </w:style>
  <w:style w:type="character" w:customStyle="1" w:styleId="ListLabel27">
    <w:name w:val="ListLabel 27"/>
    <w:rPr>
      <w:u w:val="none"/>
    </w:rPr>
  </w:style>
  <w:style w:type="character" w:customStyle="1" w:styleId="ListLabel28">
    <w:name w:val="ListLabel 28"/>
    <w:rPr>
      <w:rFonts w:ascii="Arial" w:eastAsia="Arial" w:hAnsi="Arial" w:cs="Arial"/>
      <w:u w:val="none"/>
    </w:rPr>
  </w:style>
  <w:style w:type="character" w:customStyle="1" w:styleId="ListLabel29">
    <w:name w:val="ListLabel 29"/>
    <w:rPr>
      <w:u w:val="none"/>
    </w:rPr>
  </w:style>
  <w:style w:type="character" w:customStyle="1" w:styleId="ListLabel30">
    <w:name w:val="ListLabel 30"/>
    <w:rPr>
      <w:u w:val="none"/>
    </w:rPr>
  </w:style>
  <w:style w:type="character" w:customStyle="1" w:styleId="ListLabel31">
    <w:name w:val="ListLabel 31"/>
    <w:rPr>
      <w:u w:val="none"/>
    </w:rPr>
  </w:style>
  <w:style w:type="character" w:customStyle="1" w:styleId="ListLabel32">
    <w:name w:val="ListLabel 32"/>
    <w:rPr>
      <w:u w:val="none"/>
    </w:rPr>
  </w:style>
  <w:style w:type="character" w:customStyle="1" w:styleId="ListLabel33">
    <w:name w:val="ListLabel 33"/>
    <w:rPr>
      <w:u w:val="none"/>
    </w:rPr>
  </w:style>
  <w:style w:type="character" w:customStyle="1" w:styleId="ListLabel34">
    <w:name w:val="ListLabel 34"/>
    <w:rPr>
      <w:u w:val="none"/>
    </w:rPr>
  </w:style>
  <w:style w:type="character" w:customStyle="1" w:styleId="ListLabel35">
    <w:name w:val="ListLabel 35"/>
    <w:rPr>
      <w:u w:val="none"/>
    </w:rPr>
  </w:style>
  <w:style w:type="character" w:customStyle="1" w:styleId="ListLabel36">
    <w:name w:val="ListLabel 36"/>
    <w:rPr>
      <w:u w:val="none"/>
    </w:rPr>
  </w:style>
  <w:style w:type="character" w:customStyle="1" w:styleId="ListLabel37">
    <w:name w:val="ListLabel 37"/>
    <w:rPr>
      <w:rFonts w:ascii="Arial" w:eastAsia="Arial" w:hAnsi="Arial" w:cs="Arial"/>
      <w:u w:val="none"/>
    </w:rPr>
  </w:style>
  <w:style w:type="character" w:customStyle="1" w:styleId="ListLabel38">
    <w:name w:val="ListLabel 38"/>
    <w:rPr>
      <w:u w:val="none"/>
    </w:rPr>
  </w:style>
  <w:style w:type="character" w:customStyle="1" w:styleId="ListLabel39">
    <w:name w:val="ListLabel 39"/>
    <w:rPr>
      <w:u w:val="none"/>
    </w:rPr>
  </w:style>
  <w:style w:type="character" w:customStyle="1" w:styleId="ListLabel40">
    <w:name w:val="ListLabel 40"/>
    <w:rPr>
      <w:u w:val="none"/>
    </w:rPr>
  </w:style>
  <w:style w:type="character" w:customStyle="1" w:styleId="ListLabel41">
    <w:name w:val="ListLabel 41"/>
    <w:rPr>
      <w:u w:val="none"/>
    </w:rPr>
  </w:style>
  <w:style w:type="character" w:customStyle="1" w:styleId="ListLabel42">
    <w:name w:val="ListLabel 42"/>
    <w:rPr>
      <w:u w:val="none"/>
    </w:rPr>
  </w:style>
  <w:style w:type="character" w:customStyle="1" w:styleId="ListLabel43">
    <w:name w:val="ListLabel 43"/>
    <w:rPr>
      <w:u w:val="none"/>
    </w:rPr>
  </w:style>
  <w:style w:type="character" w:customStyle="1" w:styleId="ListLabel44">
    <w:name w:val="ListLabel 44"/>
    <w:rPr>
      <w:u w:val="none"/>
    </w:rPr>
  </w:style>
  <w:style w:type="character" w:customStyle="1" w:styleId="ListLabel45">
    <w:name w:val="ListLabel 45"/>
    <w:rPr>
      <w:u w:val="none"/>
    </w:rPr>
  </w:style>
  <w:style w:type="character" w:customStyle="1" w:styleId="ListLabel46">
    <w:name w:val="ListLabel 46"/>
    <w:rPr>
      <w:rFonts w:ascii="Arial" w:eastAsia="Arial" w:hAnsi="Arial" w:cs="Arial"/>
      <w:u w:val="none"/>
    </w:rPr>
  </w:style>
  <w:style w:type="character" w:customStyle="1" w:styleId="ListLabel47">
    <w:name w:val="ListLabel 47"/>
    <w:rPr>
      <w:u w:val="none"/>
    </w:rPr>
  </w:style>
  <w:style w:type="character" w:customStyle="1" w:styleId="ListLabel48">
    <w:name w:val="ListLabel 48"/>
    <w:rPr>
      <w:u w:val="none"/>
    </w:rPr>
  </w:style>
  <w:style w:type="character" w:customStyle="1" w:styleId="ListLabel49">
    <w:name w:val="ListLabel 49"/>
    <w:rPr>
      <w:u w:val="none"/>
    </w:rPr>
  </w:style>
  <w:style w:type="character" w:customStyle="1" w:styleId="ListLabel50">
    <w:name w:val="ListLabel 50"/>
    <w:rPr>
      <w:u w:val="none"/>
    </w:rPr>
  </w:style>
  <w:style w:type="character" w:customStyle="1" w:styleId="ListLabel51">
    <w:name w:val="ListLabel 51"/>
    <w:rPr>
      <w:u w:val="none"/>
    </w:rPr>
  </w:style>
  <w:style w:type="character" w:customStyle="1" w:styleId="ListLabel52">
    <w:name w:val="ListLabel 52"/>
    <w:rPr>
      <w:u w:val="none"/>
    </w:rPr>
  </w:style>
  <w:style w:type="character" w:customStyle="1" w:styleId="ListLabel53">
    <w:name w:val="ListLabel 53"/>
    <w:rPr>
      <w:u w:val="none"/>
    </w:rPr>
  </w:style>
  <w:style w:type="character" w:customStyle="1" w:styleId="ListLabel54">
    <w:name w:val="ListLabel 54"/>
    <w:rPr>
      <w:u w:val="none"/>
    </w:rPr>
  </w:style>
  <w:style w:type="character" w:customStyle="1" w:styleId="ListLabel55">
    <w:name w:val="ListLabel 55"/>
    <w:rPr>
      <w:rFonts w:ascii="Arial" w:eastAsia="Arial" w:hAnsi="Arial" w:cs="Arial"/>
      <w:u w:val="none"/>
    </w:rPr>
  </w:style>
  <w:style w:type="character" w:customStyle="1" w:styleId="ListLabel56">
    <w:name w:val="ListLabel 56"/>
    <w:rPr>
      <w:u w:val="none"/>
    </w:rPr>
  </w:style>
  <w:style w:type="character" w:customStyle="1" w:styleId="ListLabel57">
    <w:name w:val="ListLabel 57"/>
    <w:rPr>
      <w:u w:val="none"/>
    </w:rPr>
  </w:style>
  <w:style w:type="character" w:customStyle="1" w:styleId="ListLabel58">
    <w:name w:val="ListLabel 58"/>
    <w:rPr>
      <w:u w:val="none"/>
    </w:rPr>
  </w:style>
  <w:style w:type="character" w:customStyle="1" w:styleId="ListLabel59">
    <w:name w:val="ListLabel 59"/>
    <w:rPr>
      <w:u w:val="none"/>
    </w:rPr>
  </w:style>
  <w:style w:type="character" w:customStyle="1" w:styleId="ListLabel60">
    <w:name w:val="ListLabel 60"/>
    <w:rPr>
      <w:u w:val="none"/>
    </w:rPr>
  </w:style>
  <w:style w:type="character" w:customStyle="1" w:styleId="ListLabel61">
    <w:name w:val="ListLabel 61"/>
    <w:rPr>
      <w:u w:val="none"/>
    </w:rPr>
  </w:style>
  <w:style w:type="character" w:customStyle="1" w:styleId="ListLabel62">
    <w:name w:val="ListLabel 62"/>
    <w:rPr>
      <w:u w:val="none"/>
    </w:rPr>
  </w:style>
  <w:style w:type="character" w:customStyle="1" w:styleId="ListLabel63">
    <w:name w:val="ListLabel 63"/>
    <w:rPr>
      <w:u w:val="none"/>
    </w:rPr>
  </w:style>
  <w:style w:type="character" w:customStyle="1" w:styleId="ListLabel64">
    <w:name w:val="ListLabel 64"/>
    <w:rPr>
      <w:rFonts w:ascii="Arial" w:eastAsia="Arial" w:hAnsi="Arial" w:cs="Arial"/>
    </w:rPr>
  </w:style>
  <w:style w:type="character" w:customStyle="1" w:styleId="ListLabel65">
    <w:name w:val="ListLabel 65"/>
    <w:rPr>
      <w:rFonts w:ascii="Arial" w:eastAsia="Arial" w:hAnsi="Arial" w:cs="Arial"/>
      <w:color w:val="1155CC"/>
      <w:u w:val="single"/>
    </w:rPr>
  </w:style>
  <w:style w:type="numbering" w:customStyle="1" w:styleId="NoList1">
    <w:name w:val="No List_1"/>
    <w:basedOn w:val="NoList"/>
    <w:pPr>
      <w:numPr>
        <w:numId w:val="1"/>
      </w:numPr>
    </w:pPr>
  </w:style>
  <w:style w:type="numbering" w:customStyle="1" w:styleId="WWNum1">
    <w:name w:val="WWNum1"/>
    <w:basedOn w:val="NoList"/>
    <w:pPr>
      <w:numPr>
        <w:numId w:val="2"/>
      </w:numPr>
    </w:pPr>
  </w:style>
  <w:style w:type="numbering" w:customStyle="1" w:styleId="WWNum2">
    <w:name w:val="WWNum2"/>
    <w:basedOn w:val="NoList"/>
    <w:pPr>
      <w:numPr>
        <w:numId w:val="3"/>
      </w:numPr>
    </w:pPr>
  </w:style>
  <w:style w:type="numbering" w:customStyle="1" w:styleId="WWNum3">
    <w:name w:val="WWNum3"/>
    <w:basedOn w:val="NoList"/>
    <w:pPr>
      <w:numPr>
        <w:numId w:val="4"/>
      </w:numPr>
    </w:pPr>
  </w:style>
  <w:style w:type="numbering" w:customStyle="1" w:styleId="WWNum4">
    <w:name w:val="WWNum4"/>
    <w:basedOn w:val="NoList"/>
    <w:pPr>
      <w:numPr>
        <w:numId w:val="5"/>
      </w:numPr>
    </w:pPr>
  </w:style>
  <w:style w:type="numbering" w:customStyle="1" w:styleId="WWNum5">
    <w:name w:val="WWNum5"/>
    <w:basedOn w:val="NoList"/>
    <w:pPr>
      <w:numPr>
        <w:numId w:val="6"/>
      </w:numPr>
    </w:pPr>
  </w:style>
  <w:style w:type="numbering" w:customStyle="1" w:styleId="WWNum6">
    <w:name w:val="WWNum6"/>
    <w:basedOn w:val="NoList"/>
    <w:pPr>
      <w:numPr>
        <w:numId w:val="7"/>
      </w:numPr>
    </w:pPr>
  </w:style>
  <w:style w:type="numbering" w:customStyle="1" w:styleId="WWNum7">
    <w:name w:val="WWNum7"/>
    <w:basedOn w:val="NoList"/>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4.jpeg"/><Relationship Id="rId24" Type="http://schemas.openxmlformats.org/officeDocument/2006/relationships/image" Target="media/image15.png"/><Relationship Id="rId25" Type="http://schemas.openxmlformats.org/officeDocument/2006/relationships/hyperlink" Target="https://community.icann.org/display" TargetMode="External"/><Relationship Id="rId26" Type="http://schemas.openxmlformats.org/officeDocument/2006/relationships/header" Target="header1.xml"/><Relationship Id="rId27" Type="http://schemas.openxmlformats.org/officeDocument/2006/relationships/footer" Target="footer1.xml"/><Relationship Id="rId28" Type="http://schemas.openxmlformats.org/officeDocument/2006/relationships/header" Target="header2.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hyperlink" Target="https://www.icann.org/en/system/files/files/strategic-plan-2016-2020-10oct14-en.pdf" TargetMode="External"/><Relationship Id="rId11" Type="http://schemas.openxmlformats.org/officeDocument/2006/relationships/hyperlink" Target="https://community.icann.org/x/MBlpBQ" TargetMode="External"/><Relationship Id="rId12" Type="http://schemas.openxmlformats.org/officeDocument/2006/relationships/hyperlink" Target="https://community.icann.org/display/ALRW/At-Large+Review+Implementation+Overview+Proposal?preview=/84214343/84216717/ALAC-Proposal_Approved-20180420.pdf" TargetMode="External"/><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image" Target="media/image8.png"/><Relationship Id="rId18" Type="http://schemas.openxmlformats.org/officeDocument/2006/relationships/image" Target="media/image9.jpeg"/><Relationship Id="rId19" Type="http://schemas.openxmlformats.org/officeDocument/2006/relationships/image" Target="media/image10.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10</Pages>
  <Words>1442</Words>
  <Characters>8225</Characters>
  <Application>Microsoft Macintosh Word</Application>
  <DocSecurity>0</DocSecurity>
  <Lines>68</Lines>
  <Paragraphs>19</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vt:lpstr>
      <vt:lpstr>The O&amp;E team after the meeting with the Co-Chairs, during ICANN63.  Seated (L-R)</vt:lpstr>
      <vt:lpstr/>
      <vt:lpstr>Introduction</vt:lpstr>
      <vt:lpstr>    /</vt:lpstr>
      <vt:lpstr>    Conclusions</vt:lpstr>
    </vt:vector>
  </TitlesOfParts>
  <Company/>
  <LinksUpToDate>false</LinksUpToDate>
  <CharactersWithSpaces>9648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Evin Erdogdu</cp:lastModifiedBy>
  <cp:revision>3</cp:revision>
  <dcterms:created xsi:type="dcterms:W3CDTF">2019-03-11T04:00:00Z</dcterms:created>
  <dcterms:modified xsi:type="dcterms:W3CDTF">2019-03-11T04:08:00Z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