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558B" w14:textId="066777BD" w:rsidR="005A2589" w:rsidRPr="00335F7B" w:rsidRDefault="00AB2667" w:rsidP="005A2589">
      <w:r>
        <w:rPr>
          <w:noProof/>
        </w:rPr>
        <w:drawing>
          <wp:anchor distT="0" distB="0" distL="114935" distR="114935" simplePos="0" relativeHeight="251661312" behindDoc="0" locked="0" layoutInCell="1" allowOverlap="1" wp14:anchorId="0F8F9165" wp14:editId="07EFACB3">
            <wp:simplePos x="0" y="0"/>
            <wp:positionH relativeFrom="page">
              <wp:posOffset>685800</wp:posOffset>
            </wp:positionH>
            <wp:positionV relativeFrom="page">
              <wp:posOffset>457200</wp:posOffset>
            </wp:positionV>
            <wp:extent cx="6400800" cy="1095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E0FEB9" wp14:editId="6215DDE9">
                <wp:simplePos x="0" y="0"/>
                <wp:positionH relativeFrom="column">
                  <wp:posOffset>-457200</wp:posOffset>
                </wp:positionH>
                <wp:positionV relativeFrom="paragraph">
                  <wp:posOffset>-457200</wp:posOffset>
                </wp:positionV>
                <wp:extent cx="6388735" cy="8458200"/>
                <wp:effectExtent l="0" t="0" r="37465" b="254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735"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95pt;margin-top:-35.95pt;width:503.0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" filled="f"/>
            </w:pict>
          </mc:Fallback>
        </mc:AlternateContent>
      </w:r>
      <w:r>
        <w:rPr>
          <w:noProof/>
        </w:rPr>
        <mc:AlternateContent>
          <mc:Choice Requires="wps">
            <w:drawing>
              <wp:anchor distT="0" distB="0" distL="114299" distR="114299" simplePos="0" relativeHeight="251665408" behindDoc="0" locked="0" layoutInCell="1" allowOverlap="1" wp14:anchorId="42564FAE" wp14:editId="4A693692">
                <wp:simplePos x="0" y="0"/>
                <wp:positionH relativeFrom="column">
                  <wp:posOffset>1096010</wp:posOffset>
                </wp:positionH>
                <wp:positionV relativeFrom="paragraph">
                  <wp:posOffset>685800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6.3pt,54pt" to="86.3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" strokecolor="#376092" strokeweight="5pt"/>
            </w:pict>
          </mc:Fallback>
        </mc:AlternateContent>
      </w:r>
      <w:r w:rsidR="005A2589">
        <w:br w:type="page"/>
      </w:r>
      <w:r w:rsidR="005A2589">
        <w:rPr>
          <w:noProof/>
        </w:rPr>
        <mc:AlternateContent>
          <mc:Choice Requires="wps">
            <w:drawing>
              <wp:anchor distT="0" distB="0" distL="114300" distR="114300" simplePos="0" relativeHeight="251669504" behindDoc="0" locked="0" layoutInCell="1" allowOverlap="1" wp14:anchorId="3E848CB1" wp14:editId="7E164547">
                <wp:simplePos x="0" y="0"/>
                <wp:positionH relativeFrom="column">
                  <wp:posOffset>-384175</wp:posOffset>
                </wp:positionH>
                <wp:positionV relativeFrom="paragraph">
                  <wp:posOffset>6521450</wp:posOffset>
                </wp:positionV>
                <wp:extent cx="1828800" cy="1512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567D" w14:textId="77777777" w:rsidR="005A2589" w:rsidRPr="005A2589" w:rsidRDefault="005A2589" w:rsidP="005A2589">
                            <w:pPr>
                              <w:rPr>
                                <w:rFonts w:ascii="Arial" w:hAnsi="Arial" w:cs="Arial"/>
                                <w:sz w:val="32"/>
                                <w:szCs w:val="32"/>
                              </w:rPr>
                            </w:pPr>
                            <w:r w:rsidRPr="005A2589">
                              <w:rPr>
                                <w:rFonts w:ascii="Arial" w:hAnsi="Arial" w:cs="Arial"/>
                                <w:sz w:val="32"/>
                                <w:szCs w:val="32"/>
                              </w:rPr>
                              <w:t>Status: Final</w:t>
                            </w:r>
                          </w:p>
                          <w:p w14:paraId="60EEB8CC" w14:textId="18110ADF" w:rsidR="005A2589" w:rsidRPr="005A2589" w:rsidRDefault="005A2589" w:rsidP="005A2589">
                            <w:pPr>
                              <w:rPr>
                                <w:rFonts w:ascii="Arial" w:hAnsi="Arial" w:cs="Arial"/>
                                <w:sz w:val="32"/>
                                <w:szCs w:val="32"/>
                              </w:rPr>
                            </w:pPr>
                            <w:r>
                              <w:rPr>
                                <w:rFonts w:ascii="Arial" w:hAnsi="Arial" w:cs="Arial"/>
                                <w:sz w:val="32"/>
                                <w:szCs w:val="32"/>
                              </w:rPr>
                              <w:t>Version: 3</w:t>
                            </w:r>
                            <w:r w:rsidRPr="005A2589">
                              <w:rPr>
                                <w:rFonts w:ascii="Arial" w:hAnsi="Arial" w:cs="Arial"/>
                                <w:sz w:val="32"/>
                                <w:szCs w:val="32"/>
                              </w:rPr>
                              <w:t>.0</w:t>
                            </w:r>
                          </w:p>
                          <w:p w14:paraId="41345D93" w14:textId="6D1F3D18" w:rsidR="005A2589" w:rsidRPr="005A2589" w:rsidRDefault="005A2589" w:rsidP="005A2589">
                            <w:pPr>
                              <w:rPr>
                                <w:rFonts w:ascii="Arial" w:hAnsi="Arial" w:cs="Arial"/>
                                <w:sz w:val="32"/>
                                <w:szCs w:val="32"/>
                              </w:rPr>
                            </w:pPr>
                            <w:r>
                              <w:rPr>
                                <w:rFonts w:ascii="Arial" w:hAnsi="Arial" w:cs="Arial"/>
                                <w:sz w:val="32"/>
                                <w:szCs w:val="32"/>
                              </w:rPr>
                              <w:t>15-May-</w:t>
                            </w:r>
                            <w:r w:rsidRPr="005A2589">
                              <w:rPr>
                                <w:rFonts w:ascii="Arial" w:hAnsi="Arial" w:cs="Arial"/>
                                <w:sz w:val="32"/>
                                <w:szCs w:val="32"/>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0.2pt;margin-top:513.5pt;width:2in;height:1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" filled="f" stroked="f">
                <v:textbox>
                  <w:txbxContent>
                    <w:p w14:paraId="35DC567D" w14:textId="77777777" w:rsidR="005A2589" w:rsidRPr="005A2589" w:rsidRDefault="005A2589" w:rsidP="005A2589">
                      <w:pPr>
                        <w:rPr>
                          <w:rFonts w:ascii="Arial" w:hAnsi="Arial" w:cs="Arial"/>
                          <w:sz w:val="32"/>
                          <w:szCs w:val="32"/>
                        </w:rPr>
                      </w:pPr>
                      <w:r w:rsidRPr="005A2589">
                        <w:rPr>
                          <w:rFonts w:ascii="Arial" w:hAnsi="Arial" w:cs="Arial"/>
                          <w:sz w:val="32"/>
                          <w:szCs w:val="32"/>
                        </w:rPr>
                        <w:t>Status: Final</w:t>
                      </w:r>
                    </w:p>
                    <w:p w14:paraId="60EEB8CC" w14:textId="18110ADF" w:rsidR="005A2589" w:rsidRPr="005A2589" w:rsidRDefault="005A2589" w:rsidP="005A2589">
                      <w:pPr>
                        <w:rPr>
                          <w:rFonts w:ascii="Arial" w:hAnsi="Arial" w:cs="Arial"/>
                          <w:sz w:val="32"/>
                          <w:szCs w:val="32"/>
                        </w:rPr>
                      </w:pPr>
                      <w:r>
                        <w:rPr>
                          <w:rFonts w:ascii="Arial" w:hAnsi="Arial" w:cs="Arial"/>
                          <w:sz w:val="32"/>
                          <w:szCs w:val="32"/>
                        </w:rPr>
                        <w:t>Version: 3</w:t>
                      </w:r>
                      <w:r w:rsidRPr="005A2589">
                        <w:rPr>
                          <w:rFonts w:ascii="Arial" w:hAnsi="Arial" w:cs="Arial"/>
                          <w:sz w:val="32"/>
                          <w:szCs w:val="32"/>
                        </w:rPr>
                        <w:t>.0</w:t>
                      </w:r>
                    </w:p>
                    <w:p w14:paraId="41345D93" w14:textId="6D1F3D18" w:rsidR="005A2589" w:rsidRPr="005A2589" w:rsidRDefault="005A2589" w:rsidP="005A2589">
                      <w:pPr>
                        <w:rPr>
                          <w:rFonts w:ascii="Arial" w:hAnsi="Arial" w:cs="Arial"/>
                          <w:sz w:val="32"/>
                          <w:szCs w:val="32"/>
                        </w:rPr>
                      </w:pPr>
                      <w:r>
                        <w:rPr>
                          <w:rFonts w:ascii="Arial" w:hAnsi="Arial" w:cs="Arial"/>
                          <w:sz w:val="32"/>
                          <w:szCs w:val="32"/>
                        </w:rPr>
                        <w:t>15-May-</w:t>
                      </w:r>
                      <w:r w:rsidRPr="005A2589">
                        <w:rPr>
                          <w:rFonts w:ascii="Arial" w:hAnsi="Arial" w:cs="Arial"/>
                          <w:sz w:val="32"/>
                          <w:szCs w:val="32"/>
                        </w:rPr>
                        <w:t>2011</w:t>
                      </w:r>
                    </w:p>
                  </w:txbxContent>
                </v:textbox>
              </v:shape>
            </w:pict>
          </mc:Fallback>
        </mc:AlternateContent>
      </w:r>
      <w:r w:rsidR="005A2589">
        <w:rPr>
          <w:noProof/>
        </w:rPr>
        <mc:AlternateContent>
          <mc:Choice Requires="wps">
            <w:drawing>
              <wp:anchor distT="0" distB="0" distL="114300" distR="114300" simplePos="0" relativeHeight="251667456" behindDoc="0" locked="0" layoutInCell="1" allowOverlap="1" wp14:anchorId="4CB31281" wp14:editId="23074AC6">
                <wp:simplePos x="0" y="0"/>
                <wp:positionH relativeFrom="column">
                  <wp:posOffset>1425575</wp:posOffset>
                </wp:positionH>
                <wp:positionV relativeFrom="paragraph">
                  <wp:posOffset>6526530</wp:posOffset>
                </wp:positionV>
                <wp:extent cx="4572000" cy="14662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1434" w14:textId="77777777" w:rsidR="005A2589" w:rsidRPr="002569A6" w:rsidRDefault="005A2589" w:rsidP="005A2589">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14:paraId="34B3E249" w14:textId="77777777" w:rsidR="005A2589" w:rsidRPr="002569A6" w:rsidRDefault="005A2589" w:rsidP="005A2589">
                            <w:pPr>
                              <w:pStyle w:val="ListParagraph"/>
                              <w:ind w:left="0"/>
                              <w:rPr>
                                <w:rFonts w:ascii="Arial" w:hAnsi="Arial" w:cs="Arial"/>
                                <w:b/>
                                <w:sz w:val="36"/>
                                <w:szCs w:val="36"/>
                              </w:rPr>
                            </w:pPr>
                          </w:p>
                          <w:p w14:paraId="73FCEABA" w14:textId="77777777" w:rsidR="005A2589" w:rsidRPr="002569A6" w:rsidRDefault="005A2589" w:rsidP="005A2589">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2.25pt;margin-top:513.9pt;width:5in;height:1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" filled="f" stroked="f">
                <v:textbox>
                  <w:txbxContent>
                    <w:p w14:paraId="47201434" w14:textId="77777777" w:rsidR="005A2589" w:rsidRPr="002569A6" w:rsidRDefault="005A2589" w:rsidP="005A2589">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14:paraId="34B3E249" w14:textId="77777777" w:rsidR="005A2589" w:rsidRPr="002569A6" w:rsidRDefault="005A2589" w:rsidP="005A2589">
                      <w:pPr>
                        <w:pStyle w:val="ListParagraph"/>
                        <w:ind w:left="0"/>
                        <w:rPr>
                          <w:rFonts w:ascii="Arial" w:hAnsi="Arial" w:cs="Arial"/>
                          <w:b/>
                          <w:sz w:val="36"/>
                          <w:szCs w:val="36"/>
                        </w:rPr>
                      </w:pPr>
                    </w:p>
                    <w:p w14:paraId="73FCEABA" w14:textId="77777777" w:rsidR="005A2589" w:rsidRPr="002569A6" w:rsidRDefault="005A2589" w:rsidP="005A2589">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5A2589">
        <w:rPr>
          <w:noProof/>
        </w:rPr>
        <mc:AlternateContent>
          <mc:Choice Requires="wps">
            <w:drawing>
              <wp:anchor distT="0" distB="0" distL="114300" distR="114300" simplePos="0" relativeHeight="251663360" behindDoc="0" locked="0" layoutInCell="1" allowOverlap="1" wp14:anchorId="7B1E7322" wp14:editId="21EF16F0">
                <wp:simplePos x="0" y="0"/>
                <wp:positionH relativeFrom="column">
                  <wp:posOffset>1379220</wp:posOffset>
                </wp:positionH>
                <wp:positionV relativeFrom="paragraph">
                  <wp:posOffset>1544955</wp:posOffset>
                </wp:positionV>
                <wp:extent cx="4572000" cy="4681855"/>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B0E4" w14:textId="7FA2C10A" w:rsidR="005A2589" w:rsidRDefault="005A2589" w:rsidP="005A2589">
                            <w:pPr>
                              <w:rPr>
                                <w:rFonts w:ascii="Arial Rounded MT Bold" w:hAnsi="Arial Rounded MT Bold"/>
                                <w:b/>
                                <w:sz w:val="72"/>
                                <w:szCs w:val="72"/>
                              </w:rPr>
                            </w:pPr>
                            <w:r w:rsidRPr="005A2589">
                              <w:rPr>
                                <w:rFonts w:ascii="Arial Rounded MT Bold" w:hAnsi="Arial Rounded MT Bold"/>
                                <w:b/>
                                <w:bCs/>
                                <w:sz w:val="72"/>
                                <w:szCs w:val="72"/>
                              </w:rPr>
                              <w:t>New gTLD Applicant Guidebook – April 2011 Discussion Draft</w:t>
                            </w:r>
                          </w:p>
                          <w:p w14:paraId="4CE21D6D" w14:textId="714FF4FE" w:rsidR="005A2589" w:rsidRPr="002569A6" w:rsidRDefault="005A2589" w:rsidP="005A2589">
                            <w:pPr>
                              <w:rPr>
                                <w:rFonts w:ascii="Arial Rounded MT Bold" w:hAnsi="Arial Rounded MT Bold"/>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6pt;margin-top:121.65pt;width:5in;height:3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" filled="f" stroked="f">
                <v:textbox>
                  <w:txbxContent>
                    <w:p w14:paraId="796FB0E4" w14:textId="7FA2C10A" w:rsidR="005A2589" w:rsidRDefault="005A2589" w:rsidP="005A2589">
                      <w:pPr>
                        <w:rPr>
                          <w:rFonts w:ascii="Arial Rounded MT Bold" w:hAnsi="Arial Rounded MT Bold"/>
                          <w:b/>
                          <w:sz w:val="72"/>
                          <w:szCs w:val="72"/>
                        </w:rPr>
                      </w:pPr>
                      <w:r w:rsidRPr="005A2589">
                        <w:rPr>
                          <w:rFonts w:ascii="Arial Rounded MT Bold" w:hAnsi="Arial Rounded MT Bold"/>
                          <w:b/>
                          <w:bCs/>
                          <w:sz w:val="72"/>
                          <w:szCs w:val="72"/>
                        </w:rPr>
                        <w:t>New gTLD Applicant Guidebook – April 2011 Discussion Draft</w:t>
                      </w:r>
                    </w:p>
                    <w:p w14:paraId="4CE21D6D" w14:textId="714FF4FE" w:rsidR="005A2589" w:rsidRPr="002569A6" w:rsidRDefault="005A2589" w:rsidP="005A2589">
                      <w:pPr>
                        <w:rPr>
                          <w:rFonts w:ascii="Arial Rounded MT Bold" w:hAnsi="Arial Rounded MT Bold"/>
                          <w:b/>
                          <w:sz w:val="72"/>
                          <w:szCs w:val="72"/>
                        </w:rPr>
                      </w:pPr>
                    </w:p>
                  </w:txbxContent>
                </v:textbox>
              </v:shape>
            </w:pict>
          </mc:Fallback>
        </mc:AlternateContent>
      </w:r>
    </w:p>
    <w:p w14:paraId="21EA0E09" w14:textId="25235825" w:rsidR="002D4E5B" w:rsidRDefault="002D4E5B">
      <w:pPr>
        <w:rPr>
          <w:rFonts w:ascii="Arial" w:hAnsi="Arial" w:cs="Arial"/>
          <w:b/>
          <w:sz w:val="20"/>
          <w:szCs w:val="20"/>
        </w:rPr>
        <w:sectPr w:rsidR="002D4E5B" w:rsidSect="002D4E5B">
          <w:footerReference w:type="even" r:id="rId10"/>
          <w:footerReference w:type="default" r:id="rId11"/>
          <w:pgSz w:w="12240" w:h="15840"/>
          <w:pgMar w:top="1440" w:right="1800" w:bottom="1440" w:left="1800" w:header="720" w:footer="720" w:gutter="0"/>
          <w:pgNumType w:start="1"/>
          <w:cols w:space="720"/>
        </w:sectPr>
      </w:pPr>
    </w:p>
    <w:p w14:paraId="3E608369" w14:textId="15A97B40" w:rsidR="00E0740D" w:rsidRPr="004B63EC" w:rsidRDefault="00E0740D">
      <w:pPr>
        <w:rPr>
          <w:rFonts w:ascii="Arial" w:hAnsi="Arial" w:cs="Arial"/>
          <w:b/>
          <w:sz w:val="20"/>
          <w:szCs w:val="20"/>
        </w:rPr>
      </w:pPr>
      <w:r w:rsidRPr="004B63EC">
        <w:rPr>
          <w:rFonts w:ascii="Arial" w:hAnsi="Arial" w:cs="Arial"/>
          <w:b/>
          <w:sz w:val="20"/>
          <w:szCs w:val="20"/>
        </w:rPr>
        <w:lastRenderedPageBreak/>
        <w:t xml:space="preserve">Summary </w:t>
      </w:r>
    </w:p>
    <w:p w14:paraId="179E2066" w14:textId="77777777" w:rsidR="00E0740D" w:rsidRPr="004B63EC" w:rsidRDefault="00E0740D" w:rsidP="00EA2994">
      <w:pPr>
        <w:rPr>
          <w:rFonts w:ascii="Arial" w:hAnsi="Arial" w:cs="Arial"/>
          <w:sz w:val="20"/>
          <w:szCs w:val="20"/>
        </w:rPr>
      </w:pPr>
    </w:p>
    <w:p w14:paraId="284DA6F2" w14:textId="77777777" w:rsidR="00E0740D" w:rsidRPr="004B63EC" w:rsidRDefault="00E0740D" w:rsidP="00EA2994">
      <w:pPr>
        <w:pStyle w:val="ListParagraph"/>
        <w:spacing w:after="120"/>
        <w:ind w:left="0"/>
        <w:rPr>
          <w:rFonts w:ascii="Arial" w:hAnsi="Arial" w:cs="Arial"/>
          <w:sz w:val="20"/>
          <w:szCs w:val="20"/>
        </w:rPr>
      </w:pPr>
      <w:r w:rsidRPr="004B63EC">
        <w:rPr>
          <w:rFonts w:ascii="Arial" w:hAnsi="Arial" w:cs="Arial"/>
          <w:sz w:val="20"/>
          <w:szCs w:val="20"/>
        </w:rPr>
        <w:t>The BC has bee</w:t>
      </w:r>
      <w:bookmarkStart w:id="0" w:name="_GoBack"/>
      <w:bookmarkEnd w:id="0"/>
      <w:r w:rsidRPr="004B63EC">
        <w:rPr>
          <w:rFonts w:ascii="Arial" w:hAnsi="Arial" w:cs="Arial"/>
          <w:sz w:val="20"/>
          <w:szCs w:val="20"/>
        </w:rPr>
        <w:t>n engaged throughout policy development and Public Comment processes surrounding new gTLDs.  Moreover, many BC members have also provided detailed comments.</w:t>
      </w:r>
    </w:p>
    <w:p w14:paraId="460A6D1A" w14:textId="77777777" w:rsidR="00E0740D" w:rsidRPr="004B63EC" w:rsidRDefault="00E0740D" w:rsidP="00EA2994">
      <w:pPr>
        <w:pStyle w:val="ListParagraph"/>
        <w:spacing w:after="120"/>
        <w:ind w:left="1080"/>
        <w:rPr>
          <w:rFonts w:ascii="Arial" w:hAnsi="Arial" w:cs="Arial"/>
          <w:sz w:val="20"/>
          <w:szCs w:val="20"/>
        </w:rPr>
      </w:pPr>
      <w:r w:rsidRPr="004B63EC">
        <w:rPr>
          <w:rFonts w:ascii="Arial" w:hAnsi="Arial" w:cs="Arial"/>
          <w:sz w:val="20"/>
          <w:szCs w:val="20"/>
        </w:rPr>
        <w:t xml:space="preserve"> </w:t>
      </w:r>
    </w:p>
    <w:p w14:paraId="19085A76" w14:textId="77777777" w:rsidR="00E0740D" w:rsidRPr="004B63EC" w:rsidRDefault="00E0740D" w:rsidP="00EA2994">
      <w:pPr>
        <w:pStyle w:val="ListParagraph"/>
        <w:spacing w:after="120"/>
        <w:ind w:left="0"/>
        <w:rPr>
          <w:rFonts w:ascii="Arial" w:hAnsi="Arial" w:cs="Arial"/>
          <w:sz w:val="20"/>
          <w:szCs w:val="20"/>
        </w:rPr>
      </w:pPr>
      <w:r w:rsidRPr="004B63EC">
        <w:rPr>
          <w:rFonts w:ascii="Arial" w:hAnsi="Arial" w:cs="Arial"/>
          <w:sz w:val="20"/>
          <w:szCs w:val="20"/>
        </w:rPr>
        <w:t xml:space="preserve">First, the BC acknowledges and appreciates ICANN’s acceptance of </w:t>
      </w:r>
      <w:r>
        <w:rPr>
          <w:rFonts w:ascii="Arial" w:hAnsi="Arial" w:cs="Arial"/>
          <w:sz w:val="20"/>
          <w:szCs w:val="20"/>
        </w:rPr>
        <w:t>many</w:t>
      </w:r>
      <w:r w:rsidRPr="004B63EC">
        <w:rPr>
          <w:rFonts w:ascii="Arial" w:hAnsi="Arial" w:cs="Arial"/>
          <w:sz w:val="20"/>
          <w:szCs w:val="20"/>
        </w:rPr>
        <w:t xml:space="preserve"> BC recommendations:</w:t>
      </w:r>
    </w:p>
    <w:p w14:paraId="70831670" w14:textId="77777777" w:rsidR="00E0740D" w:rsidRPr="004B63EC" w:rsidRDefault="00E0740D" w:rsidP="00EA2994">
      <w:pPr>
        <w:pStyle w:val="ListParagraph"/>
        <w:spacing w:after="120"/>
        <w:ind w:left="0"/>
        <w:rPr>
          <w:rFonts w:ascii="Arial" w:hAnsi="Arial" w:cs="Arial"/>
          <w:sz w:val="20"/>
          <w:szCs w:val="20"/>
        </w:rPr>
      </w:pPr>
    </w:p>
    <w:p w14:paraId="7000C204" w14:textId="77777777" w:rsidR="00E0740D" w:rsidRPr="004B63EC" w:rsidRDefault="00E0740D" w:rsidP="00A06E12">
      <w:pPr>
        <w:pStyle w:val="ListParagraph"/>
        <w:numPr>
          <w:ilvl w:val="0"/>
          <w:numId w:val="11"/>
        </w:numPr>
        <w:rPr>
          <w:rFonts w:ascii="Arial" w:hAnsi="Arial" w:cs="Arial"/>
          <w:sz w:val="20"/>
          <w:szCs w:val="20"/>
        </w:rPr>
      </w:pPr>
      <w:r w:rsidRPr="004B63EC">
        <w:rPr>
          <w:rFonts w:ascii="Arial" w:hAnsi="Arial" w:cs="Arial"/>
          <w:sz w:val="20"/>
          <w:szCs w:val="20"/>
        </w:rPr>
        <w:t>Applicants are now required to describe differentiation and planned benefits &amp; cost mitigation measures for their proposed gTLD</w:t>
      </w:r>
    </w:p>
    <w:p w14:paraId="6820130E" w14:textId="77777777" w:rsidR="00E0740D" w:rsidRPr="004B63EC" w:rsidRDefault="00E0740D" w:rsidP="007F2636">
      <w:pPr>
        <w:pStyle w:val="ListParagraph"/>
        <w:rPr>
          <w:rFonts w:ascii="Arial" w:hAnsi="Arial" w:cs="Arial"/>
          <w:sz w:val="20"/>
          <w:szCs w:val="20"/>
        </w:rPr>
      </w:pPr>
    </w:p>
    <w:p w14:paraId="3187E6D0" w14:textId="77777777" w:rsidR="00E0740D" w:rsidRPr="004B63EC" w:rsidRDefault="00E0740D" w:rsidP="00A06E12">
      <w:pPr>
        <w:pStyle w:val="ListParagraph"/>
        <w:numPr>
          <w:ilvl w:val="0"/>
          <w:numId w:val="11"/>
        </w:numPr>
        <w:rPr>
          <w:rFonts w:ascii="Arial" w:hAnsi="Arial" w:cs="Arial"/>
          <w:sz w:val="20"/>
          <w:szCs w:val="20"/>
        </w:rPr>
      </w:pPr>
      <w:r w:rsidRPr="004B63EC">
        <w:rPr>
          <w:rFonts w:ascii="Arial" w:hAnsi="Arial" w:cs="Arial"/>
          <w:sz w:val="20"/>
          <w:szCs w:val="20"/>
        </w:rPr>
        <w:t>Applicants are now required to indicate specific security standards they intend to follow.  (Evaluation question 30)</w:t>
      </w:r>
    </w:p>
    <w:p w14:paraId="45AE9487" w14:textId="77777777" w:rsidR="00E0740D" w:rsidRPr="004B63EC" w:rsidRDefault="00E0740D" w:rsidP="00A06E12">
      <w:pPr>
        <w:pStyle w:val="ListParagraph"/>
        <w:rPr>
          <w:rFonts w:ascii="Arial" w:hAnsi="Arial" w:cs="Arial"/>
          <w:sz w:val="20"/>
          <w:szCs w:val="20"/>
        </w:rPr>
      </w:pPr>
    </w:p>
    <w:p w14:paraId="5584C626" w14:textId="77777777" w:rsidR="00E0740D" w:rsidRPr="004B63EC" w:rsidRDefault="00E0740D" w:rsidP="00BA1237">
      <w:pPr>
        <w:pStyle w:val="ListParagraph"/>
        <w:numPr>
          <w:ilvl w:val="0"/>
          <w:numId w:val="11"/>
        </w:numPr>
        <w:rPr>
          <w:rFonts w:ascii="Arial" w:hAnsi="Arial" w:cs="Arial"/>
          <w:sz w:val="20"/>
          <w:szCs w:val="20"/>
        </w:rPr>
      </w:pPr>
      <w:r w:rsidRPr="004B63EC">
        <w:rPr>
          <w:rFonts w:ascii="Arial" w:hAnsi="Arial" w:cs="Arial"/>
          <w:sz w:val="20"/>
          <w:szCs w:val="20"/>
        </w:rPr>
        <w:t xml:space="preserve">The Registry Agreement and Code of Conduct now offer some flexibility and </w:t>
      </w:r>
      <w:r>
        <w:rPr>
          <w:rFonts w:ascii="Arial" w:hAnsi="Arial" w:cs="Arial"/>
          <w:sz w:val="20"/>
          <w:szCs w:val="20"/>
        </w:rPr>
        <w:t xml:space="preserve">rights </w:t>
      </w:r>
      <w:r w:rsidRPr="004B63EC">
        <w:rPr>
          <w:rFonts w:ascii="Arial" w:hAnsi="Arial" w:cs="Arial"/>
          <w:sz w:val="20"/>
          <w:szCs w:val="20"/>
        </w:rPr>
        <w:t xml:space="preserve">protection to single-registrant TLD Operators.  </w:t>
      </w:r>
    </w:p>
    <w:p w14:paraId="61B2881A" w14:textId="77777777" w:rsidR="00E0740D" w:rsidRPr="004B63EC" w:rsidRDefault="00E0740D" w:rsidP="00A06E12">
      <w:pPr>
        <w:rPr>
          <w:rFonts w:ascii="Arial" w:hAnsi="Arial" w:cs="Arial"/>
          <w:sz w:val="20"/>
          <w:szCs w:val="20"/>
        </w:rPr>
      </w:pPr>
    </w:p>
    <w:p w14:paraId="191C47A8" w14:textId="77777777" w:rsidR="00E0740D" w:rsidRPr="004B63EC" w:rsidRDefault="00E0740D" w:rsidP="00903C96">
      <w:pPr>
        <w:pStyle w:val="ListParagraph"/>
        <w:numPr>
          <w:ilvl w:val="0"/>
          <w:numId w:val="11"/>
        </w:numPr>
        <w:rPr>
          <w:rFonts w:ascii="Arial" w:hAnsi="Arial" w:cs="Arial"/>
          <w:sz w:val="20"/>
          <w:szCs w:val="20"/>
        </w:rPr>
      </w:pPr>
      <w:r w:rsidRPr="004B63EC">
        <w:rPr>
          <w:rFonts w:ascii="Arial" w:hAnsi="Arial" w:cs="Arial"/>
          <w:sz w:val="20"/>
          <w:szCs w:val="20"/>
        </w:rPr>
        <w:t>The Code of Conduct now prohibits a Registry from registering names based on proprietary access to searches or resolution requests by consumers for domain names not yet registered (commonly known as, "front-running")</w:t>
      </w:r>
    </w:p>
    <w:p w14:paraId="6CF5B552" w14:textId="77777777" w:rsidR="00E0740D" w:rsidRPr="004B63EC" w:rsidRDefault="00E0740D" w:rsidP="00903C96">
      <w:pPr>
        <w:rPr>
          <w:rFonts w:ascii="Arial" w:hAnsi="Arial" w:cs="Arial"/>
          <w:sz w:val="20"/>
          <w:szCs w:val="20"/>
        </w:rPr>
      </w:pPr>
    </w:p>
    <w:p w14:paraId="2939FAF5" w14:textId="77777777" w:rsidR="00E0740D" w:rsidRPr="004B63EC" w:rsidRDefault="00E0740D" w:rsidP="00A06E12">
      <w:pPr>
        <w:pStyle w:val="ListParagraph"/>
        <w:numPr>
          <w:ilvl w:val="0"/>
          <w:numId w:val="11"/>
        </w:numPr>
        <w:rPr>
          <w:rFonts w:ascii="Arial" w:hAnsi="Arial" w:cs="Arial"/>
          <w:sz w:val="20"/>
          <w:szCs w:val="20"/>
        </w:rPr>
      </w:pPr>
      <w:r w:rsidRPr="004B63EC">
        <w:rPr>
          <w:rFonts w:ascii="Arial" w:hAnsi="Arial" w:cs="Arial"/>
          <w:sz w:val="20"/>
          <w:szCs w:val="20"/>
        </w:rPr>
        <w:t>All users of TM Clearinghouse services – including registries and registrars -- will share costs of the Clearinghouse.</w:t>
      </w:r>
    </w:p>
    <w:p w14:paraId="305D5FB2" w14:textId="77777777" w:rsidR="00E0740D" w:rsidRPr="004B63EC" w:rsidRDefault="00E0740D" w:rsidP="00A34ED9">
      <w:pPr>
        <w:rPr>
          <w:rFonts w:ascii="Arial" w:hAnsi="Arial" w:cs="Arial"/>
          <w:sz w:val="20"/>
          <w:szCs w:val="20"/>
        </w:rPr>
      </w:pPr>
    </w:p>
    <w:p w14:paraId="092D0F93" w14:textId="77777777" w:rsidR="00E0740D" w:rsidRPr="004B63EC" w:rsidRDefault="00E0740D" w:rsidP="00A06E12">
      <w:pPr>
        <w:pStyle w:val="ListParagraph"/>
        <w:numPr>
          <w:ilvl w:val="0"/>
          <w:numId w:val="11"/>
        </w:numPr>
        <w:rPr>
          <w:rFonts w:ascii="Arial" w:hAnsi="Arial" w:cs="Arial"/>
          <w:sz w:val="20"/>
          <w:szCs w:val="20"/>
        </w:rPr>
      </w:pPr>
      <w:r w:rsidRPr="004B63EC">
        <w:rPr>
          <w:rFonts w:ascii="Arial" w:hAnsi="Arial" w:cs="Arial"/>
          <w:sz w:val="20"/>
          <w:szCs w:val="20"/>
        </w:rPr>
        <w:t>In situations where the Registry Operator must pay for contractual and operational audits, ICANN has added reimbursement language to ensure that delays in payment do not delay an audit.</w:t>
      </w:r>
    </w:p>
    <w:p w14:paraId="20BB4110" w14:textId="77777777" w:rsidR="00E0740D" w:rsidRPr="004B63EC" w:rsidRDefault="00E0740D" w:rsidP="008F513C">
      <w:pPr>
        <w:rPr>
          <w:rFonts w:ascii="Arial" w:hAnsi="Arial" w:cs="Arial"/>
          <w:sz w:val="20"/>
          <w:szCs w:val="20"/>
        </w:rPr>
      </w:pPr>
    </w:p>
    <w:p w14:paraId="4ABBC14D" w14:textId="77777777" w:rsidR="00E0740D" w:rsidRPr="004B63EC" w:rsidRDefault="00E0740D" w:rsidP="00A06E12">
      <w:pPr>
        <w:pStyle w:val="ListParagraph"/>
        <w:numPr>
          <w:ilvl w:val="0"/>
          <w:numId w:val="11"/>
        </w:numPr>
        <w:rPr>
          <w:rFonts w:ascii="Arial" w:hAnsi="Arial" w:cs="Arial"/>
          <w:sz w:val="20"/>
          <w:szCs w:val="20"/>
        </w:rPr>
      </w:pPr>
      <w:r w:rsidRPr="004B63EC">
        <w:rPr>
          <w:rFonts w:ascii="Arial" w:hAnsi="Arial" w:cs="Arial"/>
          <w:sz w:val="20"/>
          <w:szCs w:val="20"/>
        </w:rPr>
        <w:t xml:space="preserve">Trademarks submitted to the TM Clearinghouse must now provide </w:t>
      </w:r>
      <w:r w:rsidRPr="004B63EC">
        <w:rPr>
          <w:rFonts w:ascii="Arial" w:hAnsi="Arial" w:cs="Arial"/>
          <w:i/>
          <w:sz w:val="20"/>
          <w:szCs w:val="20"/>
        </w:rPr>
        <w:t>proof of use</w:t>
      </w:r>
      <w:r w:rsidRPr="004B63EC">
        <w:rPr>
          <w:rFonts w:ascii="Arial" w:hAnsi="Arial" w:cs="Arial"/>
          <w:sz w:val="20"/>
          <w:szCs w:val="20"/>
        </w:rPr>
        <w:t>.</w:t>
      </w:r>
    </w:p>
    <w:p w14:paraId="1FF3938C" w14:textId="77777777" w:rsidR="00E0740D" w:rsidRPr="004B63EC" w:rsidRDefault="00E0740D" w:rsidP="00EA2994">
      <w:pPr>
        <w:pStyle w:val="ListParagraph"/>
        <w:spacing w:after="120"/>
        <w:ind w:left="0"/>
        <w:rPr>
          <w:rFonts w:ascii="Arial" w:hAnsi="Arial" w:cs="Arial"/>
          <w:sz w:val="20"/>
          <w:szCs w:val="20"/>
        </w:rPr>
      </w:pPr>
    </w:p>
    <w:p w14:paraId="5E701CE7" w14:textId="77777777" w:rsidR="00E0740D" w:rsidRPr="004B63EC" w:rsidRDefault="00E0740D" w:rsidP="00B726CC">
      <w:pPr>
        <w:pStyle w:val="ListParagraph"/>
        <w:spacing w:after="120"/>
        <w:ind w:left="0"/>
        <w:rPr>
          <w:rFonts w:ascii="Arial" w:hAnsi="Arial" w:cs="Arial"/>
          <w:sz w:val="20"/>
          <w:szCs w:val="20"/>
        </w:rPr>
      </w:pPr>
      <w:r w:rsidRPr="004B63EC">
        <w:rPr>
          <w:rFonts w:ascii="Arial" w:hAnsi="Arial" w:cs="Arial"/>
          <w:sz w:val="20"/>
          <w:szCs w:val="20"/>
        </w:rPr>
        <w:t>However, many other BC comments have been disregarded without explanation</w:t>
      </w:r>
      <w:r w:rsidR="0092675E">
        <w:rPr>
          <w:rFonts w:ascii="Arial" w:hAnsi="Arial" w:cs="Arial"/>
          <w:sz w:val="20"/>
          <w:szCs w:val="20"/>
        </w:rPr>
        <w:t xml:space="preserve">.  Many of the BC recommendations find agreement from </w:t>
      </w:r>
      <w:r w:rsidRPr="004B63EC">
        <w:rPr>
          <w:rFonts w:ascii="Arial" w:hAnsi="Arial" w:cs="Arial"/>
          <w:sz w:val="20"/>
          <w:szCs w:val="20"/>
        </w:rPr>
        <w:t xml:space="preserve">multiple stakeholders, including the Governmental Advisory Committee (GAC). </w:t>
      </w:r>
      <w:r w:rsidR="0092675E">
        <w:rPr>
          <w:rFonts w:ascii="Arial" w:hAnsi="Arial" w:cs="Arial"/>
          <w:sz w:val="20"/>
          <w:szCs w:val="20"/>
        </w:rPr>
        <w:t>Most n</w:t>
      </w:r>
      <w:r w:rsidRPr="004B63EC">
        <w:rPr>
          <w:rFonts w:ascii="Arial" w:hAnsi="Arial" w:cs="Arial"/>
          <w:sz w:val="20"/>
          <w:szCs w:val="20"/>
        </w:rPr>
        <w:t>otable are several previous BC recommendations to raise the integrity and availability of new gTLDs:</w:t>
      </w:r>
    </w:p>
    <w:p w14:paraId="0E11A8DB" w14:textId="77777777" w:rsidR="00E0740D" w:rsidRPr="004B63EC" w:rsidRDefault="00E0740D" w:rsidP="00D770DE">
      <w:pPr>
        <w:rPr>
          <w:rFonts w:ascii="Arial" w:hAnsi="Arial" w:cs="Arial"/>
          <w:sz w:val="20"/>
          <w:szCs w:val="20"/>
        </w:rPr>
      </w:pPr>
    </w:p>
    <w:p w14:paraId="5687925A" w14:textId="77777777" w:rsidR="00A70488" w:rsidRPr="004B63EC" w:rsidRDefault="00A70488" w:rsidP="00A70488">
      <w:pPr>
        <w:pStyle w:val="ListParagraph"/>
        <w:numPr>
          <w:ilvl w:val="0"/>
          <w:numId w:val="10"/>
        </w:numPr>
        <w:rPr>
          <w:rFonts w:ascii="Arial" w:hAnsi="Arial" w:cs="Arial"/>
          <w:sz w:val="20"/>
          <w:szCs w:val="20"/>
        </w:rPr>
      </w:pPr>
      <w:r>
        <w:rPr>
          <w:rFonts w:ascii="Arial" w:hAnsi="Arial" w:cs="Arial"/>
          <w:sz w:val="20"/>
          <w:szCs w:val="20"/>
        </w:rPr>
        <w:t xml:space="preserve">The Guidebook calls for processing new applications in batches, with the first batch being 500 applications. The BC believes this first batch </w:t>
      </w:r>
      <w:r w:rsidRPr="004B63EC">
        <w:rPr>
          <w:rFonts w:ascii="Arial" w:hAnsi="Arial" w:cs="Arial"/>
          <w:sz w:val="20"/>
          <w:szCs w:val="20"/>
        </w:rPr>
        <w:t xml:space="preserve">should be significantly fewer than 500 applications, in order to test the operational readiness of newly designed </w:t>
      </w:r>
      <w:r>
        <w:rPr>
          <w:rFonts w:ascii="Arial" w:hAnsi="Arial" w:cs="Arial"/>
          <w:sz w:val="20"/>
          <w:szCs w:val="20"/>
        </w:rPr>
        <w:t xml:space="preserve">application </w:t>
      </w:r>
      <w:r w:rsidRPr="004B63EC">
        <w:rPr>
          <w:rFonts w:ascii="Arial" w:hAnsi="Arial" w:cs="Arial"/>
          <w:sz w:val="20"/>
          <w:szCs w:val="20"/>
        </w:rPr>
        <w:t>processing and objection / contention systems.</w:t>
      </w:r>
    </w:p>
    <w:p w14:paraId="2A067AC3" w14:textId="77777777" w:rsidR="00E0740D" w:rsidRPr="004B63EC" w:rsidRDefault="00E0740D" w:rsidP="00D770DE">
      <w:pPr>
        <w:rPr>
          <w:rFonts w:ascii="Arial" w:hAnsi="Arial" w:cs="Arial"/>
          <w:sz w:val="20"/>
          <w:szCs w:val="20"/>
        </w:rPr>
      </w:pPr>
    </w:p>
    <w:p w14:paraId="55A04C2D" w14:textId="77777777" w:rsidR="00E0740D" w:rsidRPr="004B63EC" w:rsidRDefault="00E0740D" w:rsidP="00FA7903">
      <w:pPr>
        <w:pStyle w:val="ListParagraph"/>
        <w:numPr>
          <w:ilvl w:val="0"/>
          <w:numId w:val="10"/>
        </w:numPr>
        <w:rPr>
          <w:rFonts w:ascii="Arial" w:hAnsi="Arial" w:cs="Arial"/>
          <w:sz w:val="20"/>
          <w:szCs w:val="20"/>
        </w:rPr>
      </w:pPr>
      <w:r w:rsidRPr="004B63EC">
        <w:rPr>
          <w:rFonts w:ascii="Arial" w:hAnsi="Arial" w:cs="Arial"/>
          <w:sz w:val="20"/>
          <w:szCs w:val="20"/>
        </w:rPr>
        <w:t>Applicants should be granted fee reductions for additional versions of the applied-for string in IDN scripts and other languages.</w:t>
      </w:r>
    </w:p>
    <w:p w14:paraId="0197432D" w14:textId="77777777" w:rsidR="00E0740D" w:rsidRPr="004B63EC" w:rsidRDefault="00E0740D" w:rsidP="009F3B0D">
      <w:pPr>
        <w:rPr>
          <w:rFonts w:ascii="Arial" w:hAnsi="Arial" w:cs="Arial"/>
          <w:sz w:val="20"/>
          <w:szCs w:val="20"/>
        </w:rPr>
      </w:pPr>
    </w:p>
    <w:p w14:paraId="22F8CD3F" w14:textId="77777777" w:rsidR="00E0740D" w:rsidRPr="004B63EC" w:rsidRDefault="00E0740D" w:rsidP="00FA7903">
      <w:pPr>
        <w:pStyle w:val="ListParagraph"/>
        <w:numPr>
          <w:ilvl w:val="0"/>
          <w:numId w:val="10"/>
        </w:numPr>
        <w:rPr>
          <w:rFonts w:ascii="Arial" w:hAnsi="Arial" w:cs="Arial"/>
          <w:sz w:val="20"/>
          <w:szCs w:val="20"/>
        </w:rPr>
      </w:pPr>
      <w:r w:rsidRPr="004B63EC">
        <w:rPr>
          <w:rFonts w:ascii="Arial" w:hAnsi="Arial" w:cs="Arial"/>
          <w:sz w:val="20"/>
          <w:szCs w:val="20"/>
        </w:rPr>
        <w:t xml:space="preserve">String Similarity contention sets should not include similar strings requested by </w:t>
      </w:r>
      <w:proofErr w:type="gramStart"/>
      <w:r w:rsidRPr="004B63EC">
        <w:rPr>
          <w:rFonts w:ascii="Arial" w:hAnsi="Arial" w:cs="Arial"/>
          <w:sz w:val="20"/>
          <w:szCs w:val="20"/>
        </w:rPr>
        <w:t>a</w:t>
      </w:r>
      <w:proofErr w:type="gramEnd"/>
      <w:r w:rsidRPr="004B63EC">
        <w:rPr>
          <w:rFonts w:ascii="Arial" w:hAnsi="Arial" w:cs="Arial"/>
          <w:sz w:val="20"/>
          <w:szCs w:val="20"/>
        </w:rPr>
        <w:t xml:space="preserve"> applicant seeking linguistic variations of the applicant's other applied-for string.</w:t>
      </w:r>
    </w:p>
    <w:p w14:paraId="3DE6B0B2" w14:textId="77777777" w:rsidR="00E0740D" w:rsidRPr="004B63EC" w:rsidRDefault="00E0740D" w:rsidP="00D770DE">
      <w:pPr>
        <w:rPr>
          <w:rFonts w:ascii="Arial" w:hAnsi="Arial" w:cs="Arial"/>
          <w:sz w:val="20"/>
          <w:szCs w:val="20"/>
        </w:rPr>
      </w:pPr>
    </w:p>
    <w:p w14:paraId="56157497" w14:textId="77777777" w:rsidR="00E0740D" w:rsidRPr="004B63EC" w:rsidRDefault="00E0740D" w:rsidP="00970128">
      <w:pPr>
        <w:pStyle w:val="ListParagraph"/>
        <w:numPr>
          <w:ilvl w:val="0"/>
          <w:numId w:val="10"/>
        </w:numPr>
        <w:rPr>
          <w:rFonts w:ascii="Arial" w:hAnsi="Arial" w:cs="Arial"/>
          <w:sz w:val="20"/>
          <w:szCs w:val="20"/>
        </w:rPr>
      </w:pPr>
      <w:r w:rsidRPr="004B63EC">
        <w:rPr>
          <w:rFonts w:ascii="Arial" w:hAnsi="Arial" w:cs="Arial"/>
          <w:sz w:val="20"/>
          <w:szCs w:val="20"/>
        </w:rPr>
        <w:t>Applicants should be required to pay an objection Response Filing Fee in order to defend the rationale already included in their original application.</w:t>
      </w:r>
    </w:p>
    <w:p w14:paraId="1026B7CC" w14:textId="77777777" w:rsidR="00E0740D" w:rsidRPr="004B63EC" w:rsidRDefault="00E0740D" w:rsidP="00970128">
      <w:pPr>
        <w:rPr>
          <w:rFonts w:ascii="Arial" w:hAnsi="Arial" w:cs="Arial"/>
          <w:sz w:val="20"/>
          <w:szCs w:val="20"/>
        </w:rPr>
      </w:pPr>
    </w:p>
    <w:p w14:paraId="3865D903" w14:textId="0946BDB5" w:rsidR="00E0740D" w:rsidRPr="004B63EC" w:rsidRDefault="00E0740D" w:rsidP="00434CC3">
      <w:pPr>
        <w:pStyle w:val="ListParagraph"/>
        <w:numPr>
          <w:ilvl w:val="0"/>
          <w:numId w:val="10"/>
        </w:numPr>
        <w:rPr>
          <w:rFonts w:ascii="Arial" w:hAnsi="Arial" w:cs="Arial"/>
          <w:sz w:val="20"/>
          <w:szCs w:val="20"/>
        </w:rPr>
      </w:pPr>
      <w:r w:rsidRPr="004B63EC">
        <w:rPr>
          <w:rFonts w:ascii="Arial" w:hAnsi="Arial" w:cs="Arial"/>
          <w:sz w:val="20"/>
          <w:szCs w:val="20"/>
        </w:rPr>
        <w:t xml:space="preserve">Community priority should be given to applicants scoring at least 13 points, not 14. </w:t>
      </w:r>
    </w:p>
    <w:p w14:paraId="36432201" w14:textId="77777777" w:rsidR="00E0740D" w:rsidRPr="004B63EC" w:rsidRDefault="00E0740D" w:rsidP="00434CC3">
      <w:pPr>
        <w:rPr>
          <w:rFonts w:ascii="Arial" w:hAnsi="Arial" w:cs="Arial"/>
          <w:b/>
          <w:sz w:val="20"/>
          <w:szCs w:val="20"/>
        </w:rPr>
      </w:pPr>
    </w:p>
    <w:p w14:paraId="487C5901" w14:textId="77777777" w:rsidR="00BF3047" w:rsidRDefault="00E0740D" w:rsidP="00BF3047">
      <w:pPr>
        <w:pStyle w:val="ListParagraph"/>
        <w:numPr>
          <w:ilvl w:val="0"/>
          <w:numId w:val="10"/>
        </w:numPr>
        <w:rPr>
          <w:rFonts w:ascii="Arial" w:hAnsi="Arial" w:cs="Arial"/>
          <w:sz w:val="20"/>
          <w:szCs w:val="20"/>
        </w:rPr>
      </w:pPr>
      <w:r w:rsidRPr="00BF3047">
        <w:rPr>
          <w:rFonts w:ascii="Arial" w:hAnsi="Arial" w:cs="Arial"/>
          <w:sz w:val="20"/>
          <w:szCs w:val="20"/>
        </w:rPr>
        <w:t xml:space="preserve">RPMs are still substantially weaker than those recommended by the IRT.  Consumers and businesses will inevitably be harmed by cybersquatting and other fraud likely to occur in hundreds of new gTLDs, especially at the second level.  </w:t>
      </w:r>
      <w:r w:rsidR="005217E8" w:rsidRPr="00BF3047">
        <w:rPr>
          <w:rFonts w:ascii="Arial" w:hAnsi="Arial" w:cs="Arial"/>
          <w:sz w:val="20"/>
          <w:szCs w:val="20"/>
        </w:rPr>
        <w:t xml:space="preserve">Picking-up on discussions during a US Congressional Hearing on 4-May-2011, the BC reiterates its support </w:t>
      </w:r>
      <w:r w:rsidR="005217E8" w:rsidRPr="003B6CD5">
        <w:rPr>
          <w:rFonts w:ascii="Arial" w:hAnsi="Arial" w:cs="Arial"/>
          <w:sz w:val="20"/>
          <w:szCs w:val="20"/>
        </w:rPr>
        <w:t xml:space="preserve">for </w:t>
      </w:r>
      <w:r w:rsidR="005217E8" w:rsidRPr="003B6CD5">
        <w:rPr>
          <w:rFonts w:ascii="Arial" w:hAnsi="Arial" w:cs="Arial"/>
          <w:bCs/>
          <w:sz w:val="20"/>
          <w:szCs w:val="20"/>
        </w:rPr>
        <w:t>Globally Protected Marks List (GPML).</w:t>
      </w:r>
      <w:r w:rsidR="005217E8" w:rsidRPr="00BF3047">
        <w:rPr>
          <w:rFonts w:ascii="Arial" w:hAnsi="Arial" w:cs="Arial"/>
          <w:b/>
          <w:bCs/>
          <w:sz w:val="20"/>
          <w:szCs w:val="20"/>
        </w:rPr>
        <w:t xml:space="preserve">  </w:t>
      </w:r>
      <w:r w:rsidR="005217E8" w:rsidRPr="00BF3047">
        <w:rPr>
          <w:rFonts w:ascii="Arial" w:hAnsi="Arial" w:cs="Arial"/>
          <w:sz w:val="20"/>
          <w:szCs w:val="20"/>
        </w:rPr>
        <w:t>Absent a GPML, trademark hol</w:t>
      </w:r>
      <w:r w:rsidR="00BF3047" w:rsidRPr="00BF3047">
        <w:rPr>
          <w:rFonts w:ascii="Arial" w:hAnsi="Arial" w:cs="Arial"/>
          <w:sz w:val="20"/>
          <w:szCs w:val="20"/>
        </w:rPr>
        <w:t>d</w:t>
      </w:r>
      <w:r w:rsidR="005217E8" w:rsidRPr="00BF3047">
        <w:rPr>
          <w:rFonts w:ascii="Arial" w:hAnsi="Arial" w:cs="Arial"/>
          <w:sz w:val="20"/>
          <w:szCs w:val="20"/>
        </w:rPr>
        <w:t xml:space="preserve">ers must pay for </w:t>
      </w:r>
      <w:r w:rsidR="00BF3047">
        <w:rPr>
          <w:rFonts w:ascii="Arial" w:hAnsi="Arial" w:cs="Arial"/>
          <w:sz w:val="20"/>
          <w:szCs w:val="20"/>
        </w:rPr>
        <w:t xml:space="preserve">unwanted </w:t>
      </w:r>
      <w:r w:rsidR="005217E8" w:rsidRPr="00BF3047">
        <w:rPr>
          <w:rFonts w:ascii="Arial" w:hAnsi="Arial" w:cs="Arial"/>
          <w:sz w:val="20"/>
          <w:szCs w:val="20"/>
        </w:rPr>
        <w:t xml:space="preserve">defensive registrations. </w:t>
      </w:r>
    </w:p>
    <w:p w14:paraId="656F50A1" w14:textId="77777777" w:rsidR="00BF3047" w:rsidRPr="00BF3047" w:rsidRDefault="00BF3047" w:rsidP="00BF3047">
      <w:pPr>
        <w:rPr>
          <w:rFonts w:ascii="Arial" w:hAnsi="Arial" w:cs="Arial"/>
          <w:sz w:val="20"/>
          <w:szCs w:val="20"/>
        </w:rPr>
      </w:pPr>
    </w:p>
    <w:p w14:paraId="7A752573" w14:textId="77777777" w:rsidR="00BF3047" w:rsidRPr="00BF3047" w:rsidRDefault="00BF3047" w:rsidP="00BF3047">
      <w:pPr>
        <w:pStyle w:val="ListParagraph"/>
        <w:numPr>
          <w:ilvl w:val="0"/>
          <w:numId w:val="10"/>
        </w:numPr>
        <w:rPr>
          <w:rFonts w:ascii="Arial" w:hAnsi="Arial" w:cs="Arial"/>
          <w:sz w:val="20"/>
          <w:szCs w:val="20"/>
        </w:rPr>
      </w:pPr>
      <w:r>
        <w:rPr>
          <w:rFonts w:ascii="Arial" w:hAnsi="Arial" w:cs="Arial"/>
          <w:sz w:val="20"/>
          <w:szCs w:val="20"/>
        </w:rPr>
        <w:t xml:space="preserve">While not part of the Guidebook, effective </w:t>
      </w:r>
      <w:r w:rsidRPr="00BF3047">
        <w:rPr>
          <w:rFonts w:ascii="Arial" w:hAnsi="Arial" w:cs="Arial"/>
          <w:sz w:val="20"/>
          <w:szCs w:val="20"/>
        </w:rPr>
        <w:t xml:space="preserve">Communications and Outreach activities are </w:t>
      </w:r>
      <w:r>
        <w:rPr>
          <w:rFonts w:ascii="Arial" w:hAnsi="Arial" w:cs="Arial"/>
          <w:sz w:val="20"/>
          <w:szCs w:val="20"/>
        </w:rPr>
        <w:t xml:space="preserve">essential to the success of this gTLD expansion.  ICANN’s communications effort must do more than simply promote new gTLD applications.   It must also </w:t>
      </w:r>
      <w:r w:rsidRPr="00BF3047">
        <w:rPr>
          <w:rFonts w:ascii="Arial" w:hAnsi="Arial" w:cs="Arial"/>
          <w:sz w:val="20"/>
          <w:szCs w:val="20"/>
        </w:rPr>
        <w:t xml:space="preserve">fully </w:t>
      </w:r>
      <w:r>
        <w:rPr>
          <w:rFonts w:ascii="Arial" w:hAnsi="Arial" w:cs="Arial"/>
          <w:sz w:val="20"/>
          <w:szCs w:val="20"/>
        </w:rPr>
        <w:t>inform</w:t>
      </w:r>
      <w:r w:rsidRPr="00BF3047">
        <w:rPr>
          <w:rFonts w:ascii="Arial" w:hAnsi="Arial" w:cs="Arial"/>
          <w:sz w:val="20"/>
          <w:szCs w:val="20"/>
        </w:rPr>
        <w:t xml:space="preserve"> </w:t>
      </w:r>
      <w:r>
        <w:rPr>
          <w:rFonts w:ascii="Arial" w:hAnsi="Arial" w:cs="Arial"/>
          <w:sz w:val="20"/>
          <w:szCs w:val="20"/>
        </w:rPr>
        <w:t xml:space="preserve">user and </w:t>
      </w:r>
      <w:r w:rsidRPr="00BF3047">
        <w:rPr>
          <w:rFonts w:ascii="Arial" w:hAnsi="Arial" w:cs="Arial"/>
          <w:sz w:val="20"/>
          <w:szCs w:val="20"/>
        </w:rPr>
        <w:t xml:space="preserve">business communities around the world of </w:t>
      </w:r>
      <w:r>
        <w:rPr>
          <w:rFonts w:ascii="Arial" w:hAnsi="Arial" w:cs="Arial"/>
          <w:sz w:val="20"/>
          <w:szCs w:val="20"/>
        </w:rPr>
        <w:t xml:space="preserve">all </w:t>
      </w:r>
      <w:r w:rsidRPr="00BF3047">
        <w:rPr>
          <w:rFonts w:ascii="Arial" w:hAnsi="Arial" w:cs="Arial"/>
          <w:sz w:val="20"/>
          <w:szCs w:val="20"/>
        </w:rPr>
        <w:t xml:space="preserve">the major changes coming with the introduction of new </w:t>
      </w:r>
      <w:proofErr w:type="spellStart"/>
      <w:r w:rsidRPr="00BF3047">
        <w:rPr>
          <w:rFonts w:ascii="Arial" w:hAnsi="Arial" w:cs="Arial"/>
          <w:sz w:val="20"/>
          <w:szCs w:val="20"/>
        </w:rPr>
        <w:t>gTLDs</w:t>
      </w:r>
      <w:proofErr w:type="spellEnd"/>
      <w:r w:rsidRPr="00BF3047">
        <w:rPr>
          <w:rFonts w:ascii="Arial" w:hAnsi="Arial" w:cs="Arial"/>
          <w:sz w:val="20"/>
          <w:szCs w:val="20"/>
        </w:rPr>
        <w:t>.</w:t>
      </w:r>
    </w:p>
    <w:p w14:paraId="7B2A9B5E" w14:textId="77777777" w:rsidR="00BF3047" w:rsidRPr="00BF3047" w:rsidRDefault="00BF3047" w:rsidP="00BF3047">
      <w:pPr>
        <w:spacing w:before="120"/>
        <w:rPr>
          <w:rFonts w:ascii="Arial" w:hAnsi="Arial" w:cs="Arial"/>
          <w:sz w:val="20"/>
          <w:szCs w:val="20"/>
        </w:rPr>
      </w:pPr>
    </w:p>
    <w:p w14:paraId="2C976940" w14:textId="77777777" w:rsidR="00E62BF0" w:rsidRPr="004B63EC" w:rsidRDefault="00E62BF0" w:rsidP="00D770DE">
      <w:pPr>
        <w:rPr>
          <w:rFonts w:ascii="Arial" w:hAnsi="Arial" w:cs="Arial"/>
          <w:sz w:val="20"/>
          <w:szCs w:val="20"/>
        </w:rPr>
      </w:pPr>
    </w:p>
    <w:p w14:paraId="47AD78B8"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The BC has decided here to submit its highest priority comments on elements of the Guidebook that have changed since the prior draft.  We note that this submission does not replace our previous positions, and should be considered in concert with those previous comments. </w:t>
      </w:r>
    </w:p>
    <w:p w14:paraId="64FCF4B9" w14:textId="77777777" w:rsidR="00E0740D" w:rsidRPr="004B63EC" w:rsidRDefault="00E0740D" w:rsidP="00EA2994">
      <w:pPr>
        <w:rPr>
          <w:rFonts w:ascii="Arial" w:hAnsi="Arial" w:cs="Arial"/>
          <w:sz w:val="20"/>
          <w:szCs w:val="20"/>
        </w:rPr>
      </w:pPr>
    </w:p>
    <w:p w14:paraId="57453ACB" w14:textId="77777777" w:rsidR="00E0740D" w:rsidRPr="004B63EC" w:rsidRDefault="00E0740D" w:rsidP="00EA2994">
      <w:pPr>
        <w:rPr>
          <w:rFonts w:ascii="Arial" w:hAnsi="Arial" w:cs="Arial"/>
          <w:sz w:val="20"/>
          <w:szCs w:val="20"/>
        </w:rPr>
      </w:pPr>
      <w:r w:rsidRPr="004B63EC">
        <w:rPr>
          <w:rFonts w:ascii="Arial" w:hAnsi="Arial" w:cs="Arial"/>
          <w:sz w:val="20"/>
          <w:szCs w:val="20"/>
        </w:rPr>
        <w:t>In particular, the BC incorporates these previous comments on draft Guidebooks:</w:t>
      </w:r>
    </w:p>
    <w:p w14:paraId="15ED5291" w14:textId="77777777" w:rsidR="00E0740D" w:rsidRPr="004B63EC" w:rsidRDefault="00E0740D" w:rsidP="00EA2994">
      <w:pPr>
        <w:rPr>
          <w:rFonts w:ascii="Arial" w:hAnsi="Arial" w:cs="Arial"/>
          <w:sz w:val="20"/>
          <w:szCs w:val="20"/>
        </w:rPr>
      </w:pPr>
    </w:p>
    <w:p w14:paraId="4C854FD4" w14:textId="77777777" w:rsidR="00E0740D" w:rsidRPr="004B63EC" w:rsidRDefault="00E0740D" w:rsidP="00FD7442">
      <w:pPr>
        <w:ind w:left="720"/>
        <w:rPr>
          <w:rFonts w:ascii="Arial" w:hAnsi="Arial" w:cs="Arial"/>
          <w:sz w:val="20"/>
          <w:szCs w:val="20"/>
        </w:rPr>
      </w:pPr>
      <w:r w:rsidRPr="004B63EC">
        <w:rPr>
          <w:rFonts w:ascii="Arial" w:hAnsi="Arial" w:cs="Arial"/>
          <w:sz w:val="20"/>
          <w:szCs w:val="20"/>
        </w:rPr>
        <w:t xml:space="preserve">Jul-2010 comments on DAGv4, Market Differentiation / Translations – IDNs / Community- based Evaluation Scoring.     </w:t>
      </w:r>
      <w:proofErr w:type="gramStart"/>
      <w:r w:rsidRPr="004B63EC">
        <w:rPr>
          <w:rFonts w:ascii="Arial" w:hAnsi="Arial" w:cs="Arial"/>
          <w:sz w:val="20"/>
          <w:szCs w:val="20"/>
        </w:rPr>
        <w:t>see</w:t>
      </w:r>
      <w:proofErr w:type="gramEnd"/>
      <w:r w:rsidRPr="004B63EC">
        <w:rPr>
          <w:rFonts w:ascii="Arial" w:hAnsi="Arial" w:cs="Arial"/>
          <w:sz w:val="20"/>
          <w:szCs w:val="20"/>
        </w:rPr>
        <w:t xml:space="preserve"> </w:t>
      </w:r>
      <w:hyperlink r:id="rId12" w:history="1">
        <w:r w:rsidRPr="004B63EC">
          <w:rPr>
            <w:rStyle w:val="Hyperlink"/>
            <w:rFonts w:ascii="Arial" w:hAnsi="Arial" w:cs="Arial"/>
            <w:sz w:val="20"/>
            <w:szCs w:val="20"/>
          </w:rPr>
          <w:t>http://forum.icann.org/lists/bc-gnso/pdf7bS90kfqkn.pdf</w:t>
        </w:r>
      </w:hyperlink>
    </w:p>
    <w:p w14:paraId="315458F9" w14:textId="77777777" w:rsidR="00E0740D" w:rsidRPr="004B63EC" w:rsidRDefault="00E0740D" w:rsidP="00FD7442">
      <w:pPr>
        <w:rPr>
          <w:rFonts w:ascii="Arial" w:hAnsi="Arial" w:cs="Arial"/>
          <w:sz w:val="20"/>
          <w:szCs w:val="20"/>
        </w:rPr>
      </w:pPr>
    </w:p>
    <w:p w14:paraId="0BE623F3" w14:textId="77777777" w:rsidR="00E0740D" w:rsidRPr="004B63EC" w:rsidRDefault="00E0740D" w:rsidP="00FD7442">
      <w:pPr>
        <w:ind w:left="720"/>
        <w:rPr>
          <w:rFonts w:ascii="Arial" w:hAnsi="Arial" w:cs="Arial"/>
          <w:sz w:val="20"/>
          <w:szCs w:val="20"/>
        </w:rPr>
      </w:pPr>
      <w:proofErr w:type="gramStart"/>
      <w:r w:rsidRPr="004B63EC">
        <w:rPr>
          <w:rFonts w:ascii="Arial" w:hAnsi="Arial" w:cs="Arial"/>
          <w:sz w:val="20"/>
          <w:szCs w:val="20"/>
        </w:rPr>
        <w:t>Jul-2010 comments on DAGv4, Rights Protection Mechanisms.</w:t>
      </w:r>
      <w:proofErr w:type="gramEnd"/>
      <w:r w:rsidRPr="004B63EC">
        <w:rPr>
          <w:rFonts w:ascii="Arial" w:hAnsi="Arial" w:cs="Arial"/>
          <w:sz w:val="20"/>
          <w:szCs w:val="20"/>
        </w:rPr>
        <w:t xml:space="preserve">  </w:t>
      </w:r>
    </w:p>
    <w:p w14:paraId="16FDCC70" w14:textId="77777777" w:rsidR="00E0740D" w:rsidRPr="004B63EC" w:rsidRDefault="00E0740D" w:rsidP="00FD7442">
      <w:pPr>
        <w:ind w:left="720"/>
        <w:rPr>
          <w:rFonts w:ascii="Arial" w:hAnsi="Arial" w:cs="Arial"/>
          <w:sz w:val="20"/>
          <w:szCs w:val="20"/>
        </w:rPr>
      </w:pPr>
      <w:proofErr w:type="gramStart"/>
      <w:r w:rsidRPr="004B63EC">
        <w:rPr>
          <w:rFonts w:ascii="Arial" w:hAnsi="Arial" w:cs="Arial"/>
          <w:sz w:val="20"/>
          <w:szCs w:val="20"/>
        </w:rPr>
        <w:t>see</w:t>
      </w:r>
      <w:proofErr w:type="gramEnd"/>
      <w:r w:rsidRPr="004B63EC">
        <w:rPr>
          <w:rFonts w:ascii="Arial" w:hAnsi="Arial" w:cs="Arial"/>
          <w:sz w:val="20"/>
          <w:szCs w:val="20"/>
        </w:rPr>
        <w:t xml:space="preserve"> </w:t>
      </w:r>
      <w:hyperlink r:id="rId13" w:history="1">
        <w:r w:rsidRPr="004B63EC">
          <w:rPr>
            <w:rStyle w:val="Hyperlink"/>
            <w:rFonts w:ascii="Arial" w:hAnsi="Arial" w:cs="Arial"/>
            <w:sz w:val="20"/>
            <w:szCs w:val="20"/>
          </w:rPr>
          <w:t>http://forum.icann.org/lists/bc-gnso/pdfSBXE8faU4Z.pdf</w:t>
        </w:r>
      </w:hyperlink>
      <w:r w:rsidRPr="004B63EC">
        <w:rPr>
          <w:rFonts w:ascii="Arial" w:hAnsi="Arial" w:cs="Arial"/>
          <w:sz w:val="20"/>
          <w:szCs w:val="20"/>
        </w:rPr>
        <w:t xml:space="preserve"> </w:t>
      </w:r>
    </w:p>
    <w:p w14:paraId="2198B024" w14:textId="77777777" w:rsidR="00E0740D" w:rsidRPr="004B63EC" w:rsidRDefault="00E0740D" w:rsidP="00FD7442">
      <w:pPr>
        <w:ind w:left="720"/>
        <w:rPr>
          <w:rFonts w:ascii="Arial" w:hAnsi="Arial" w:cs="Arial"/>
          <w:sz w:val="20"/>
          <w:szCs w:val="20"/>
        </w:rPr>
      </w:pPr>
    </w:p>
    <w:p w14:paraId="79AA2B8B" w14:textId="77777777" w:rsidR="00E0740D" w:rsidRPr="004B63EC" w:rsidRDefault="00E0740D" w:rsidP="00FD7442">
      <w:pPr>
        <w:ind w:left="720"/>
        <w:rPr>
          <w:rFonts w:ascii="Arial" w:hAnsi="Arial" w:cs="Arial"/>
          <w:sz w:val="20"/>
          <w:szCs w:val="20"/>
        </w:rPr>
      </w:pPr>
      <w:proofErr w:type="gramStart"/>
      <w:r w:rsidRPr="004B63EC">
        <w:rPr>
          <w:rFonts w:ascii="Arial" w:hAnsi="Arial" w:cs="Arial"/>
          <w:sz w:val="20"/>
          <w:szCs w:val="20"/>
        </w:rPr>
        <w:t>BC comments on the Nov-2010 Proposed Final Applicant Guidebook.</w:t>
      </w:r>
      <w:proofErr w:type="gramEnd"/>
      <w:r w:rsidRPr="004B63EC">
        <w:rPr>
          <w:rFonts w:ascii="Arial" w:hAnsi="Arial" w:cs="Arial"/>
          <w:sz w:val="20"/>
          <w:szCs w:val="20"/>
        </w:rPr>
        <w:t xml:space="preserve">  </w:t>
      </w:r>
    </w:p>
    <w:p w14:paraId="105564DE" w14:textId="77777777" w:rsidR="00E0740D" w:rsidRPr="004B63EC" w:rsidRDefault="00E0740D" w:rsidP="00FD7442">
      <w:pPr>
        <w:ind w:left="720"/>
        <w:rPr>
          <w:rFonts w:ascii="Arial" w:hAnsi="Arial" w:cs="Arial"/>
          <w:sz w:val="20"/>
          <w:szCs w:val="20"/>
        </w:rPr>
      </w:pPr>
      <w:r w:rsidRPr="004B63EC">
        <w:rPr>
          <w:rFonts w:ascii="Arial" w:hAnsi="Arial" w:cs="Arial"/>
          <w:sz w:val="20"/>
          <w:szCs w:val="20"/>
        </w:rPr>
        <w:t>See </w:t>
      </w:r>
      <w:hyperlink r:id="rId14" w:history="1">
        <w:r w:rsidRPr="004B63EC">
          <w:rPr>
            <w:rStyle w:val="Hyperlink"/>
            <w:rFonts w:ascii="Arial" w:hAnsi="Arial" w:cs="Arial"/>
            <w:sz w:val="20"/>
            <w:szCs w:val="20"/>
          </w:rPr>
          <w:t>http://forum.icann.org/lists/5gtld-guide/pdfpWA9bxOgob.pdf</w:t>
        </w:r>
      </w:hyperlink>
      <w:r w:rsidRPr="004B63EC">
        <w:rPr>
          <w:rFonts w:ascii="Arial" w:hAnsi="Arial" w:cs="Arial"/>
          <w:sz w:val="20"/>
          <w:szCs w:val="20"/>
        </w:rPr>
        <w:t> </w:t>
      </w:r>
    </w:p>
    <w:p w14:paraId="370B4562" w14:textId="77777777" w:rsidR="00E0740D" w:rsidRPr="004B63EC" w:rsidRDefault="00E0740D">
      <w:pPr>
        <w:rPr>
          <w:rFonts w:ascii="Arial" w:hAnsi="Arial" w:cs="Arial"/>
          <w:sz w:val="20"/>
          <w:szCs w:val="20"/>
        </w:rPr>
      </w:pPr>
    </w:p>
    <w:p w14:paraId="467184F0" w14:textId="77777777" w:rsidR="00E0740D" w:rsidRPr="004B63EC" w:rsidRDefault="00E0740D">
      <w:pPr>
        <w:rPr>
          <w:rFonts w:ascii="Arial" w:hAnsi="Arial" w:cs="Arial"/>
          <w:sz w:val="20"/>
          <w:szCs w:val="20"/>
        </w:rPr>
      </w:pPr>
    </w:p>
    <w:p w14:paraId="0C05B7D8" w14:textId="5C513B3B" w:rsidR="00E0740D" w:rsidRPr="004B63EC" w:rsidRDefault="00E0740D">
      <w:pPr>
        <w:rPr>
          <w:rFonts w:ascii="Arial" w:hAnsi="Arial" w:cs="Arial"/>
          <w:sz w:val="20"/>
          <w:szCs w:val="20"/>
        </w:rPr>
      </w:pPr>
      <w:r w:rsidRPr="004B63EC">
        <w:rPr>
          <w:rFonts w:ascii="Arial" w:hAnsi="Arial" w:cs="Arial"/>
          <w:sz w:val="20"/>
          <w:szCs w:val="20"/>
        </w:rPr>
        <w:t xml:space="preserve">BC recommendations are arranged by Module, and </w:t>
      </w:r>
      <w:r w:rsidR="003B6CD5" w:rsidRPr="004B63EC">
        <w:rPr>
          <w:rFonts w:ascii="Arial" w:hAnsi="Arial" w:cs="Arial"/>
          <w:sz w:val="20"/>
          <w:szCs w:val="20"/>
        </w:rPr>
        <w:t>a statement of rationale for the change follows each recommendation</w:t>
      </w:r>
      <w:r w:rsidRPr="004B63EC">
        <w:rPr>
          <w:rFonts w:ascii="Arial" w:hAnsi="Arial" w:cs="Arial"/>
          <w:sz w:val="20"/>
          <w:szCs w:val="20"/>
        </w:rPr>
        <w:t xml:space="preserve">. </w:t>
      </w:r>
    </w:p>
    <w:p w14:paraId="526A85FA" w14:textId="77777777" w:rsidR="00E0740D" w:rsidRPr="004B63EC" w:rsidRDefault="00E0740D">
      <w:pPr>
        <w:rPr>
          <w:rFonts w:ascii="Arial" w:hAnsi="Arial" w:cs="Arial"/>
          <w:sz w:val="20"/>
          <w:szCs w:val="20"/>
        </w:rPr>
      </w:pPr>
      <w:r w:rsidRPr="004B63EC">
        <w:rPr>
          <w:rFonts w:ascii="Arial" w:hAnsi="Arial" w:cs="Arial"/>
          <w:sz w:val="20"/>
          <w:szCs w:val="20"/>
        </w:rPr>
        <w:br w:type="page"/>
      </w:r>
    </w:p>
    <w:p w14:paraId="5BA29D9D" w14:textId="77777777" w:rsidR="00E0740D" w:rsidRPr="004B63EC" w:rsidRDefault="00E0740D" w:rsidP="00D770DE">
      <w:pPr>
        <w:tabs>
          <w:tab w:val="left" w:pos="2320"/>
        </w:tabs>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4500"/>
      </w:tblGrid>
      <w:tr w:rsidR="00E0740D" w:rsidRPr="004B63EC" w14:paraId="011BE979" w14:textId="77777777">
        <w:trPr>
          <w:cantSplit/>
        </w:trPr>
        <w:tc>
          <w:tcPr>
            <w:tcW w:w="8838" w:type="dxa"/>
            <w:gridSpan w:val="2"/>
            <w:shd w:val="clear" w:color="auto" w:fill="E0E0E0"/>
          </w:tcPr>
          <w:p w14:paraId="0885690E" w14:textId="77777777" w:rsidR="00E0740D" w:rsidRPr="004B63EC" w:rsidRDefault="00E0740D" w:rsidP="00EA2994">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 xml:space="preserve">Module 1: Batching of applications </w:t>
            </w:r>
          </w:p>
        </w:tc>
      </w:tr>
      <w:tr w:rsidR="00E0740D" w:rsidRPr="004B63EC" w14:paraId="25EFA904" w14:textId="77777777">
        <w:trPr>
          <w:cantSplit/>
        </w:trPr>
        <w:tc>
          <w:tcPr>
            <w:tcW w:w="4338" w:type="dxa"/>
          </w:tcPr>
          <w:p w14:paraId="26D880F4"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00" w:type="dxa"/>
          </w:tcPr>
          <w:p w14:paraId="5AD7DABF"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5E3A9D23" w14:textId="77777777">
        <w:trPr>
          <w:cantSplit/>
        </w:trPr>
        <w:tc>
          <w:tcPr>
            <w:tcW w:w="4338" w:type="dxa"/>
          </w:tcPr>
          <w:p w14:paraId="7633D584" w14:textId="77777777" w:rsidR="00E0740D" w:rsidRPr="004B63EC" w:rsidRDefault="00E0740D" w:rsidP="00EA2994">
            <w:pPr>
              <w:rPr>
                <w:rFonts w:ascii="Arial" w:hAnsi="Arial" w:cs="Arial"/>
                <w:sz w:val="20"/>
                <w:szCs w:val="20"/>
              </w:rPr>
            </w:pPr>
          </w:p>
          <w:p w14:paraId="3D932BB4" w14:textId="77777777" w:rsidR="00E0740D" w:rsidRPr="004B63EC" w:rsidRDefault="00E0740D" w:rsidP="00EA2994">
            <w:pPr>
              <w:rPr>
                <w:rFonts w:ascii="Arial" w:hAnsi="Arial" w:cs="Arial"/>
                <w:sz w:val="20"/>
                <w:szCs w:val="20"/>
              </w:rPr>
            </w:pPr>
            <w:r w:rsidRPr="004B63EC">
              <w:rPr>
                <w:rFonts w:ascii="Arial" w:hAnsi="Arial" w:cs="Arial"/>
                <w:sz w:val="20"/>
                <w:szCs w:val="20"/>
              </w:rPr>
              <w:t>1.1.2.5</w:t>
            </w:r>
          </w:p>
          <w:p w14:paraId="520070E1" w14:textId="77777777" w:rsidR="00E0740D" w:rsidRPr="004B63EC" w:rsidRDefault="00E0740D" w:rsidP="00EA2994">
            <w:pPr>
              <w:rPr>
                <w:rFonts w:ascii="Arial" w:hAnsi="Arial" w:cs="Arial"/>
                <w:sz w:val="20"/>
                <w:szCs w:val="20"/>
              </w:rPr>
            </w:pPr>
            <w:r w:rsidRPr="004B63EC">
              <w:rPr>
                <w:rFonts w:ascii="Arial" w:hAnsi="Arial" w:cs="Arial"/>
                <w:sz w:val="20"/>
                <w:szCs w:val="20"/>
              </w:rPr>
              <w:t>…The first batch will be limited to 500 applications and subsequent batches will be limited to 400 to account for capacity limitations due to managing extended evaluation, string contention, and other processes associated with each previous batch.</w:t>
            </w:r>
          </w:p>
          <w:p w14:paraId="75F7556E" w14:textId="77777777" w:rsidR="00E0740D" w:rsidRPr="004B63EC" w:rsidRDefault="00E0740D" w:rsidP="00EA2994">
            <w:pPr>
              <w:rPr>
                <w:rFonts w:ascii="Arial" w:hAnsi="Arial" w:cs="Arial"/>
                <w:sz w:val="20"/>
                <w:szCs w:val="20"/>
              </w:rPr>
            </w:pPr>
          </w:p>
          <w:p w14:paraId="2C955A2B" w14:textId="77777777" w:rsidR="00E0740D" w:rsidRPr="004B63EC" w:rsidRDefault="00E0740D" w:rsidP="00EA2994">
            <w:pPr>
              <w:rPr>
                <w:rFonts w:ascii="Arial" w:hAnsi="Arial" w:cs="Arial"/>
                <w:sz w:val="20"/>
                <w:szCs w:val="20"/>
              </w:rPr>
            </w:pPr>
          </w:p>
          <w:p w14:paraId="78B0EB2D" w14:textId="77777777" w:rsidR="00E0740D" w:rsidRPr="004B63EC" w:rsidRDefault="00E0740D" w:rsidP="00EA2994">
            <w:pPr>
              <w:rPr>
                <w:rFonts w:ascii="Arial" w:hAnsi="Arial" w:cs="Arial"/>
                <w:sz w:val="20"/>
                <w:szCs w:val="20"/>
              </w:rPr>
            </w:pPr>
            <w:r w:rsidRPr="004B63EC">
              <w:rPr>
                <w:rFonts w:ascii="Arial" w:hAnsi="Arial" w:cs="Arial"/>
                <w:sz w:val="20"/>
                <w:szCs w:val="20"/>
              </w:rPr>
              <w:t>1.1.6 Subsequent Application Rounds</w:t>
            </w:r>
          </w:p>
          <w:p w14:paraId="363B0918" w14:textId="77777777" w:rsidR="00E0740D" w:rsidRPr="004B63EC" w:rsidRDefault="00E0740D" w:rsidP="00EA2994">
            <w:pPr>
              <w:rPr>
                <w:rFonts w:ascii="Arial" w:hAnsi="Arial" w:cs="Arial"/>
                <w:sz w:val="20"/>
                <w:szCs w:val="20"/>
              </w:rPr>
            </w:pPr>
            <w:r w:rsidRPr="004B63EC">
              <w:rPr>
                <w:rFonts w:ascii="Arial" w:hAnsi="Arial" w:cs="Arial"/>
                <w:sz w:val="20"/>
                <w:szCs w:val="20"/>
              </w:rPr>
              <w:t>ICANN’s goal is to launch subsequent gTLD application rounds as quickly as possible.</w:t>
            </w:r>
          </w:p>
          <w:p w14:paraId="11D8BF5A" w14:textId="77777777" w:rsidR="00E0740D" w:rsidRPr="004B63EC" w:rsidRDefault="00E0740D" w:rsidP="00EA2994">
            <w:pPr>
              <w:rPr>
                <w:rFonts w:ascii="Arial" w:hAnsi="Arial" w:cs="Arial"/>
                <w:sz w:val="20"/>
                <w:szCs w:val="20"/>
              </w:rPr>
            </w:pPr>
          </w:p>
        </w:tc>
        <w:tc>
          <w:tcPr>
            <w:tcW w:w="4500" w:type="dxa"/>
          </w:tcPr>
          <w:p w14:paraId="4331AD2C" w14:textId="77777777" w:rsidR="00E0740D" w:rsidRPr="004B63EC" w:rsidRDefault="00E0740D" w:rsidP="00EA2994">
            <w:pPr>
              <w:rPr>
                <w:rFonts w:ascii="Arial" w:hAnsi="Arial" w:cs="Arial"/>
                <w:sz w:val="20"/>
                <w:szCs w:val="20"/>
              </w:rPr>
            </w:pPr>
          </w:p>
          <w:p w14:paraId="63CD43C7" w14:textId="77777777" w:rsidR="00E0740D" w:rsidRPr="004B63EC" w:rsidRDefault="00E0740D" w:rsidP="00EA2994">
            <w:pPr>
              <w:rPr>
                <w:rFonts w:ascii="Arial" w:hAnsi="Arial" w:cs="Arial"/>
                <w:b/>
                <w:sz w:val="20"/>
                <w:szCs w:val="20"/>
              </w:rPr>
            </w:pPr>
            <w:r w:rsidRPr="004B63EC">
              <w:rPr>
                <w:rFonts w:ascii="Arial" w:hAnsi="Arial" w:cs="Arial"/>
                <w:b/>
                <w:sz w:val="20"/>
                <w:szCs w:val="20"/>
              </w:rPr>
              <w:t>The first batch should be limited to significantly fewer than 500 applications, in order to test the operational readiness of newly designed application processing and objection / contention systems.</w:t>
            </w:r>
          </w:p>
          <w:p w14:paraId="54AE1E7B" w14:textId="77777777" w:rsidR="00E0740D" w:rsidRPr="004B63EC" w:rsidRDefault="00E0740D" w:rsidP="00EA2994">
            <w:pPr>
              <w:rPr>
                <w:rFonts w:ascii="Arial" w:hAnsi="Arial" w:cs="Arial"/>
                <w:sz w:val="20"/>
                <w:szCs w:val="20"/>
              </w:rPr>
            </w:pPr>
          </w:p>
          <w:p w14:paraId="36D431D2"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A significant proportion of the first batch should be comprised of Community-Based applications. </w:t>
            </w:r>
          </w:p>
          <w:p w14:paraId="058816AA" w14:textId="77777777" w:rsidR="00E0740D" w:rsidRPr="004B63EC" w:rsidRDefault="00E0740D" w:rsidP="00EA2994">
            <w:pPr>
              <w:rPr>
                <w:rFonts w:ascii="Arial" w:hAnsi="Arial" w:cs="Arial"/>
                <w:b/>
                <w:sz w:val="20"/>
                <w:szCs w:val="20"/>
              </w:rPr>
            </w:pPr>
          </w:p>
          <w:p w14:paraId="50DA3546" w14:textId="77777777" w:rsidR="00E0740D" w:rsidRPr="004B63EC" w:rsidRDefault="00E0740D" w:rsidP="00CA23F0">
            <w:pPr>
              <w:rPr>
                <w:rFonts w:ascii="Arial" w:hAnsi="Arial" w:cs="Arial"/>
                <w:sz w:val="20"/>
                <w:szCs w:val="20"/>
              </w:rPr>
            </w:pPr>
            <w:r w:rsidRPr="004B63EC">
              <w:rPr>
                <w:rFonts w:ascii="Arial" w:hAnsi="Arial" w:cs="Arial"/>
                <w:sz w:val="20"/>
                <w:szCs w:val="20"/>
              </w:rPr>
              <w:t>…</w:t>
            </w:r>
            <w:proofErr w:type="gramStart"/>
            <w:r w:rsidRPr="004B63EC">
              <w:rPr>
                <w:rFonts w:ascii="Arial" w:hAnsi="Arial" w:cs="Arial"/>
                <w:sz w:val="20"/>
                <w:szCs w:val="20"/>
              </w:rPr>
              <w:t>as</w:t>
            </w:r>
            <w:proofErr w:type="gramEnd"/>
            <w:r w:rsidRPr="004B63EC">
              <w:rPr>
                <w:rFonts w:ascii="Arial" w:hAnsi="Arial" w:cs="Arial"/>
                <w:sz w:val="20"/>
                <w:szCs w:val="20"/>
              </w:rPr>
              <w:t xml:space="preserve"> quickly as possible, </w:t>
            </w:r>
            <w:r w:rsidRPr="004B63EC">
              <w:rPr>
                <w:rFonts w:ascii="Arial" w:hAnsi="Arial" w:cs="Arial"/>
                <w:b/>
                <w:sz w:val="20"/>
                <w:szCs w:val="20"/>
              </w:rPr>
              <w:t>but only after adjusting the application process and Guidebook to reflect experience learned in the initial round.</w:t>
            </w:r>
          </w:p>
        </w:tc>
      </w:tr>
      <w:tr w:rsidR="00E0740D" w:rsidRPr="004B63EC" w14:paraId="2DB55A37" w14:textId="77777777">
        <w:trPr>
          <w:cantSplit/>
        </w:trPr>
        <w:tc>
          <w:tcPr>
            <w:tcW w:w="8838" w:type="dxa"/>
            <w:gridSpan w:val="2"/>
          </w:tcPr>
          <w:p w14:paraId="09AB3856" w14:textId="77777777" w:rsidR="00E0740D" w:rsidRPr="004B63EC" w:rsidRDefault="00E0740D">
            <w:pPr>
              <w:rPr>
                <w:rFonts w:ascii="Arial" w:hAnsi="Arial" w:cs="Arial"/>
                <w:b/>
                <w:sz w:val="20"/>
                <w:szCs w:val="20"/>
              </w:rPr>
            </w:pPr>
            <w:r w:rsidRPr="004B63EC">
              <w:rPr>
                <w:rFonts w:ascii="Arial" w:hAnsi="Arial" w:cs="Arial"/>
                <w:b/>
                <w:sz w:val="20"/>
                <w:szCs w:val="20"/>
              </w:rPr>
              <w:t>Rationale for BC Recommendation:</w:t>
            </w:r>
          </w:p>
          <w:p w14:paraId="089CEEF2" w14:textId="77777777" w:rsidR="00E0740D" w:rsidRPr="004B63EC" w:rsidRDefault="00E0740D" w:rsidP="00EA2994">
            <w:pPr>
              <w:rPr>
                <w:rFonts w:ascii="Arial" w:hAnsi="Arial" w:cs="Arial"/>
                <w:sz w:val="20"/>
                <w:szCs w:val="20"/>
              </w:rPr>
            </w:pPr>
          </w:p>
          <w:p w14:paraId="07877A22"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The Guidebook recommends an initial batch of applications, acknowledging “capacity limitations due to extended evaluation, string contention, and other processes.”  These evaluation and objection processes are untested and complex, involving new independent evaluators. </w:t>
            </w:r>
          </w:p>
          <w:p w14:paraId="73651103" w14:textId="77777777" w:rsidR="00E0740D" w:rsidRPr="004B63EC" w:rsidRDefault="00E0740D" w:rsidP="00585DAD">
            <w:pPr>
              <w:rPr>
                <w:rFonts w:ascii="Arial" w:hAnsi="Arial" w:cs="Arial"/>
                <w:sz w:val="20"/>
                <w:szCs w:val="20"/>
              </w:rPr>
            </w:pPr>
          </w:p>
          <w:p w14:paraId="074A95CE" w14:textId="77777777" w:rsidR="00E0740D" w:rsidRPr="004B63EC" w:rsidRDefault="00E0740D" w:rsidP="00585DAD">
            <w:pPr>
              <w:rPr>
                <w:rFonts w:ascii="Arial" w:hAnsi="Arial" w:cs="Arial"/>
                <w:sz w:val="20"/>
                <w:szCs w:val="20"/>
              </w:rPr>
            </w:pPr>
            <w:r w:rsidRPr="004B63EC">
              <w:rPr>
                <w:rFonts w:ascii="Arial" w:hAnsi="Arial" w:cs="Arial"/>
                <w:sz w:val="20"/>
                <w:szCs w:val="20"/>
              </w:rPr>
              <w:t>With the proposed objection process, each application in the initial batch could have its own public comment period.  Clearly, it will not work to have 500 parallel public comment periods.</w:t>
            </w:r>
          </w:p>
          <w:p w14:paraId="5361C119" w14:textId="77777777" w:rsidR="00E0740D" w:rsidRPr="004B63EC" w:rsidRDefault="00E0740D" w:rsidP="00EA2994">
            <w:pPr>
              <w:rPr>
                <w:rFonts w:ascii="Arial" w:hAnsi="Arial" w:cs="Arial"/>
                <w:sz w:val="20"/>
                <w:szCs w:val="20"/>
              </w:rPr>
            </w:pPr>
          </w:p>
          <w:p w14:paraId="6839BDF0" w14:textId="77777777" w:rsidR="00E0740D" w:rsidRPr="004B63EC" w:rsidRDefault="00E0740D" w:rsidP="00EA2994">
            <w:pPr>
              <w:rPr>
                <w:rFonts w:ascii="Arial" w:hAnsi="Arial" w:cs="Arial"/>
                <w:sz w:val="20"/>
                <w:szCs w:val="20"/>
              </w:rPr>
            </w:pPr>
            <w:r w:rsidRPr="004B63EC">
              <w:rPr>
                <w:rFonts w:ascii="Arial" w:hAnsi="Arial" w:cs="Arial"/>
                <w:sz w:val="20"/>
                <w:szCs w:val="20"/>
              </w:rPr>
              <w:t>Moreover, the BC believes that ICANN presently lacks adequate compliance staff, even before new gTLDs are introduced.  This compliance challenge could become significantly larger with cross-ownership and enforcing the new registry code of conduct.</w:t>
            </w:r>
          </w:p>
          <w:p w14:paraId="0A388292" w14:textId="77777777" w:rsidR="00E0740D" w:rsidRPr="004B63EC" w:rsidRDefault="00E0740D" w:rsidP="00EA2994">
            <w:pPr>
              <w:rPr>
                <w:rFonts w:ascii="Arial" w:hAnsi="Arial" w:cs="Arial"/>
                <w:sz w:val="20"/>
                <w:szCs w:val="20"/>
              </w:rPr>
            </w:pPr>
          </w:p>
          <w:p w14:paraId="34F5E179" w14:textId="77777777" w:rsidR="00E06B04" w:rsidRDefault="00E0740D" w:rsidP="00EA2994">
            <w:pPr>
              <w:rPr>
                <w:rFonts w:ascii="Arial" w:hAnsi="Arial" w:cs="Arial"/>
                <w:sz w:val="20"/>
                <w:szCs w:val="20"/>
              </w:rPr>
            </w:pPr>
            <w:r w:rsidRPr="004B63EC">
              <w:rPr>
                <w:rFonts w:ascii="Arial" w:hAnsi="Arial" w:cs="Arial"/>
                <w:sz w:val="20"/>
                <w:szCs w:val="20"/>
              </w:rPr>
              <w:t xml:space="preserve">ICANN should not attempt to manage high volumes until evaluation, objection, and contention processes are proven on a smaller, more manageable scale.  An initial batch of </w:t>
            </w:r>
            <w:r w:rsidR="00E06B04" w:rsidRPr="004B63EC">
              <w:rPr>
                <w:rFonts w:ascii="Arial" w:hAnsi="Arial" w:cs="Arial"/>
                <w:sz w:val="20"/>
                <w:szCs w:val="20"/>
              </w:rPr>
              <w:t xml:space="preserve">500 applications could overwhelm ICANN's new systems and undermine the new gTLD process.  </w:t>
            </w:r>
          </w:p>
          <w:p w14:paraId="57D7AEE8" w14:textId="77777777" w:rsidR="00E06B04" w:rsidRDefault="00E06B04" w:rsidP="00EA2994">
            <w:pPr>
              <w:rPr>
                <w:rFonts w:ascii="Arial" w:hAnsi="Arial" w:cs="Arial"/>
                <w:sz w:val="20"/>
                <w:szCs w:val="20"/>
              </w:rPr>
            </w:pPr>
          </w:p>
          <w:p w14:paraId="085DCCDB" w14:textId="4833EDFB" w:rsidR="00E0740D" w:rsidRDefault="00E06B04" w:rsidP="00EA2994">
            <w:pPr>
              <w:rPr>
                <w:rFonts w:ascii="Arial" w:hAnsi="Arial" w:cs="Arial"/>
                <w:sz w:val="20"/>
                <w:szCs w:val="20"/>
              </w:rPr>
            </w:pPr>
            <w:r>
              <w:rPr>
                <w:rFonts w:ascii="Arial" w:hAnsi="Arial" w:cs="Arial"/>
                <w:sz w:val="20"/>
                <w:szCs w:val="20"/>
              </w:rPr>
              <w:t xml:space="preserve">The BC therefore recommends an initial batch of significantly fewer than </w:t>
            </w:r>
            <w:r w:rsidR="00E0740D" w:rsidRPr="004B63EC">
              <w:rPr>
                <w:rFonts w:ascii="Arial" w:hAnsi="Arial" w:cs="Arial"/>
                <w:sz w:val="20"/>
                <w:szCs w:val="20"/>
              </w:rPr>
              <w:t>100 applications</w:t>
            </w:r>
            <w:r>
              <w:rPr>
                <w:rFonts w:ascii="Arial" w:hAnsi="Arial" w:cs="Arial"/>
                <w:sz w:val="20"/>
                <w:szCs w:val="20"/>
              </w:rPr>
              <w:t>,</w:t>
            </w:r>
            <w:r w:rsidR="00E0740D" w:rsidRPr="004B63EC">
              <w:rPr>
                <w:rFonts w:ascii="Arial" w:hAnsi="Arial" w:cs="Arial"/>
                <w:sz w:val="20"/>
                <w:szCs w:val="20"/>
              </w:rPr>
              <w:t xml:space="preserve"> </w:t>
            </w:r>
            <w:r>
              <w:rPr>
                <w:rFonts w:ascii="Arial" w:hAnsi="Arial" w:cs="Arial"/>
                <w:sz w:val="20"/>
                <w:szCs w:val="20"/>
              </w:rPr>
              <w:t>to</w:t>
            </w:r>
            <w:r w:rsidR="00E0740D" w:rsidRPr="004B63EC">
              <w:rPr>
                <w:rFonts w:ascii="Arial" w:hAnsi="Arial" w:cs="Arial"/>
                <w:sz w:val="20"/>
                <w:szCs w:val="20"/>
              </w:rPr>
              <w:t xml:space="preserve"> prove the effectiveness of new processes</w:t>
            </w:r>
            <w:r w:rsidR="00C92073">
              <w:rPr>
                <w:rFonts w:ascii="Arial" w:hAnsi="Arial" w:cs="Arial"/>
                <w:sz w:val="20"/>
                <w:szCs w:val="20"/>
              </w:rPr>
              <w:t xml:space="preserve"> and increased compliance</w:t>
            </w:r>
            <w:r>
              <w:rPr>
                <w:rFonts w:ascii="Arial" w:hAnsi="Arial" w:cs="Arial"/>
                <w:sz w:val="20"/>
                <w:szCs w:val="20"/>
              </w:rPr>
              <w:t xml:space="preserve">. </w:t>
            </w:r>
          </w:p>
          <w:p w14:paraId="1188A77B" w14:textId="77777777" w:rsidR="00E06B04" w:rsidRPr="004B63EC" w:rsidRDefault="00E06B04" w:rsidP="00EA2994">
            <w:pPr>
              <w:rPr>
                <w:rFonts w:ascii="Arial" w:hAnsi="Arial" w:cs="Arial"/>
                <w:sz w:val="20"/>
                <w:szCs w:val="20"/>
              </w:rPr>
            </w:pPr>
          </w:p>
          <w:p w14:paraId="428DDCD2" w14:textId="77777777" w:rsidR="00E0740D" w:rsidRDefault="00E0740D" w:rsidP="004C69A1">
            <w:pPr>
              <w:rPr>
                <w:rFonts w:ascii="Arial" w:hAnsi="Arial" w:cs="Arial"/>
                <w:sz w:val="20"/>
                <w:szCs w:val="20"/>
              </w:rPr>
            </w:pPr>
            <w:r w:rsidRPr="004B63EC">
              <w:rPr>
                <w:rFonts w:ascii="Arial" w:hAnsi="Arial" w:cs="Arial"/>
                <w:sz w:val="20"/>
                <w:szCs w:val="20"/>
              </w:rPr>
              <w:t xml:space="preserve">As to the composition of the first batch, the BC recommends that it include a substantial proportion of community-based applications. It is a long-standing position of the BC that name space expansion should create </w:t>
            </w:r>
            <w:proofErr w:type="gramStart"/>
            <w:r w:rsidRPr="004B63EC">
              <w:rPr>
                <w:rFonts w:ascii="Arial" w:hAnsi="Arial" w:cs="Arial"/>
                <w:sz w:val="20"/>
                <w:szCs w:val="20"/>
              </w:rPr>
              <w:t>added-value</w:t>
            </w:r>
            <w:proofErr w:type="gramEnd"/>
            <w:r w:rsidRPr="004B63EC">
              <w:rPr>
                <w:rFonts w:ascii="Arial" w:hAnsi="Arial" w:cs="Arial"/>
                <w:sz w:val="20"/>
                <w:szCs w:val="20"/>
              </w:rPr>
              <w:t xml:space="preserve">. Where there is </w:t>
            </w:r>
            <w:proofErr w:type="gramStart"/>
            <w:r w:rsidRPr="004B63EC">
              <w:rPr>
                <w:rFonts w:ascii="Arial" w:hAnsi="Arial" w:cs="Arial"/>
                <w:sz w:val="20"/>
                <w:szCs w:val="20"/>
              </w:rPr>
              <w:t>added-value</w:t>
            </w:r>
            <w:proofErr w:type="gramEnd"/>
            <w:r w:rsidRPr="004B63EC">
              <w:rPr>
                <w:rFonts w:ascii="Arial" w:hAnsi="Arial" w:cs="Arial"/>
                <w:sz w:val="20"/>
                <w:szCs w:val="20"/>
              </w:rPr>
              <w:t xml:space="preserve"> there will be genuine user demand – not just defensive registrations—and expansion will enhance choice and competition in the global public interest.  In a global market economy, </w:t>
            </w:r>
            <w:proofErr w:type="gramStart"/>
            <w:r w:rsidRPr="004B63EC">
              <w:rPr>
                <w:rFonts w:ascii="Arial" w:hAnsi="Arial" w:cs="Arial"/>
                <w:sz w:val="20"/>
                <w:szCs w:val="20"/>
              </w:rPr>
              <w:t>added-value</w:t>
            </w:r>
            <w:proofErr w:type="gramEnd"/>
            <w:r w:rsidRPr="004B63EC">
              <w:rPr>
                <w:rFonts w:ascii="Arial" w:hAnsi="Arial" w:cs="Arial"/>
                <w:sz w:val="20"/>
                <w:szCs w:val="20"/>
              </w:rPr>
              <w:t xml:space="preserve"> means differentiation from other gTLDs while providing competition for existing gTLDs. </w:t>
            </w:r>
          </w:p>
          <w:p w14:paraId="575D3489" w14:textId="77777777" w:rsidR="00E06B04" w:rsidRPr="004B63EC" w:rsidRDefault="00E06B04" w:rsidP="004C69A1">
            <w:pPr>
              <w:rPr>
                <w:rFonts w:ascii="Arial" w:hAnsi="Arial" w:cs="Arial"/>
                <w:sz w:val="20"/>
                <w:szCs w:val="20"/>
              </w:rPr>
            </w:pPr>
          </w:p>
        </w:tc>
      </w:tr>
    </w:tbl>
    <w:p w14:paraId="2152BFC8" w14:textId="77777777" w:rsidR="00E06B04" w:rsidRDefault="00E06B04">
      <w:pPr>
        <w:rPr>
          <w:rFonts w:ascii="Arial" w:hAnsi="Arial" w:cs="Arial"/>
          <w:sz w:val="20"/>
          <w:szCs w:val="20"/>
        </w:rPr>
      </w:pPr>
    </w:p>
    <w:p w14:paraId="7E942049" w14:textId="77777777" w:rsidR="00E0740D" w:rsidRPr="004B63EC" w:rsidRDefault="00E06B04">
      <w:pPr>
        <w:rPr>
          <w:rFonts w:ascii="Arial" w:hAnsi="Arial" w:cs="Arial"/>
          <w:sz w:val="20"/>
          <w:szCs w:val="20"/>
        </w:rPr>
      </w:pPr>
      <w:r>
        <w:rPr>
          <w:rFonts w:ascii="Arial" w:hAnsi="Arial" w:cs="Arial"/>
          <w:sz w:val="20"/>
          <w:szCs w:val="20"/>
        </w:rPr>
        <w:br w:type="page"/>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4680"/>
      </w:tblGrid>
      <w:tr w:rsidR="00E0740D" w:rsidRPr="004B63EC" w14:paraId="209B419C" w14:textId="77777777">
        <w:tc>
          <w:tcPr>
            <w:tcW w:w="8838" w:type="dxa"/>
            <w:gridSpan w:val="2"/>
            <w:shd w:val="clear" w:color="auto" w:fill="E0E0E0"/>
          </w:tcPr>
          <w:p w14:paraId="13A79F69" w14:textId="77777777" w:rsidR="00E0740D" w:rsidRPr="004B63EC" w:rsidRDefault="00E0740D" w:rsidP="00EA2994">
            <w:pPr>
              <w:rPr>
                <w:rFonts w:ascii="Arial" w:hAnsi="Arial" w:cs="Arial"/>
                <w:sz w:val="20"/>
                <w:szCs w:val="20"/>
              </w:rPr>
            </w:pPr>
            <w:r w:rsidRPr="004B63EC">
              <w:rPr>
                <w:rFonts w:ascii="Arial" w:hAnsi="Arial" w:cs="Arial"/>
                <w:b/>
                <w:sz w:val="20"/>
                <w:szCs w:val="20"/>
              </w:rPr>
              <w:t>Module 1:  Applicant Eligibility Screening</w:t>
            </w:r>
          </w:p>
        </w:tc>
      </w:tr>
      <w:tr w:rsidR="00E0740D" w:rsidRPr="004B63EC" w14:paraId="796D1955" w14:textId="77777777">
        <w:tc>
          <w:tcPr>
            <w:tcW w:w="4158" w:type="dxa"/>
          </w:tcPr>
          <w:p w14:paraId="7F30B591"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680" w:type="dxa"/>
          </w:tcPr>
          <w:p w14:paraId="0AB268DA"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49D5F38C" w14:textId="77777777">
        <w:tc>
          <w:tcPr>
            <w:tcW w:w="4158" w:type="dxa"/>
          </w:tcPr>
          <w:p w14:paraId="6971BD2D" w14:textId="77777777" w:rsidR="00E0740D" w:rsidRPr="004B63EC" w:rsidRDefault="00E0740D" w:rsidP="00EA2994">
            <w:pPr>
              <w:rPr>
                <w:rFonts w:ascii="Arial" w:hAnsi="Arial" w:cs="Arial"/>
                <w:sz w:val="20"/>
                <w:szCs w:val="20"/>
              </w:rPr>
            </w:pPr>
          </w:p>
          <w:p w14:paraId="4B734562" w14:textId="77777777" w:rsidR="00E0740D" w:rsidRPr="004B63EC" w:rsidRDefault="00E0740D" w:rsidP="00EA2994">
            <w:pPr>
              <w:rPr>
                <w:rFonts w:ascii="Arial" w:hAnsi="Arial" w:cs="Arial"/>
                <w:sz w:val="20"/>
                <w:szCs w:val="20"/>
              </w:rPr>
            </w:pPr>
            <w:proofErr w:type="gramStart"/>
            <w:r w:rsidRPr="004B63EC">
              <w:rPr>
                <w:rFonts w:ascii="Arial" w:hAnsi="Arial" w:cs="Arial"/>
                <w:sz w:val="20"/>
                <w:szCs w:val="20"/>
              </w:rPr>
              <w:t>1.2.1  Background</w:t>
            </w:r>
            <w:proofErr w:type="gramEnd"/>
            <w:r w:rsidRPr="004B63EC">
              <w:rPr>
                <w:rFonts w:ascii="Arial" w:hAnsi="Arial" w:cs="Arial"/>
                <w:sz w:val="20"/>
                <w:szCs w:val="20"/>
              </w:rPr>
              <w:t xml:space="preserve"> screening at both the entity level and the individual level ...</w:t>
            </w:r>
          </w:p>
        </w:tc>
        <w:tc>
          <w:tcPr>
            <w:tcW w:w="4680" w:type="dxa"/>
          </w:tcPr>
          <w:p w14:paraId="203998DF" w14:textId="77777777" w:rsidR="00E0740D" w:rsidRPr="004B63EC" w:rsidRDefault="00E0740D" w:rsidP="00EA2994">
            <w:pPr>
              <w:rPr>
                <w:rFonts w:ascii="Arial" w:hAnsi="Arial" w:cs="Arial"/>
                <w:sz w:val="20"/>
                <w:szCs w:val="20"/>
              </w:rPr>
            </w:pPr>
          </w:p>
          <w:p w14:paraId="5CAA5570" w14:textId="77777777" w:rsidR="00E0740D" w:rsidRPr="004B63EC" w:rsidRDefault="00E0740D" w:rsidP="00EA2994">
            <w:pPr>
              <w:rPr>
                <w:rFonts w:ascii="Arial" w:hAnsi="Arial" w:cs="Arial"/>
                <w:b/>
                <w:sz w:val="20"/>
                <w:szCs w:val="20"/>
              </w:rPr>
            </w:pPr>
            <w:proofErr w:type="gramStart"/>
            <w:r w:rsidRPr="004B63EC">
              <w:rPr>
                <w:rFonts w:ascii="Arial" w:hAnsi="Arial" w:cs="Arial"/>
                <w:sz w:val="20"/>
                <w:szCs w:val="20"/>
              </w:rPr>
              <w:t>1.2.1  Background</w:t>
            </w:r>
            <w:proofErr w:type="gramEnd"/>
            <w:r w:rsidRPr="004B63EC">
              <w:rPr>
                <w:rFonts w:ascii="Arial" w:hAnsi="Arial" w:cs="Arial"/>
                <w:sz w:val="20"/>
                <w:szCs w:val="20"/>
              </w:rPr>
              <w:t xml:space="preserve"> screening at </w:t>
            </w:r>
            <w:r w:rsidRPr="004B63EC">
              <w:rPr>
                <w:rFonts w:ascii="Arial" w:hAnsi="Arial" w:cs="Arial"/>
                <w:b/>
                <w:sz w:val="20"/>
                <w:szCs w:val="20"/>
              </w:rPr>
              <w:t>the level of the entity, named individuals, and entity affiliates and subsidiaries …</w:t>
            </w:r>
          </w:p>
          <w:p w14:paraId="0D9C8CE5" w14:textId="77777777" w:rsidR="00E0740D" w:rsidRPr="004B63EC" w:rsidRDefault="00E0740D" w:rsidP="00EA2994">
            <w:pPr>
              <w:rPr>
                <w:rFonts w:ascii="Arial" w:hAnsi="Arial" w:cs="Arial"/>
                <w:b/>
                <w:sz w:val="20"/>
                <w:szCs w:val="20"/>
              </w:rPr>
            </w:pPr>
          </w:p>
        </w:tc>
      </w:tr>
      <w:tr w:rsidR="00E0740D" w:rsidRPr="004B63EC" w14:paraId="04C458CD" w14:textId="77777777">
        <w:trPr>
          <w:trHeight w:val="1052"/>
        </w:trPr>
        <w:tc>
          <w:tcPr>
            <w:tcW w:w="8838" w:type="dxa"/>
            <w:gridSpan w:val="2"/>
          </w:tcPr>
          <w:p w14:paraId="2FED3134" w14:textId="77777777" w:rsidR="00E0740D" w:rsidRPr="004B63EC" w:rsidRDefault="00E0740D">
            <w:pPr>
              <w:rPr>
                <w:rFonts w:ascii="Arial" w:hAnsi="Arial" w:cs="Arial"/>
                <w:b/>
                <w:sz w:val="20"/>
                <w:szCs w:val="20"/>
              </w:rPr>
            </w:pPr>
            <w:r w:rsidRPr="004B63EC">
              <w:rPr>
                <w:rFonts w:ascii="Arial" w:hAnsi="Arial" w:cs="Arial"/>
                <w:b/>
                <w:sz w:val="20"/>
                <w:szCs w:val="20"/>
              </w:rPr>
              <w:t>Rationale for BC Recommendation:</w:t>
            </w:r>
          </w:p>
          <w:p w14:paraId="39856E95" w14:textId="77777777" w:rsidR="00E0740D" w:rsidRPr="004B63EC" w:rsidRDefault="00E0740D">
            <w:pPr>
              <w:rPr>
                <w:rFonts w:ascii="Arial" w:hAnsi="Arial" w:cs="Arial"/>
                <w:sz w:val="20"/>
                <w:szCs w:val="20"/>
              </w:rPr>
            </w:pPr>
          </w:p>
          <w:p w14:paraId="4EF02A09" w14:textId="77777777" w:rsidR="00E0740D" w:rsidRPr="004B63EC" w:rsidRDefault="00E0740D">
            <w:pPr>
              <w:rPr>
                <w:rFonts w:ascii="Arial" w:hAnsi="Arial" w:cs="Arial"/>
                <w:sz w:val="20"/>
                <w:szCs w:val="20"/>
              </w:rPr>
            </w:pPr>
            <w:r w:rsidRPr="004B63EC">
              <w:rPr>
                <w:rFonts w:ascii="Arial" w:hAnsi="Arial" w:cs="Arial"/>
                <w:sz w:val="20"/>
                <w:szCs w:val="20"/>
              </w:rPr>
              <w:t xml:space="preserve">When the ICANN Board eliminated any restrictions on cross ownership or vertical integration, it increased the importance of screening applicants for prior abusive conduct.   </w:t>
            </w:r>
          </w:p>
          <w:p w14:paraId="6E89884A" w14:textId="77777777" w:rsidR="00E0740D" w:rsidRPr="004B63EC" w:rsidRDefault="00E0740D">
            <w:pPr>
              <w:rPr>
                <w:rFonts w:ascii="Arial" w:hAnsi="Arial" w:cs="Arial"/>
                <w:sz w:val="20"/>
                <w:szCs w:val="20"/>
              </w:rPr>
            </w:pPr>
          </w:p>
          <w:p w14:paraId="2D3E63BD" w14:textId="77777777" w:rsidR="00E0740D" w:rsidRPr="004B63EC" w:rsidRDefault="00E0740D">
            <w:pPr>
              <w:rPr>
                <w:rFonts w:ascii="Arial" w:hAnsi="Arial" w:cs="Arial"/>
                <w:sz w:val="20"/>
                <w:szCs w:val="20"/>
              </w:rPr>
            </w:pPr>
            <w:r w:rsidRPr="004B63EC">
              <w:rPr>
                <w:rFonts w:ascii="Arial" w:hAnsi="Arial" w:cs="Arial"/>
                <w:sz w:val="20"/>
                <w:szCs w:val="20"/>
              </w:rPr>
              <w:t xml:space="preserve">The Guidebook includes applicant screening to include disqualification for prior instances of cybersquatting, but only if the applicant or named individuals were involved. Cybersquatting has been documented at affiliates and subsidiaries of the registrars and registries </w:t>
            </w:r>
            <w:proofErr w:type="gramStart"/>
            <w:r w:rsidRPr="004B63EC">
              <w:rPr>
                <w:rFonts w:ascii="Arial" w:hAnsi="Arial" w:cs="Arial"/>
                <w:sz w:val="20"/>
                <w:szCs w:val="20"/>
              </w:rPr>
              <w:t>who</w:t>
            </w:r>
            <w:proofErr w:type="gramEnd"/>
            <w:r w:rsidRPr="004B63EC">
              <w:rPr>
                <w:rFonts w:ascii="Arial" w:hAnsi="Arial" w:cs="Arial"/>
                <w:sz w:val="20"/>
                <w:szCs w:val="20"/>
              </w:rPr>
              <w:t xml:space="preserve"> are likely to be applicants for new gTLDs.  ICANN should expand disqualification criteria to apply to affiliates or subsidiaries of the applicant entity.</w:t>
            </w:r>
          </w:p>
          <w:p w14:paraId="4D851004" w14:textId="77777777" w:rsidR="00E0740D" w:rsidRPr="004B63EC" w:rsidRDefault="00E0740D" w:rsidP="00EA2994">
            <w:pPr>
              <w:rPr>
                <w:rFonts w:ascii="Arial" w:hAnsi="Arial" w:cs="Arial"/>
                <w:sz w:val="20"/>
                <w:szCs w:val="20"/>
              </w:rPr>
            </w:pPr>
          </w:p>
        </w:tc>
      </w:tr>
    </w:tbl>
    <w:p w14:paraId="7B8F60CC" w14:textId="77777777" w:rsidR="00E0740D" w:rsidRPr="004B63EC" w:rsidRDefault="00E0740D" w:rsidP="00EA2994">
      <w:pPr>
        <w:rPr>
          <w:rFonts w:ascii="Arial" w:hAnsi="Arial" w:cs="Arial"/>
          <w:sz w:val="20"/>
          <w:szCs w:val="20"/>
        </w:rPr>
      </w:pPr>
    </w:p>
    <w:p w14:paraId="46817861" w14:textId="77777777" w:rsidR="00E0740D" w:rsidRPr="004B63EC" w:rsidRDefault="00E0740D" w:rsidP="00EA2994">
      <w:pPr>
        <w:rPr>
          <w:rFonts w:ascii="Arial" w:hAnsi="Arial" w:cs="Arial"/>
          <w:sz w:val="20"/>
          <w:szCs w:val="20"/>
        </w:rPr>
      </w:pPr>
    </w:p>
    <w:p w14:paraId="6FF40E42" w14:textId="77777777" w:rsidR="00E0740D" w:rsidRPr="004B63EC" w:rsidRDefault="00E0740D"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4500"/>
      </w:tblGrid>
      <w:tr w:rsidR="00E0740D" w:rsidRPr="004B63EC" w14:paraId="5B1857BC" w14:textId="77777777">
        <w:tc>
          <w:tcPr>
            <w:tcW w:w="8838" w:type="dxa"/>
            <w:gridSpan w:val="2"/>
            <w:shd w:val="clear" w:color="auto" w:fill="E0E0E0"/>
          </w:tcPr>
          <w:p w14:paraId="00D3DED6" w14:textId="77777777" w:rsidR="00E0740D" w:rsidRPr="004B63EC" w:rsidRDefault="00E0740D" w:rsidP="00EA2994">
            <w:pPr>
              <w:rPr>
                <w:rFonts w:ascii="Arial" w:hAnsi="Arial" w:cs="Arial"/>
                <w:sz w:val="20"/>
                <w:szCs w:val="20"/>
              </w:rPr>
            </w:pPr>
            <w:r w:rsidRPr="004B63EC">
              <w:rPr>
                <w:rFonts w:ascii="Arial" w:hAnsi="Arial" w:cs="Arial"/>
                <w:b/>
                <w:sz w:val="20"/>
                <w:szCs w:val="20"/>
              </w:rPr>
              <w:t xml:space="preserve">Module 1: Applicant fees for multiple scripts and languages </w:t>
            </w:r>
          </w:p>
        </w:tc>
      </w:tr>
      <w:tr w:rsidR="00E0740D" w:rsidRPr="004B63EC" w14:paraId="58C96B30" w14:textId="77777777">
        <w:tc>
          <w:tcPr>
            <w:tcW w:w="4338" w:type="dxa"/>
          </w:tcPr>
          <w:p w14:paraId="4FEAB6A4"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00" w:type="dxa"/>
          </w:tcPr>
          <w:p w14:paraId="7A6D93BB"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5FA4DFA1" w14:textId="77777777">
        <w:tc>
          <w:tcPr>
            <w:tcW w:w="4338" w:type="dxa"/>
          </w:tcPr>
          <w:p w14:paraId="4221ECD3" w14:textId="77777777" w:rsidR="00E0740D" w:rsidRPr="004B63EC" w:rsidRDefault="00E0740D" w:rsidP="00EA2994">
            <w:pPr>
              <w:rPr>
                <w:rFonts w:ascii="Arial" w:hAnsi="Arial" w:cs="Arial"/>
                <w:sz w:val="20"/>
                <w:szCs w:val="20"/>
              </w:rPr>
            </w:pPr>
            <w:r w:rsidRPr="004B63EC">
              <w:rPr>
                <w:rFonts w:ascii="Arial" w:hAnsi="Arial" w:cs="Arial"/>
                <w:sz w:val="20"/>
                <w:szCs w:val="20"/>
              </w:rPr>
              <w:t>1.1.2.1    Each application slot is for one gTLD. An applicant may submit as many applications as desired. There is no means to apply for more than one gTLD in a single application.</w:t>
            </w:r>
          </w:p>
          <w:p w14:paraId="2A873312" w14:textId="77777777" w:rsidR="00E0740D" w:rsidRPr="004B63EC" w:rsidRDefault="00E0740D" w:rsidP="00EA2994">
            <w:pPr>
              <w:rPr>
                <w:rFonts w:ascii="Arial" w:hAnsi="Arial" w:cs="Arial"/>
                <w:sz w:val="20"/>
                <w:szCs w:val="20"/>
              </w:rPr>
            </w:pPr>
          </w:p>
        </w:tc>
        <w:tc>
          <w:tcPr>
            <w:tcW w:w="4500" w:type="dxa"/>
          </w:tcPr>
          <w:p w14:paraId="1FBEF9E8" w14:textId="77777777" w:rsidR="00E0740D" w:rsidRPr="004B63EC" w:rsidRDefault="00E0740D" w:rsidP="00EA2994">
            <w:pPr>
              <w:rPr>
                <w:rFonts w:ascii="Arial" w:hAnsi="Arial" w:cs="Arial"/>
                <w:b/>
                <w:sz w:val="20"/>
                <w:szCs w:val="20"/>
              </w:rPr>
            </w:pPr>
            <w:proofErr w:type="gramStart"/>
            <w:r w:rsidRPr="004B63EC">
              <w:rPr>
                <w:rFonts w:ascii="Arial" w:hAnsi="Arial" w:cs="Arial"/>
                <w:sz w:val="20"/>
                <w:szCs w:val="20"/>
              </w:rPr>
              <w:t>add</w:t>
            </w:r>
            <w:proofErr w:type="gramEnd"/>
            <w:r w:rsidRPr="004B63EC">
              <w:rPr>
                <w:rFonts w:ascii="Arial" w:hAnsi="Arial" w:cs="Arial"/>
                <w:sz w:val="20"/>
                <w:szCs w:val="20"/>
              </w:rPr>
              <w:t xml:space="preserve">: </w:t>
            </w:r>
            <w:r w:rsidRPr="004B63EC">
              <w:rPr>
                <w:rFonts w:ascii="Arial" w:hAnsi="Arial" w:cs="Arial"/>
                <w:b/>
                <w:sz w:val="20"/>
                <w:szCs w:val="20"/>
              </w:rPr>
              <w:t>However, applicants may be granted fee reductions for additional versions of the applied-for string in IDN scripts and other languages.</w:t>
            </w:r>
          </w:p>
          <w:p w14:paraId="7C85EDE1" w14:textId="77777777" w:rsidR="00E0740D" w:rsidRPr="004B63EC" w:rsidRDefault="00E0740D" w:rsidP="00EA2994">
            <w:pPr>
              <w:rPr>
                <w:rFonts w:ascii="Arial" w:hAnsi="Arial" w:cs="Arial"/>
                <w:sz w:val="20"/>
                <w:szCs w:val="20"/>
              </w:rPr>
            </w:pPr>
          </w:p>
          <w:p w14:paraId="3903BE36" w14:textId="77777777" w:rsidR="00E0740D" w:rsidRPr="004B63EC" w:rsidRDefault="00E0740D" w:rsidP="00EA2994">
            <w:pPr>
              <w:rPr>
                <w:rFonts w:ascii="Arial" w:hAnsi="Arial" w:cs="Arial"/>
                <w:sz w:val="20"/>
                <w:szCs w:val="20"/>
              </w:rPr>
            </w:pPr>
          </w:p>
        </w:tc>
      </w:tr>
      <w:tr w:rsidR="00E0740D" w:rsidRPr="004B63EC" w14:paraId="5BE76325" w14:textId="77777777">
        <w:trPr>
          <w:trHeight w:val="1052"/>
        </w:trPr>
        <w:tc>
          <w:tcPr>
            <w:tcW w:w="8838" w:type="dxa"/>
            <w:gridSpan w:val="2"/>
          </w:tcPr>
          <w:p w14:paraId="5323FE4D" w14:textId="77777777" w:rsidR="00E0740D" w:rsidRPr="004B63EC" w:rsidRDefault="00E0740D">
            <w:pPr>
              <w:rPr>
                <w:rFonts w:ascii="Arial" w:hAnsi="Arial" w:cs="Arial"/>
                <w:b/>
                <w:sz w:val="20"/>
                <w:szCs w:val="20"/>
              </w:rPr>
            </w:pPr>
            <w:r w:rsidRPr="004B63EC">
              <w:rPr>
                <w:rFonts w:ascii="Arial" w:hAnsi="Arial" w:cs="Arial"/>
                <w:b/>
                <w:sz w:val="20"/>
                <w:szCs w:val="20"/>
              </w:rPr>
              <w:t>Rationale for BC Recommendation:</w:t>
            </w:r>
          </w:p>
          <w:p w14:paraId="26DFAF82" w14:textId="77777777" w:rsidR="00E0740D" w:rsidRPr="004B63EC" w:rsidRDefault="00E0740D" w:rsidP="00EA2994">
            <w:pPr>
              <w:rPr>
                <w:rFonts w:ascii="Arial" w:hAnsi="Arial" w:cs="Arial"/>
                <w:sz w:val="20"/>
                <w:szCs w:val="20"/>
              </w:rPr>
            </w:pPr>
          </w:p>
          <w:p w14:paraId="6E5CD867"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Since 2009, the BC has encouraged ICANN to make it easier for gTLD applicants to offer multiple variations of their TLD string, so long as the variations are legitimate translations or transliterations of the applied-for string.  The Joint Applicant Support WG </w:t>
            </w:r>
            <w:proofErr w:type="gramStart"/>
            <w:r w:rsidRPr="004B63EC">
              <w:rPr>
                <w:rFonts w:ascii="Arial" w:hAnsi="Arial" w:cs="Arial"/>
                <w:sz w:val="20"/>
                <w:szCs w:val="20"/>
              </w:rPr>
              <w:t>recommended</w:t>
            </w:r>
            <w:proofErr w:type="gramEnd"/>
            <w:r w:rsidRPr="004B63EC">
              <w:rPr>
                <w:rFonts w:ascii="Arial" w:hAnsi="Arial" w:cs="Arial"/>
                <w:sz w:val="20"/>
                <w:szCs w:val="20"/>
              </w:rPr>
              <w:t xml:space="preserve"> “Support for Build-out in Underserved Languages and Scripts” (item 2.2.1 in their Milestone Report).  </w:t>
            </w:r>
          </w:p>
          <w:p w14:paraId="7AE6E0E0" w14:textId="77777777" w:rsidR="00E0740D" w:rsidRPr="004B63EC" w:rsidRDefault="00E0740D" w:rsidP="00EA2994">
            <w:pPr>
              <w:rPr>
                <w:rFonts w:ascii="Arial" w:hAnsi="Arial" w:cs="Arial"/>
                <w:sz w:val="20"/>
                <w:szCs w:val="20"/>
              </w:rPr>
            </w:pPr>
          </w:p>
          <w:p w14:paraId="064DDC27"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ICANN should design incentive mechanisms to encourage the build-out of IDNs and underserved language-script communities.  One incentive mechanism could be a reduction of the standard application fee for additional IDN versions and translations of the applied-for string. For example, the applicant </w:t>
            </w:r>
            <w:proofErr w:type="gramStart"/>
            <w:r w:rsidRPr="004B63EC">
              <w:rPr>
                <w:rFonts w:ascii="Arial" w:hAnsi="Arial" w:cs="Arial"/>
                <w:sz w:val="20"/>
                <w:szCs w:val="20"/>
              </w:rPr>
              <w:t>for .museum</w:t>
            </w:r>
            <w:proofErr w:type="gramEnd"/>
            <w:r w:rsidRPr="004B63EC">
              <w:rPr>
                <w:rFonts w:ascii="Arial" w:hAnsi="Arial" w:cs="Arial"/>
                <w:sz w:val="20"/>
                <w:szCs w:val="20"/>
              </w:rPr>
              <w:t xml:space="preserve"> should be allowed to pay one application fee for .museum, plus  a reduced application fee for ".</w:t>
            </w:r>
            <w:proofErr w:type="spellStart"/>
            <w:r w:rsidRPr="004B63EC">
              <w:rPr>
                <w:rFonts w:ascii="Arial" w:hAnsi="Arial" w:cs="Arial"/>
                <w:sz w:val="20"/>
                <w:szCs w:val="20"/>
              </w:rPr>
              <w:t>museo</w:t>
            </w:r>
            <w:proofErr w:type="spellEnd"/>
            <w:r w:rsidRPr="004B63EC">
              <w:rPr>
                <w:rFonts w:ascii="Arial" w:hAnsi="Arial" w:cs="Arial"/>
                <w:sz w:val="20"/>
                <w:szCs w:val="20"/>
              </w:rPr>
              <w:t>".  The applicant could also pay incremental reduced fees for translations or transliterations in Korean, Arabic, etc.</w:t>
            </w:r>
          </w:p>
          <w:p w14:paraId="7403717F" w14:textId="77777777" w:rsidR="00E0740D" w:rsidRPr="004B63EC" w:rsidRDefault="00E0740D" w:rsidP="00EA2994">
            <w:pPr>
              <w:rPr>
                <w:rFonts w:ascii="Arial" w:hAnsi="Arial" w:cs="Arial"/>
                <w:sz w:val="20"/>
                <w:szCs w:val="20"/>
              </w:rPr>
            </w:pPr>
          </w:p>
          <w:p w14:paraId="43261138"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ICANN Board and staff have acknowledged that some applicant processing costs would be avoided when evaluating additional strings from the same applicant. The reduced fee should be set such that all incremental costs are covered by the applicant and not shifted to other applicants. </w:t>
            </w:r>
          </w:p>
          <w:p w14:paraId="266F6364" w14:textId="77777777" w:rsidR="00E0740D" w:rsidRPr="004B63EC" w:rsidRDefault="00E0740D" w:rsidP="00EA2994">
            <w:pPr>
              <w:rPr>
                <w:rFonts w:ascii="Arial" w:hAnsi="Arial" w:cs="Arial"/>
                <w:sz w:val="20"/>
                <w:szCs w:val="20"/>
              </w:rPr>
            </w:pPr>
          </w:p>
          <w:p w14:paraId="1A44C933" w14:textId="77777777" w:rsidR="00E0740D" w:rsidRPr="00775367" w:rsidRDefault="00E0740D" w:rsidP="00EA2994">
            <w:pPr>
              <w:rPr>
                <w:rFonts w:ascii="Arial" w:hAnsi="Arial" w:cs="Arial"/>
                <w:color w:val="0000FF"/>
                <w:sz w:val="20"/>
                <w:szCs w:val="20"/>
              </w:rPr>
            </w:pPr>
            <w:r w:rsidRPr="004B63EC">
              <w:rPr>
                <w:rFonts w:ascii="Arial" w:hAnsi="Arial" w:cs="Arial"/>
                <w:sz w:val="20"/>
                <w:szCs w:val="20"/>
              </w:rPr>
              <w:t>If the applicant is seeking new translations of a current gTLD, the BC continues to believe that all registrants should have the option to register their second level names in all of the linguistic variations offered by that TLD.  For example, the registry agreement should allow the registrant of [trademark]</w:t>
            </w:r>
            <w:proofErr w:type="gramStart"/>
            <w:r w:rsidRPr="004B63EC">
              <w:rPr>
                <w:rFonts w:ascii="Arial" w:hAnsi="Arial" w:cs="Arial"/>
                <w:sz w:val="20"/>
                <w:szCs w:val="20"/>
              </w:rPr>
              <w:t>.museum</w:t>
            </w:r>
            <w:proofErr w:type="gramEnd"/>
            <w:r w:rsidRPr="004B63EC">
              <w:rPr>
                <w:rFonts w:ascii="Arial" w:hAnsi="Arial" w:cs="Arial"/>
                <w:sz w:val="20"/>
                <w:szCs w:val="20"/>
              </w:rPr>
              <w:t xml:space="preserve"> the option to register their equivalent second-level domain in the additional related scripts granted to the TLD operator. </w:t>
            </w:r>
          </w:p>
        </w:tc>
      </w:tr>
    </w:tbl>
    <w:p w14:paraId="56D3766E" w14:textId="77777777" w:rsidR="00E0740D" w:rsidRDefault="00E0740D"/>
    <w:p w14:paraId="09733AB2" w14:textId="77777777" w:rsidR="00E0740D" w:rsidRDefault="00E0740D"/>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16C79FC6" w14:textId="77777777">
        <w:tc>
          <w:tcPr>
            <w:tcW w:w="8838" w:type="dxa"/>
            <w:gridSpan w:val="2"/>
            <w:shd w:val="clear" w:color="auto" w:fill="E0E0E0"/>
          </w:tcPr>
          <w:p w14:paraId="249F8540" w14:textId="77777777" w:rsidR="00E0740D" w:rsidRPr="004B63EC" w:rsidRDefault="00E0740D" w:rsidP="00EA2994">
            <w:pPr>
              <w:rPr>
                <w:rFonts w:ascii="Arial" w:hAnsi="Arial" w:cs="Arial"/>
                <w:sz w:val="20"/>
                <w:szCs w:val="20"/>
              </w:rPr>
            </w:pPr>
            <w:r w:rsidRPr="004B63EC">
              <w:rPr>
                <w:rFonts w:ascii="Arial" w:hAnsi="Arial" w:cs="Arial"/>
                <w:b/>
                <w:sz w:val="20"/>
                <w:szCs w:val="20"/>
              </w:rPr>
              <w:t xml:space="preserve">Module 2: String Similarity Review </w:t>
            </w:r>
          </w:p>
        </w:tc>
      </w:tr>
      <w:tr w:rsidR="00E0740D" w:rsidRPr="004B63EC" w14:paraId="7E23812E" w14:textId="77777777">
        <w:tc>
          <w:tcPr>
            <w:tcW w:w="4248" w:type="dxa"/>
          </w:tcPr>
          <w:p w14:paraId="03493943"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90" w:type="dxa"/>
          </w:tcPr>
          <w:p w14:paraId="2B267A03"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787AEDF3" w14:textId="77777777">
        <w:tc>
          <w:tcPr>
            <w:tcW w:w="4248" w:type="dxa"/>
          </w:tcPr>
          <w:p w14:paraId="331FCC7B" w14:textId="77777777" w:rsidR="00E0740D" w:rsidRPr="004B63EC" w:rsidRDefault="00E0740D" w:rsidP="00EA2994">
            <w:pPr>
              <w:rPr>
                <w:rFonts w:ascii="Arial" w:hAnsi="Arial" w:cs="Arial"/>
                <w:sz w:val="20"/>
                <w:szCs w:val="20"/>
              </w:rPr>
            </w:pPr>
            <w:r w:rsidRPr="004B63EC">
              <w:rPr>
                <w:rFonts w:ascii="Arial" w:hAnsi="Arial" w:cs="Arial"/>
                <w:sz w:val="20"/>
                <w:szCs w:val="20"/>
              </w:rPr>
              <w:t>2.2.1.1 (page 2-5)</w:t>
            </w:r>
          </w:p>
          <w:p w14:paraId="65F44D71" w14:textId="77777777" w:rsidR="00E0740D" w:rsidRPr="004B63EC" w:rsidRDefault="00E0740D" w:rsidP="00EA2994">
            <w:pPr>
              <w:rPr>
                <w:rFonts w:ascii="Arial" w:hAnsi="Arial" w:cs="Arial"/>
                <w:sz w:val="20"/>
                <w:szCs w:val="20"/>
              </w:rPr>
            </w:pPr>
            <w:r w:rsidRPr="004B63EC">
              <w:rPr>
                <w:rFonts w:ascii="Arial" w:hAnsi="Arial" w:cs="Arial"/>
                <w:sz w:val="20"/>
                <w:szCs w:val="20"/>
              </w:rPr>
              <w:t>Similarity to Other Applied-for gTLD Strings (String Contention Sets) – All applied-for gTLD strings will be reviewed against one another to identify any similar strings. In performing this review, the String Similarity Panel will create contention sets....</w:t>
            </w:r>
          </w:p>
          <w:p w14:paraId="684BE22F" w14:textId="77777777" w:rsidR="00E0740D" w:rsidRPr="004B63EC" w:rsidRDefault="00E0740D" w:rsidP="00EA2994">
            <w:pPr>
              <w:rPr>
                <w:rFonts w:ascii="Arial" w:hAnsi="Arial" w:cs="Arial"/>
                <w:sz w:val="20"/>
                <w:szCs w:val="20"/>
              </w:rPr>
            </w:pPr>
          </w:p>
        </w:tc>
        <w:tc>
          <w:tcPr>
            <w:tcW w:w="4590" w:type="dxa"/>
          </w:tcPr>
          <w:p w14:paraId="423101C3" w14:textId="77777777" w:rsidR="00E0740D" w:rsidRPr="004B63EC" w:rsidRDefault="00E0740D" w:rsidP="00EA2994">
            <w:pPr>
              <w:rPr>
                <w:rFonts w:ascii="Arial" w:hAnsi="Arial" w:cs="Arial"/>
                <w:sz w:val="20"/>
                <w:szCs w:val="20"/>
              </w:rPr>
            </w:pPr>
          </w:p>
          <w:p w14:paraId="6D1D63C3" w14:textId="77777777" w:rsidR="00E0740D" w:rsidRPr="004B63EC" w:rsidRDefault="00E0740D" w:rsidP="00EA2994">
            <w:pPr>
              <w:rPr>
                <w:rFonts w:ascii="Arial" w:hAnsi="Arial" w:cs="Arial"/>
                <w:sz w:val="20"/>
                <w:szCs w:val="20"/>
              </w:rPr>
            </w:pPr>
            <w:r w:rsidRPr="004B63EC">
              <w:rPr>
                <w:rFonts w:ascii="Arial" w:hAnsi="Arial" w:cs="Arial"/>
                <w:sz w:val="20"/>
                <w:szCs w:val="20"/>
              </w:rPr>
              <w:t>[</w:t>
            </w:r>
            <w:proofErr w:type="gramStart"/>
            <w:r w:rsidRPr="004B63EC">
              <w:rPr>
                <w:rFonts w:ascii="Arial" w:hAnsi="Arial" w:cs="Arial"/>
                <w:sz w:val="20"/>
                <w:szCs w:val="20"/>
              </w:rPr>
              <w:t>insert</w:t>
            </w:r>
            <w:proofErr w:type="gramEnd"/>
            <w:r w:rsidRPr="004B63EC">
              <w:rPr>
                <w:rFonts w:ascii="Arial" w:hAnsi="Arial" w:cs="Arial"/>
                <w:sz w:val="20"/>
                <w:szCs w:val="20"/>
              </w:rPr>
              <w:t>: ]</w:t>
            </w:r>
          </w:p>
          <w:p w14:paraId="1B892C73" w14:textId="77777777" w:rsidR="00E0740D" w:rsidRPr="004B63EC" w:rsidRDefault="00E0740D" w:rsidP="00EA2994">
            <w:pPr>
              <w:rPr>
                <w:rFonts w:ascii="Arial" w:hAnsi="Arial" w:cs="Arial"/>
                <w:b/>
                <w:sz w:val="20"/>
                <w:szCs w:val="20"/>
              </w:rPr>
            </w:pPr>
            <w:r w:rsidRPr="004B63EC">
              <w:rPr>
                <w:rFonts w:ascii="Arial" w:hAnsi="Arial" w:cs="Arial"/>
                <w:b/>
                <w:sz w:val="20"/>
                <w:szCs w:val="20"/>
              </w:rPr>
              <w:t>String Contention Sets shall not include similar strings requested by a single applicant seeking linguistic variations of the applicant's other applied-for string.</w:t>
            </w:r>
          </w:p>
        </w:tc>
      </w:tr>
      <w:tr w:rsidR="00E0740D" w:rsidRPr="004B63EC" w14:paraId="35316C30" w14:textId="77777777">
        <w:trPr>
          <w:trHeight w:val="1052"/>
        </w:trPr>
        <w:tc>
          <w:tcPr>
            <w:tcW w:w="8838" w:type="dxa"/>
            <w:gridSpan w:val="2"/>
          </w:tcPr>
          <w:p w14:paraId="1F0769A2" w14:textId="77777777" w:rsidR="00E0740D" w:rsidRPr="004B63EC" w:rsidRDefault="00E0740D">
            <w:pPr>
              <w:rPr>
                <w:rFonts w:ascii="Arial" w:hAnsi="Arial" w:cs="Arial"/>
                <w:b/>
                <w:sz w:val="20"/>
                <w:szCs w:val="20"/>
              </w:rPr>
            </w:pPr>
            <w:r w:rsidRPr="004B63EC">
              <w:rPr>
                <w:rFonts w:ascii="Arial" w:hAnsi="Arial" w:cs="Arial"/>
                <w:b/>
                <w:sz w:val="20"/>
                <w:szCs w:val="20"/>
              </w:rPr>
              <w:t>Rationale for BC Recommendation:</w:t>
            </w:r>
          </w:p>
          <w:p w14:paraId="7A6C241F" w14:textId="77777777" w:rsidR="00E0740D" w:rsidRPr="004B63EC" w:rsidRDefault="00E0740D">
            <w:pPr>
              <w:rPr>
                <w:rFonts w:ascii="Arial" w:hAnsi="Arial" w:cs="Arial"/>
                <w:sz w:val="20"/>
                <w:szCs w:val="20"/>
              </w:rPr>
            </w:pPr>
          </w:p>
          <w:p w14:paraId="21B2A2EA"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The BC has consistently recommended making it easier for gTLD applicants to offer multiple variations of their TLD string, so long as the variations are legitimate translations or transliterations of the applied-for string.   For example, an applicant </w:t>
            </w:r>
            <w:proofErr w:type="gramStart"/>
            <w:r w:rsidRPr="004B63EC">
              <w:rPr>
                <w:rFonts w:ascii="Arial" w:hAnsi="Arial" w:cs="Arial"/>
                <w:sz w:val="20"/>
                <w:szCs w:val="20"/>
              </w:rPr>
              <w:t>for .museum</w:t>
            </w:r>
            <w:proofErr w:type="gramEnd"/>
            <w:r w:rsidRPr="004B63EC">
              <w:rPr>
                <w:rFonts w:ascii="Arial" w:hAnsi="Arial" w:cs="Arial"/>
                <w:sz w:val="20"/>
                <w:szCs w:val="20"/>
              </w:rPr>
              <w:t xml:space="preserve"> should be permitted to apply for ".</w:t>
            </w:r>
            <w:proofErr w:type="spellStart"/>
            <w:r w:rsidRPr="004B63EC">
              <w:rPr>
                <w:rFonts w:ascii="Arial" w:hAnsi="Arial" w:cs="Arial"/>
                <w:sz w:val="20"/>
                <w:szCs w:val="20"/>
              </w:rPr>
              <w:t>museo</w:t>
            </w:r>
            <w:proofErr w:type="spellEnd"/>
            <w:r w:rsidRPr="004B63EC">
              <w:rPr>
                <w:rFonts w:ascii="Arial" w:hAnsi="Arial" w:cs="Arial"/>
                <w:sz w:val="20"/>
                <w:szCs w:val="20"/>
              </w:rPr>
              <w:t xml:space="preserve">".  </w:t>
            </w:r>
          </w:p>
          <w:p w14:paraId="5D20A2FA" w14:textId="77777777" w:rsidR="00E0740D" w:rsidRPr="004B63EC" w:rsidRDefault="00E0740D" w:rsidP="00EA2994">
            <w:pPr>
              <w:rPr>
                <w:rFonts w:ascii="Arial" w:hAnsi="Arial" w:cs="Arial"/>
                <w:sz w:val="20"/>
                <w:szCs w:val="20"/>
              </w:rPr>
            </w:pPr>
          </w:p>
          <w:p w14:paraId="481944F6" w14:textId="77777777" w:rsidR="00E0740D" w:rsidRPr="004B63EC" w:rsidRDefault="00E0740D" w:rsidP="00EA2994">
            <w:pPr>
              <w:rPr>
                <w:rFonts w:ascii="Arial" w:hAnsi="Arial" w:cs="Arial"/>
                <w:sz w:val="20"/>
                <w:szCs w:val="20"/>
              </w:rPr>
            </w:pPr>
            <w:r w:rsidRPr="004B63EC">
              <w:rPr>
                <w:rFonts w:ascii="Arial" w:hAnsi="Arial" w:cs="Arial"/>
                <w:sz w:val="20"/>
                <w:szCs w:val="20"/>
              </w:rPr>
              <w:t>But if String Similarity Reviews were strictly applied</w:t>
            </w:r>
            <w:proofErr w:type="gramStart"/>
            <w:r w:rsidRPr="004B63EC">
              <w:rPr>
                <w:rFonts w:ascii="Arial" w:hAnsi="Arial" w:cs="Arial"/>
                <w:sz w:val="20"/>
                <w:szCs w:val="20"/>
              </w:rPr>
              <w:t>, .</w:t>
            </w:r>
            <w:proofErr w:type="spellStart"/>
            <w:r w:rsidRPr="004B63EC">
              <w:rPr>
                <w:rFonts w:ascii="Arial" w:hAnsi="Arial" w:cs="Arial"/>
                <w:sz w:val="20"/>
                <w:szCs w:val="20"/>
              </w:rPr>
              <w:t>museo</w:t>
            </w:r>
            <w:proofErr w:type="spellEnd"/>
            <w:proofErr w:type="gramEnd"/>
            <w:r w:rsidRPr="004B63EC">
              <w:rPr>
                <w:rFonts w:ascii="Arial" w:hAnsi="Arial" w:cs="Arial"/>
                <w:sz w:val="20"/>
                <w:szCs w:val="20"/>
              </w:rPr>
              <w:t xml:space="preserve"> might be placed into a contention set against .museum, even though these strings would be operated by the same applicant, for identical purposes, in multiple languages and/or scripts.</w:t>
            </w:r>
          </w:p>
          <w:p w14:paraId="0C7759AD" w14:textId="77777777" w:rsidR="00E0740D" w:rsidRPr="004B63EC" w:rsidRDefault="00E0740D">
            <w:pPr>
              <w:rPr>
                <w:rFonts w:ascii="Arial" w:hAnsi="Arial" w:cs="Arial"/>
                <w:sz w:val="20"/>
                <w:szCs w:val="20"/>
              </w:rPr>
            </w:pPr>
          </w:p>
          <w:p w14:paraId="59B80030" w14:textId="77777777" w:rsidR="00E0740D" w:rsidRPr="004B63EC" w:rsidRDefault="00E0740D">
            <w:pPr>
              <w:rPr>
                <w:rFonts w:ascii="Arial" w:hAnsi="Arial" w:cs="Arial"/>
                <w:sz w:val="20"/>
                <w:szCs w:val="20"/>
              </w:rPr>
            </w:pPr>
            <w:r w:rsidRPr="004B63EC">
              <w:rPr>
                <w:rFonts w:ascii="Arial" w:hAnsi="Arial" w:cs="Arial"/>
                <w:sz w:val="20"/>
                <w:szCs w:val="20"/>
              </w:rPr>
              <w:t>The BC does not believe that would be a logical or intended result of the String Similarity Review.</w:t>
            </w:r>
          </w:p>
          <w:p w14:paraId="02EC1013" w14:textId="77777777" w:rsidR="00E0740D" w:rsidRPr="004B63EC" w:rsidRDefault="00E0740D">
            <w:pPr>
              <w:rPr>
                <w:rFonts w:ascii="Arial" w:hAnsi="Arial" w:cs="Arial"/>
                <w:sz w:val="20"/>
                <w:szCs w:val="20"/>
              </w:rPr>
            </w:pPr>
          </w:p>
        </w:tc>
      </w:tr>
    </w:tbl>
    <w:p w14:paraId="44104BA0" w14:textId="77777777" w:rsidR="00E0740D" w:rsidRDefault="00E0740D">
      <w:pPr>
        <w:rPr>
          <w:rFonts w:ascii="Arial" w:hAnsi="Arial" w:cs="Arial"/>
          <w:sz w:val="20"/>
          <w:szCs w:val="20"/>
        </w:rPr>
      </w:pPr>
    </w:p>
    <w:p w14:paraId="40320FF8" w14:textId="77777777" w:rsidR="00E0740D" w:rsidRPr="004B63EC" w:rsidRDefault="00E0740D" w:rsidP="00EA2994">
      <w:pPr>
        <w:rPr>
          <w:rFonts w:ascii="Arial" w:hAnsi="Arial" w:cs="Arial"/>
          <w:sz w:val="20"/>
          <w:szCs w:val="20"/>
        </w:rPr>
      </w:pPr>
    </w:p>
    <w:p w14:paraId="5B9B6493" w14:textId="77777777" w:rsidR="00E0740D" w:rsidRPr="004B63EC" w:rsidRDefault="00E0740D">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67A10A50" w14:textId="77777777">
        <w:tc>
          <w:tcPr>
            <w:tcW w:w="8838" w:type="dxa"/>
            <w:gridSpan w:val="2"/>
            <w:shd w:val="clear" w:color="auto" w:fill="E0E0E0"/>
          </w:tcPr>
          <w:p w14:paraId="736E402E" w14:textId="77777777" w:rsidR="00E0740D" w:rsidRPr="004B63EC" w:rsidRDefault="00E0740D" w:rsidP="00EA2994">
            <w:pPr>
              <w:rPr>
                <w:rFonts w:ascii="Arial" w:hAnsi="Arial" w:cs="Arial"/>
                <w:sz w:val="20"/>
                <w:szCs w:val="20"/>
              </w:rPr>
            </w:pPr>
            <w:r w:rsidRPr="004B63EC">
              <w:rPr>
                <w:rFonts w:ascii="Arial" w:hAnsi="Arial" w:cs="Arial"/>
                <w:b/>
                <w:sz w:val="20"/>
                <w:szCs w:val="20"/>
              </w:rPr>
              <w:t>Module 3: Fees paid by applicant to respond to objections</w:t>
            </w:r>
          </w:p>
        </w:tc>
      </w:tr>
      <w:tr w:rsidR="00E0740D" w:rsidRPr="004B63EC" w14:paraId="13348C31" w14:textId="77777777">
        <w:tc>
          <w:tcPr>
            <w:tcW w:w="4248" w:type="dxa"/>
          </w:tcPr>
          <w:p w14:paraId="28158498"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90" w:type="dxa"/>
          </w:tcPr>
          <w:p w14:paraId="5C8C736A"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28811FB6" w14:textId="77777777">
        <w:tc>
          <w:tcPr>
            <w:tcW w:w="4248" w:type="dxa"/>
          </w:tcPr>
          <w:p w14:paraId="61F2EFBE" w14:textId="77777777" w:rsidR="00E0740D" w:rsidRPr="004B63EC" w:rsidRDefault="00E0740D" w:rsidP="00EA2994">
            <w:pPr>
              <w:rPr>
                <w:rFonts w:ascii="Arial" w:hAnsi="Arial" w:cs="Arial"/>
                <w:sz w:val="20"/>
                <w:szCs w:val="20"/>
              </w:rPr>
            </w:pPr>
            <w:r w:rsidRPr="004B63EC">
              <w:rPr>
                <w:rFonts w:ascii="Arial" w:hAnsi="Arial" w:cs="Arial"/>
                <w:sz w:val="20"/>
                <w:szCs w:val="20"/>
              </w:rPr>
              <w:t>3.3.4</w:t>
            </w:r>
            <w:r w:rsidRPr="004B63EC">
              <w:rPr>
                <w:rFonts w:ascii="Arial" w:hAnsi="Arial" w:cs="Arial"/>
                <w:sz w:val="20"/>
                <w:szCs w:val="20"/>
              </w:rPr>
              <w:tab/>
              <w:t>Response Filing Fees.</w:t>
            </w:r>
          </w:p>
          <w:p w14:paraId="3FE431DA" w14:textId="77777777" w:rsidR="00E0740D" w:rsidRPr="004B63EC" w:rsidRDefault="00E0740D" w:rsidP="00EA2994">
            <w:pPr>
              <w:rPr>
                <w:rFonts w:ascii="Arial" w:hAnsi="Arial" w:cs="Arial"/>
                <w:sz w:val="20"/>
                <w:szCs w:val="20"/>
              </w:rPr>
            </w:pPr>
            <w:r w:rsidRPr="004B63EC">
              <w:rPr>
                <w:rFonts w:ascii="Arial" w:hAnsi="Arial" w:cs="Arial"/>
                <w:sz w:val="20"/>
                <w:szCs w:val="20"/>
              </w:rPr>
              <w:t>At the time an applicant files its response, it is required to pay a filing fee in the amount set and published by the relevant DRSP, which will be the same as the filing fee paid by the objector. If the filing fee is not paid, the response will be disregarded, which will result in the objector prevailing.</w:t>
            </w:r>
          </w:p>
          <w:p w14:paraId="30594C44" w14:textId="77777777" w:rsidR="00E0740D" w:rsidRPr="004B63EC" w:rsidRDefault="00E0740D" w:rsidP="00EA2994">
            <w:pPr>
              <w:rPr>
                <w:rFonts w:ascii="Arial" w:hAnsi="Arial" w:cs="Arial"/>
                <w:sz w:val="20"/>
                <w:szCs w:val="20"/>
              </w:rPr>
            </w:pPr>
          </w:p>
        </w:tc>
        <w:tc>
          <w:tcPr>
            <w:tcW w:w="4590" w:type="dxa"/>
          </w:tcPr>
          <w:p w14:paraId="6CCF9EE6" w14:textId="77777777" w:rsidR="00E0740D" w:rsidRPr="004B63EC" w:rsidRDefault="00E0740D" w:rsidP="00EA2994">
            <w:pPr>
              <w:rPr>
                <w:rFonts w:ascii="Arial" w:hAnsi="Arial" w:cs="Arial"/>
                <w:sz w:val="20"/>
                <w:szCs w:val="20"/>
              </w:rPr>
            </w:pPr>
            <w:r w:rsidRPr="004B63EC">
              <w:rPr>
                <w:rFonts w:ascii="Arial" w:hAnsi="Arial" w:cs="Arial"/>
                <w:sz w:val="20"/>
                <w:szCs w:val="20"/>
              </w:rPr>
              <w:t>3.3.4</w:t>
            </w:r>
            <w:r w:rsidRPr="004B63EC">
              <w:rPr>
                <w:rFonts w:ascii="Arial" w:hAnsi="Arial" w:cs="Arial"/>
                <w:sz w:val="20"/>
                <w:szCs w:val="20"/>
              </w:rPr>
              <w:tab/>
              <w:t>DELETE</w:t>
            </w:r>
          </w:p>
          <w:p w14:paraId="740FC15B" w14:textId="77777777" w:rsidR="00E0740D" w:rsidRPr="004B63EC" w:rsidRDefault="00E0740D" w:rsidP="00EA2994">
            <w:pPr>
              <w:rPr>
                <w:rFonts w:ascii="Arial" w:hAnsi="Arial" w:cs="Arial"/>
                <w:sz w:val="20"/>
                <w:szCs w:val="20"/>
              </w:rPr>
            </w:pPr>
          </w:p>
          <w:p w14:paraId="1B79BE2A" w14:textId="77777777" w:rsidR="00E0740D" w:rsidRPr="004B63EC" w:rsidRDefault="00E0740D" w:rsidP="00EA2994">
            <w:pPr>
              <w:rPr>
                <w:rFonts w:ascii="Arial" w:hAnsi="Arial" w:cs="Arial"/>
                <w:sz w:val="20"/>
                <w:szCs w:val="20"/>
              </w:rPr>
            </w:pPr>
          </w:p>
        </w:tc>
      </w:tr>
      <w:tr w:rsidR="00E0740D" w:rsidRPr="004B63EC" w14:paraId="0BA7AF85" w14:textId="77777777">
        <w:trPr>
          <w:trHeight w:val="1052"/>
        </w:trPr>
        <w:tc>
          <w:tcPr>
            <w:tcW w:w="8838" w:type="dxa"/>
            <w:gridSpan w:val="2"/>
          </w:tcPr>
          <w:p w14:paraId="7CAA4368" w14:textId="77777777" w:rsidR="00E0740D" w:rsidRPr="004B63EC" w:rsidRDefault="00E0740D">
            <w:pPr>
              <w:rPr>
                <w:rFonts w:ascii="Arial" w:hAnsi="Arial" w:cs="Arial"/>
                <w:b/>
                <w:sz w:val="20"/>
                <w:szCs w:val="20"/>
              </w:rPr>
            </w:pPr>
            <w:r w:rsidRPr="004B63EC">
              <w:rPr>
                <w:rFonts w:ascii="Arial" w:hAnsi="Arial" w:cs="Arial"/>
                <w:b/>
                <w:sz w:val="20"/>
                <w:szCs w:val="20"/>
              </w:rPr>
              <w:t>Rationale for BC Recommendation:</w:t>
            </w:r>
          </w:p>
          <w:p w14:paraId="2AE8F920" w14:textId="77777777" w:rsidR="00E0740D" w:rsidRPr="004B63EC" w:rsidRDefault="00E0740D">
            <w:pPr>
              <w:rPr>
                <w:rFonts w:ascii="Arial" w:hAnsi="Arial" w:cs="Arial"/>
                <w:sz w:val="20"/>
                <w:szCs w:val="20"/>
              </w:rPr>
            </w:pPr>
          </w:p>
          <w:p w14:paraId="46A9FC58" w14:textId="77777777" w:rsidR="00E0740D" w:rsidRPr="004B63EC" w:rsidRDefault="00E0740D" w:rsidP="00EA2994">
            <w:pPr>
              <w:rPr>
                <w:rFonts w:ascii="Arial" w:hAnsi="Arial" w:cs="Arial"/>
                <w:sz w:val="20"/>
                <w:szCs w:val="20"/>
              </w:rPr>
            </w:pPr>
            <w:r w:rsidRPr="004B63EC">
              <w:rPr>
                <w:rFonts w:ascii="Arial" w:hAnsi="Arial" w:cs="Arial"/>
                <w:sz w:val="20"/>
                <w:szCs w:val="20"/>
              </w:rPr>
              <w:t>Applicants are rightly expected to underwrite the draw on ICANN resources triggered by seeking a gTLD or by objectors asking that the application be denied.  However, if an application is contested, it ought not trigger a second fee just so that the applicant can defend the rationale already included in their original application.</w:t>
            </w:r>
          </w:p>
          <w:p w14:paraId="02428CE5"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 </w:t>
            </w:r>
          </w:p>
          <w:p w14:paraId="4E23E743" w14:textId="77777777" w:rsidR="00E0740D" w:rsidRPr="004B63EC" w:rsidRDefault="00E0740D">
            <w:pPr>
              <w:rPr>
                <w:rFonts w:ascii="Arial" w:hAnsi="Arial" w:cs="Arial"/>
                <w:sz w:val="20"/>
                <w:szCs w:val="20"/>
              </w:rPr>
            </w:pPr>
            <w:r w:rsidRPr="004B63EC">
              <w:rPr>
                <w:rFonts w:ascii="Arial" w:hAnsi="Arial" w:cs="Arial"/>
                <w:sz w:val="20"/>
                <w:szCs w:val="20"/>
              </w:rPr>
              <w:t>This is made more appropriate in as much as, in the applicant guidebook, ICANN notes that some objections may be frivolous.</w:t>
            </w:r>
          </w:p>
          <w:p w14:paraId="526BC66A" w14:textId="77777777" w:rsidR="00E0740D" w:rsidRPr="004B63EC" w:rsidRDefault="00E0740D">
            <w:pPr>
              <w:rPr>
                <w:rFonts w:ascii="Arial" w:hAnsi="Arial" w:cs="Arial"/>
                <w:sz w:val="20"/>
                <w:szCs w:val="20"/>
              </w:rPr>
            </w:pPr>
          </w:p>
        </w:tc>
      </w:tr>
    </w:tbl>
    <w:p w14:paraId="3B054115" w14:textId="77777777" w:rsidR="00E0740D" w:rsidRPr="004B63EC" w:rsidRDefault="00E0740D">
      <w:pPr>
        <w:rPr>
          <w:rFonts w:ascii="Arial" w:hAnsi="Arial" w:cs="Arial"/>
          <w:sz w:val="20"/>
          <w:szCs w:val="20"/>
        </w:rPr>
      </w:pPr>
    </w:p>
    <w:p w14:paraId="539E8C35" w14:textId="77777777" w:rsidR="00E0740D" w:rsidRPr="004B63EC" w:rsidRDefault="00E06B04">
      <w:pPr>
        <w:rPr>
          <w:rFonts w:ascii="Arial" w:hAnsi="Arial" w:cs="Arial"/>
          <w:sz w:val="20"/>
          <w:szCs w:val="20"/>
        </w:rPr>
      </w:pPr>
      <w:r>
        <w:rPr>
          <w:rFonts w:ascii="Arial" w:hAnsi="Arial" w:cs="Arial"/>
          <w:sz w:val="20"/>
          <w:szCs w:val="20"/>
        </w:rPr>
        <w:br w:type="page"/>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32BA3CD2" w14:textId="77777777">
        <w:tc>
          <w:tcPr>
            <w:tcW w:w="8838" w:type="dxa"/>
            <w:gridSpan w:val="2"/>
            <w:shd w:val="clear" w:color="auto" w:fill="E0E0E0"/>
          </w:tcPr>
          <w:p w14:paraId="0475B555" w14:textId="77777777" w:rsidR="00E0740D" w:rsidRPr="004B63EC" w:rsidRDefault="00E0740D" w:rsidP="00EA2994">
            <w:pPr>
              <w:rPr>
                <w:rFonts w:ascii="Arial" w:hAnsi="Arial" w:cs="Arial"/>
                <w:sz w:val="20"/>
                <w:szCs w:val="20"/>
              </w:rPr>
            </w:pPr>
            <w:r w:rsidRPr="004B63EC">
              <w:rPr>
                <w:rFonts w:ascii="Arial" w:hAnsi="Arial" w:cs="Arial"/>
                <w:b/>
                <w:sz w:val="20"/>
                <w:szCs w:val="20"/>
              </w:rPr>
              <w:t xml:space="preserve">Module 4: Community Priority in String </w:t>
            </w:r>
            <w:proofErr w:type="gramStart"/>
            <w:r w:rsidRPr="004B63EC">
              <w:rPr>
                <w:rFonts w:ascii="Arial" w:hAnsi="Arial" w:cs="Arial"/>
                <w:b/>
                <w:sz w:val="20"/>
                <w:szCs w:val="20"/>
              </w:rPr>
              <w:t xml:space="preserve">Contention      </w:t>
            </w:r>
            <w:proofErr w:type="gramEnd"/>
          </w:p>
        </w:tc>
      </w:tr>
      <w:tr w:rsidR="00E0740D" w:rsidRPr="004B63EC" w14:paraId="34FC3967" w14:textId="77777777">
        <w:tc>
          <w:tcPr>
            <w:tcW w:w="4248" w:type="dxa"/>
          </w:tcPr>
          <w:p w14:paraId="2DBC0DF2"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90" w:type="dxa"/>
          </w:tcPr>
          <w:p w14:paraId="226FC599"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372BBC82" w14:textId="77777777">
        <w:tc>
          <w:tcPr>
            <w:tcW w:w="4248" w:type="dxa"/>
          </w:tcPr>
          <w:p w14:paraId="4B32EE72" w14:textId="77777777" w:rsidR="00E0740D" w:rsidRPr="004B63EC" w:rsidRDefault="00E0740D" w:rsidP="00EA2994">
            <w:pPr>
              <w:rPr>
                <w:rFonts w:ascii="Arial" w:hAnsi="Arial" w:cs="Arial"/>
                <w:sz w:val="20"/>
                <w:szCs w:val="20"/>
              </w:rPr>
            </w:pPr>
            <w:r w:rsidRPr="004B63EC">
              <w:rPr>
                <w:rFonts w:ascii="Arial" w:hAnsi="Arial" w:cs="Arial"/>
                <w:sz w:val="20"/>
                <w:szCs w:val="20"/>
              </w:rPr>
              <w:t>4.2.3</w:t>
            </w:r>
            <w:r w:rsidRPr="004B63EC">
              <w:rPr>
                <w:rFonts w:ascii="Arial" w:hAnsi="Arial" w:cs="Arial"/>
                <w:sz w:val="20"/>
                <w:szCs w:val="20"/>
              </w:rPr>
              <w:tab/>
              <w:t xml:space="preserve">Eligibility for Community Priority </w:t>
            </w:r>
          </w:p>
          <w:p w14:paraId="7BF276EF" w14:textId="77777777" w:rsidR="00E0740D" w:rsidRPr="004B63EC" w:rsidRDefault="00E0740D" w:rsidP="00EA2994">
            <w:pPr>
              <w:rPr>
                <w:rFonts w:ascii="Arial" w:hAnsi="Arial" w:cs="Arial"/>
                <w:sz w:val="20"/>
                <w:szCs w:val="20"/>
              </w:rPr>
            </w:pPr>
            <w:r w:rsidRPr="004B63EC">
              <w:rPr>
                <w:rFonts w:ascii="Arial" w:hAnsi="Arial" w:cs="Arial"/>
                <w:sz w:val="20"/>
                <w:szCs w:val="20"/>
              </w:rPr>
              <w:t>An application must score at least 14 points to prevail in a community priority evaluation.</w:t>
            </w:r>
          </w:p>
          <w:p w14:paraId="1FC9A1C4" w14:textId="77777777" w:rsidR="00E0740D" w:rsidRPr="004B63EC" w:rsidRDefault="00E0740D" w:rsidP="00EA2994">
            <w:pPr>
              <w:rPr>
                <w:rFonts w:ascii="Arial" w:hAnsi="Arial" w:cs="Arial"/>
                <w:sz w:val="20"/>
                <w:szCs w:val="20"/>
              </w:rPr>
            </w:pPr>
          </w:p>
        </w:tc>
        <w:tc>
          <w:tcPr>
            <w:tcW w:w="4590" w:type="dxa"/>
          </w:tcPr>
          <w:p w14:paraId="154FA842" w14:textId="77777777" w:rsidR="00E0740D" w:rsidRPr="004B63EC" w:rsidRDefault="00E0740D" w:rsidP="00EA2994">
            <w:pPr>
              <w:rPr>
                <w:rFonts w:ascii="Arial" w:hAnsi="Arial" w:cs="Arial"/>
                <w:b/>
                <w:sz w:val="20"/>
                <w:szCs w:val="20"/>
              </w:rPr>
            </w:pPr>
          </w:p>
          <w:p w14:paraId="2BF6AD77"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An application must score at least </w:t>
            </w:r>
            <w:r w:rsidRPr="004B63EC">
              <w:rPr>
                <w:rFonts w:ascii="Arial" w:hAnsi="Arial" w:cs="Arial"/>
                <w:b/>
                <w:sz w:val="20"/>
                <w:szCs w:val="20"/>
              </w:rPr>
              <w:t xml:space="preserve">13 </w:t>
            </w:r>
            <w:r w:rsidRPr="004B63EC">
              <w:rPr>
                <w:rFonts w:ascii="Arial" w:hAnsi="Arial" w:cs="Arial"/>
                <w:sz w:val="20"/>
                <w:szCs w:val="20"/>
              </w:rPr>
              <w:t>points to prevail in a community priority evaluation.</w:t>
            </w:r>
          </w:p>
          <w:p w14:paraId="31697EA1" w14:textId="77777777" w:rsidR="00E0740D" w:rsidRPr="004B63EC" w:rsidRDefault="00E0740D" w:rsidP="00EA2994">
            <w:pPr>
              <w:rPr>
                <w:rFonts w:ascii="Arial" w:hAnsi="Arial" w:cs="Arial"/>
                <w:b/>
                <w:sz w:val="20"/>
                <w:szCs w:val="20"/>
              </w:rPr>
            </w:pPr>
          </w:p>
        </w:tc>
      </w:tr>
      <w:tr w:rsidR="00E0740D" w:rsidRPr="004B63EC" w14:paraId="697458F3" w14:textId="77777777">
        <w:trPr>
          <w:trHeight w:val="530"/>
        </w:trPr>
        <w:tc>
          <w:tcPr>
            <w:tcW w:w="8838" w:type="dxa"/>
            <w:gridSpan w:val="2"/>
          </w:tcPr>
          <w:p w14:paraId="23EB8EC9" w14:textId="77777777" w:rsidR="00E0740D" w:rsidRPr="004B63EC" w:rsidRDefault="00E0740D">
            <w:pPr>
              <w:rPr>
                <w:rFonts w:ascii="Arial" w:hAnsi="Arial" w:cs="Arial"/>
                <w:b/>
                <w:sz w:val="20"/>
                <w:szCs w:val="20"/>
              </w:rPr>
            </w:pPr>
            <w:r w:rsidRPr="004B63EC">
              <w:rPr>
                <w:rFonts w:ascii="Arial" w:hAnsi="Arial" w:cs="Arial"/>
                <w:b/>
                <w:sz w:val="20"/>
                <w:szCs w:val="20"/>
              </w:rPr>
              <w:t>Rationale for BC Recommendation:</w:t>
            </w:r>
          </w:p>
          <w:p w14:paraId="1ED17A68" w14:textId="77777777" w:rsidR="00E0740D" w:rsidRPr="004B63EC" w:rsidRDefault="00E0740D">
            <w:pPr>
              <w:rPr>
                <w:rFonts w:ascii="Arial" w:hAnsi="Arial" w:cs="Arial"/>
                <w:sz w:val="20"/>
                <w:szCs w:val="20"/>
              </w:rPr>
            </w:pPr>
          </w:p>
          <w:p w14:paraId="6551A2E6"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Name space expansion should create </w:t>
            </w:r>
            <w:proofErr w:type="gramStart"/>
            <w:r w:rsidRPr="004B63EC">
              <w:rPr>
                <w:rFonts w:ascii="Arial" w:hAnsi="Arial" w:cs="Arial"/>
                <w:sz w:val="20"/>
                <w:szCs w:val="20"/>
              </w:rPr>
              <w:t>added-value</w:t>
            </w:r>
            <w:proofErr w:type="gramEnd"/>
            <w:r w:rsidRPr="004B63EC">
              <w:rPr>
                <w:rFonts w:ascii="Arial" w:hAnsi="Arial" w:cs="Arial"/>
                <w:sz w:val="20"/>
                <w:szCs w:val="20"/>
              </w:rPr>
              <w:t xml:space="preserve">.  Where there is </w:t>
            </w:r>
            <w:proofErr w:type="gramStart"/>
            <w:r w:rsidRPr="004B63EC">
              <w:rPr>
                <w:rFonts w:ascii="Arial" w:hAnsi="Arial" w:cs="Arial"/>
                <w:sz w:val="20"/>
                <w:szCs w:val="20"/>
              </w:rPr>
              <w:t>added-value</w:t>
            </w:r>
            <w:proofErr w:type="gramEnd"/>
            <w:r w:rsidRPr="004B63EC">
              <w:rPr>
                <w:rFonts w:ascii="Arial" w:hAnsi="Arial" w:cs="Arial"/>
                <w:sz w:val="20"/>
                <w:szCs w:val="20"/>
              </w:rPr>
              <w:t xml:space="preserve"> there will be genuine user demand – not just defensive registrations—and expansion will enhance choice and competition in the global public interest. </w:t>
            </w:r>
          </w:p>
          <w:p w14:paraId="07E33776" w14:textId="77777777" w:rsidR="00E0740D" w:rsidRPr="004B63EC" w:rsidRDefault="00E0740D" w:rsidP="00EA2994">
            <w:pPr>
              <w:rPr>
                <w:rFonts w:ascii="Arial" w:hAnsi="Arial" w:cs="Arial"/>
                <w:sz w:val="20"/>
                <w:szCs w:val="20"/>
              </w:rPr>
            </w:pPr>
          </w:p>
          <w:p w14:paraId="32D35E8B"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In a global market economy added-value means differentiation from other gTLDs while providing competition for existing gTLDs. The BC supports the concept of community TLDs as the optimal way to expand the name space because they create this sort of added-value competition.  </w:t>
            </w:r>
          </w:p>
          <w:p w14:paraId="71DEC892" w14:textId="77777777" w:rsidR="00E0740D" w:rsidRPr="004B63EC" w:rsidRDefault="00E0740D" w:rsidP="00EA2994">
            <w:pPr>
              <w:rPr>
                <w:rFonts w:ascii="Arial" w:hAnsi="Arial" w:cs="Arial"/>
                <w:sz w:val="20"/>
                <w:szCs w:val="20"/>
              </w:rPr>
            </w:pPr>
          </w:p>
          <w:p w14:paraId="0AC16D39"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However, the intention of Community Priority will not be realized if Community applicants cannot reasonably reach the </w:t>
            </w:r>
            <w:proofErr w:type="gramStart"/>
            <w:r w:rsidRPr="004B63EC">
              <w:rPr>
                <w:rFonts w:ascii="Arial" w:hAnsi="Arial" w:cs="Arial"/>
                <w:sz w:val="20"/>
                <w:szCs w:val="20"/>
              </w:rPr>
              <w:t>14 point</w:t>
            </w:r>
            <w:proofErr w:type="gramEnd"/>
            <w:r w:rsidRPr="004B63EC">
              <w:rPr>
                <w:rFonts w:ascii="Arial" w:hAnsi="Arial" w:cs="Arial"/>
                <w:sz w:val="20"/>
                <w:szCs w:val="20"/>
              </w:rPr>
              <w:t xml:space="preserve"> threshold.  For instance, just 2 objection filings would make it impossible for an applicant to achieve the required14 points. The BC remains unconvinced that staff has adequately analyzed the possibility and probabilities of applicants reaching 14 points.  </w:t>
            </w:r>
          </w:p>
          <w:p w14:paraId="3987D1A4" w14:textId="77777777" w:rsidR="00E0740D" w:rsidRPr="004B63EC" w:rsidRDefault="00E0740D" w:rsidP="00EA2994">
            <w:pPr>
              <w:rPr>
                <w:rFonts w:ascii="Arial" w:hAnsi="Arial" w:cs="Arial"/>
                <w:sz w:val="20"/>
                <w:szCs w:val="20"/>
              </w:rPr>
            </w:pPr>
          </w:p>
          <w:p w14:paraId="2A824151"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Moreover, other stakeholder groups have supported a </w:t>
            </w:r>
            <w:proofErr w:type="gramStart"/>
            <w:r w:rsidRPr="004B63EC">
              <w:rPr>
                <w:rFonts w:ascii="Arial" w:hAnsi="Arial" w:cs="Arial"/>
                <w:sz w:val="20"/>
                <w:szCs w:val="20"/>
              </w:rPr>
              <w:t>13 point</w:t>
            </w:r>
            <w:proofErr w:type="gramEnd"/>
            <w:r w:rsidRPr="004B63EC">
              <w:rPr>
                <w:rFonts w:ascii="Arial" w:hAnsi="Arial" w:cs="Arial"/>
                <w:sz w:val="20"/>
                <w:szCs w:val="20"/>
              </w:rPr>
              <w:t xml:space="preserve"> minimum score.  See page 91 of Summary of Comments DAG v4:</w:t>
            </w:r>
          </w:p>
          <w:p w14:paraId="621097DE" w14:textId="77777777" w:rsidR="00E0740D" w:rsidRPr="004B63EC" w:rsidRDefault="00E0740D" w:rsidP="00EA2994">
            <w:pPr>
              <w:rPr>
                <w:rFonts w:ascii="Arial" w:hAnsi="Arial" w:cs="Arial"/>
                <w:sz w:val="20"/>
                <w:szCs w:val="20"/>
              </w:rPr>
            </w:pPr>
          </w:p>
          <w:p w14:paraId="319EF884" w14:textId="77777777" w:rsidR="00E0740D" w:rsidRPr="004B63EC" w:rsidRDefault="00E0740D" w:rsidP="00EA2994">
            <w:pPr>
              <w:ind w:left="720"/>
              <w:rPr>
                <w:rFonts w:ascii="Arial" w:hAnsi="Arial" w:cs="Arial"/>
                <w:sz w:val="20"/>
                <w:szCs w:val="20"/>
              </w:rPr>
            </w:pPr>
            <w:r w:rsidRPr="004B63EC">
              <w:rPr>
                <w:rFonts w:ascii="Arial" w:hAnsi="Arial" w:cs="Arial"/>
                <w:sz w:val="20"/>
                <w:szCs w:val="20"/>
              </w:rPr>
              <w:t xml:space="preserve">Community priority evaluation—revisit standards.  </w:t>
            </w:r>
          </w:p>
          <w:p w14:paraId="3AB0A3C4" w14:textId="77777777" w:rsidR="00E0740D" w:rsidRPr="004B63EC" w:rsidRDefault="00E0740D" w:rsidP="00EA2994">
            <w:pPr>
              <w:ind w:left="720"/>
              <w:rPr>
                <w:rFonts w:ascii="Arial" w:hAnsi="Arial" w:cs="Arial"/>
                <w:sz w:val="20"/>
                <w:szCs w:val="20"/>
              </w:rPr>
            </w:pPr>
            <w:r w:rsidRPr="004B63EC">
              <w:rPr>
                <w:rFonts w:ascii="Arial" w:hAnsi="Arial" w:cs="Arial"/>
                <w:sz w:val="20"/>
                <w:szCs w:val="20"/>
              </w:rPr>
              <w:t xml:space="preserve">ICANN staff should revisit the community priority evaluation standard. Previous </w:t>
            </w:r>
            <w:proofErr w:type="gramStart"/>
            <w:r w:rsidRPr="004B63EC">
              <w:rPr>
                <w:rFonts w:ascii="Arial" w:hAnsi="Arial" w:cs="Arial"/>
                <w:sz w:val="20"/>
                <w:szCs w:val="20"/>
              </w:rPr>
              <w:t>public  comments</w:t>
            </w:r>
            <w:proofErr w:type="gramEnd"/>
            <w:r w:rsidRPr="004B63EC">
              <w:rPr>
                <w:rFonts w:ascii="Arial" w:hAnsi="Arial" w:cs="Arial"/>
                <w:sz w:val="20"/>
                <w:szCs w:val="20"/>
              </w:rPr>
              <w:t xml:space="preserve"> overwhelmingly sided with the 13 joint threshold. ICANN staff has not satisfactorily explained the basis for its insistence on a 14 joint threshold, which will be almost impossible for most community applications to achieve. COA (21 July 2010). </w:t>
            </w:r>
          </w:p>
          <w:p w14:paraId="25875871" w14:textId="77777777" w:rsidR="00E0740D" w:rsidRPr="004B63EC" w:rsidRDefault="00E0740D" w:rsidP="00EA2994">
            <w:pPr>
              <w:ind w:left="720"/>
              <w:rPr>
                <w:rFonts w:ascii="Arial" w:hAnsi="Arial" w:cs="Arial"/>
                <w:sz w:val="20"/>
                <w:szCs w:val="20"/>
              </w:rPr>
            </w:pPr>
          </w:p>
          <w:p w14:paraId="5458B068" w14:textId="77777777" w:rsidR="00E0740D" w:rsidRPr="004B63EC" w:rsidRDefault="00E0740D" w:rsidP="00EA2994">
            <w:pPr>
              <w:ind w:left="720"/>
              <w:rPr>
                <w:rFonts w:ascii="Arial" w:hAnsi="Arial" w:cs="Arial"/>
                <w:sz w:val="20"/>
                <w:szCs w:val="20"/>
              </w:rPr>
            </w:pPr>
            <w:r w:rsidRPr="004B63EC">
              <w:rPr>
                <w:rFonts w:ascii="Arial" w:hAnsi="Arial" w:cs="Arial"/>
                <w:sz w:val="20"/>
                <w:szCs w:val="20"/>
              </w:rPr>
              <w:t>IPC has also supported a lowered threshold in multiple comments over the various DAGs</w:t>
            </w:r>
          </w:p>
        </w:tc>
      </w:tr>
    </w:tbl>
    <w:p w14:paraId="2F8553F2" w14:textId="77777777" w:rsidR="00E0740D" w:rsidRPr="004B63EC" w:rsidRDefault="00E0740D" w:rsidP="00B726CC">
      <w:pPr>
        <w:rPr>
          <w:rFonts w:ascii="Arial" w:hAnsi="Arial" w:cs="Arial"/>
          <w:sz w:val="20"/>
          <w:szCs w:val="20"/>
        </w:rPr>
      </w:pPr>
    </w:p>
    <w:p w14:paraId="28F23372" w14:textId="77777777" w:rsidR="00E0740D" w:rsidRPr="004B63EC" w:rsidRDefault="00E06B04">
      <w:pPr>
        <w:pBdr>
          <w:bottom w:val="single" w:sz="12" w:space="1" w:color="auto"/>
        </w:pBdr>
        <w:rPr>
          <w:rFonts w:ascii="Arial" w:hAnsi="Arial" w:cs="Arial"/>
          <w:sz w:val="20"/>
          <w:szCs w:val="20"/>
        </w:rPr>
      </w:pPr>
      <w:r>
        <w:rPr>
          <w:rFonts w:ascii="Arial" w:hAnsi="Arial" w:cs="Arial"/>
          <w:sz w:val="20"/>
          <w:szCs w:val="20"/>
        </w:rPr>
        <w:br w:type="page"/>
      </w:r>
      <w:r w:rsidR="00E0740D" w:rsidRPr="004B63EC">
        <w:rPr>
          <w:rFonts w:ascii="Arial" w:hAnsi="Arial" w:cs="Arial"/>
          <w:sz w:val="20"/>
          <w:szCs w:val="20"/>
        </w:rPr>
        <w:t>The next section of comments regards flex</w:t>
      </w:r>
      <w:r w:rsidR="00D7733A">
        <w:rPr>
          <w:rFonts w:ascii="Arial" w:hAnsi="Arial" w:cs="Arial"/>
          <w:sz w:val="20"/>
          <w:szCs w:val="20"/>
        </w:rPr>
        <w:t>ibility for single-</w:t>
      </w:r>
      <w:r w:rsidR="00E0740D" w:rsidRPr="004B63EC">
        <w:rPr>
          <w:rFonts w:ascii="Arial" w:hAnsi="Arial" w:cs="Arial"/>
          <w:sz w:val="20"/>
          <w:szCs w:val="20"/>
        </w:rPr>
        <w:t>registrant (</w:t>
      </w:r>
      <w:r w:rsidR="00D7733A">
        <w:rPr>
          <w:rFonts w:ascii="Arial" w:hAnsi="Arial" w:cs="Arial"/>
          <w:sz w:val="20"/>
          <w:szCs w:val="20"/>
        </w:rPr>
        <w:t>sometimes called “</w:t>
      </w:r>
      <w:r w:rsidR="00E0740D" w:rsidRPr="004B63EC">
        <w:rPr>
          <w:rFonts w:ascii="Arial" w:hAnsi="Arial" w:cs="Arial"/>
          <w:sz w:val="20"/>
          <w:szCs w:val="20"/>
        </w:rPr>
        <w:t>dot-brand</w:t>
      </w:r>
      <w:r w:rsidR="00D7733A">
        <w:rPr>
          <w:rFonts w:ascii="Arial" w:hAnsi="Arial" w:cs="Arial"/>
          <w:sz w:val="20"/>
          <w:szCs w:val="20"/>
        </w:rPr>
        <w:t>”</w:t>
      </w:r>
      <w:r w:rsidR="00E0740D" w:rsidRPr="004B63EC">
        <w:rPr>
          <w:rFonts w:ascii="Arial" w:hAnsi="Arial" w:cs="Arial"/>
          <w:sz w:val="20"/>
          <w:szCs w:val="20"/>
        </w:rPr>
        <w:t>) TLDs.   In Aug-2010, the BC submitted this statement regarding dot-brand TLDs, as part of the public comment process for the Vertical Integration PDP:</w:t>
      </w:r>
    </w:p>
    <w:p w14:paraId="6EAC6FA8" w14:textId="77777777" w:rsidR="00E0740D" w:rsidRPr="004B63EC" w:rsidRDefault="00E0740D">
      <w:pPr>
        <w:pBdr>
          <w:bottom w:val="single" w:sz="12" w:space="1" w:color="auto"/>
        </w:pBdr>
        <w:rPr>
          <w:rFonts w:ascii="Arial" w:hAnsi="Arial" w:cs="Arial"/>
          <w:sz w:val="20"/>
          <w:szCs w:val="20"/>
        </w:rPr>
      </w:pPr>
    </w:p>
    <w:p w14:paraId="684478AA"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bCs/>
          <w:color w:val="000000"/>
          <w:sz w:val="20"/>
          <w:szCs w:val="20"/>
        </w:rPr>
      </w:pPr>
      <w:r w:rsidRPr="004B63EC">
        <w:rPr>
          <w:rFonts w:ascii="Arial" w:eastAsia="Times New Roman" w:hAnsi="Arial" w:cs="Arial"/>
          <w:b/>
          <w:bCs/>
          <w:color w:val="000000"/>
          <w:sz w:val="20"/>
          <w:szCs w:val="20"/>
        </w:rPr>
        <w:t>Clarification of BC position on BC Recommendation 2:</w:t>
      </w:r>
    </w:p>
    <w:p w14:paraId="25D5FCAF"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color w:val="000000"/>
          <w:sz w:val="20"/>
          <w:szCs w:val="20"/>
        </w:rPr>
      </w:pPr>
      <w:r w:rsidRPr="004B63EC">
        <w:rPr>
          <w:rFonts w:ascii="Arial" w:eastAsia="Times New Roman" w:hAnsi="Arial" w:cs="Arial"/>
          <w:color w:val="000000"/>
          <w:sz w:val="20"/>
          <w:szCs w:val="20"/>
        </w:rPr>
        <w:t>The second recommendation from the BC September 2009 position supports a narrow exception for registries operated by a single registrant that is distributing second level names for internal use:</w:t>
      </w:r>
    </w:p>
    <w:p w14:paraId="1D4B80C5"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Times New Roman" w:hAnsi="Arial" w:cs="Arial"/>
          <w:i/>
          <w:iCs/>
          <w:color w:val="000000"/>
          <w:sz w:val="20"/>
          <w:szCs w:val="20"/>
        </w:rPr>
      </w:pPr>
      <w:r w:rsidRPr="004B63EC">
        <w:rPr>
          <w:rFonts w:ascii="Arial" w:eastAsia="Times New Roman" w:hAnsi="Arial" w:cs="Arial"/>
          <w:i/>
          <w:iCs/>
          <w:color w:val="000000"/>
          <w:sz w:val="20"/>
          <w:szCs w:val="20"/>
        </w:rPr>
        <w:t>BC position (closed markets)</w:t>
      </w:r>
    </w:p>
    <w:p w14:paraId="7497CC12"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It is possible that in the forthcoming expansion of domain names there will be proprietary domain names </w:t>
      </w:r>
      <w:r w:rsidRPr="004B63EC">
        <w:rPr>
          <w:rFonts w:ascii="Arial" w:eastAsia="Times New Roman" w:hAnsi="Arial" w:cs="Arial"/>
          <w:b/>
          <w:bCs/>
          <w:color w:val="000000"/>
          <w:sz w:val="20"/>
          <w:szCs w:val="20"/>
        </w:rPr>
        <w:t xml:space="preserve">not for sale to the general public </w:t>
      </w:r>
      <w:r w:rsidRPr="004B63EC">
        <w:rPr>
          <w:rFonts w:ascii="Arial" w:eastAsia="Times New Roman" w:hAnsi="Arial" w:cs="Arial"/>
          <w:color w:val="000000"/>
          <w:sz w:val="20"/>
          <w:szCs w:val="20"/>
        </w:rPr>
        <w:t xml:space="preserve">(eg dot </w:t>
      </w:r>
      <w:r w:rsidRPr="004B63EC">
        <w:rPr>
          <w:rFonts w:ascii="Arial" w:eastAsia="Times New Roman" w:hAnsi="Arial" w:cs="Arial"/>
          <w:i/>
          <w:iCs/>
          <w:color w:val="000000"/>
          <w:sz w:val="20"/>
          <w:szCs w:val="20"/>
        </w:rPr>
        <w:t>brand)</w:t>
      </w:r>
      <w:r w:rsidRPr="004B63EC">
        <w:rPr>
          <w:rFonts w:ascii="Arial" w:eastAsia="Times New Roman" w:hAnsi="Arial" w:cs="Arial"/>
          <w:color w:val="000000"/>
          <w:sz w:val="20"/>
          <w:szCs w:val="20"/>
        </w:rPr>
        <w:t>. In this unique case the BC would accept that it makes no sense for a company owning its own name or trademark in the form of a domain name to be obliged to go to a third party to register its own second-level domain names. An opt-out for this special case of internal use seems appropriate.</w:t>
      </w:r>
    </w:p>
    <w:p w14:paraId="7E7CCBD1"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Times New Roman" w:hAnsi="Arial" w:cs="Arial"/>
          <w:color w:val="000000"/>
          <w:sz w:val="20"/>
          <w:szCs w:val="20"/>
        </w:rPr>
      </w:pPr>
    </w:p>
    <w:p w14:paraId="14A405BE"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Times New Roman" w:hAnsi="Arial" w:cs="Arial"/>
          <w:color w:val="000000"/>
          <w:sz w:val="20"/>
          <w:szCs w:val="20"/>
        </w:rPr>
      </w:pPr>
      <w:r w:rsidRPr="004B63EC">
        <w:rPr>
          <w:rFonts w:ascii="Arial" w:eastAsia="Times New Roman" w:hAnsi="Arial" w:cs="Arial"/>
          <w:color w:val="000000"/>
          <w:sz w:val="20"/>
          <w:szCs w:val="20"/>
        </w:rPr>
        <w:t>Recommendation 2:</w:t>
      </w:r>
    </w:p>
    <w:p w14:paraId="737D0464"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eastAsia="Times New Roman" w:hAnsi="Arial" w:cs="Arial"/>
          <w:color w:val="000000"/>
          <w:sz w:val="20"/>
          <w:szCs w:val="20"/>
        </w:rPr>
      </w:pPr>
      <w:r w:rsidRPr="004B63EC">
        <w:rPr>
          <w:rFonts w:ascii="Arial" w:eastAsia="Times New Roman" w:hAnsi="Arial" w:cs="Arial"/>
          <w:b/>
          <w:bCs/>
          <w:color w:val="000000"/>
          <w:sz w:val="20"/>
          <w:szCs w:val="20"/>
        </w:rPr>
        <w:t>The BC believes that uniquely for domain names intended for internal use, the principle of registry-registrar vertical separation should be waived</w:t>
      </w:r>
      <w:r w:rsidRPr="004B63EC">
        <w:rPr>
          <w:rFonts w:ascii="Arial" w:eastAsia="Times New Roman" w:hAnsi="Arial" w:cs="Arial"/>
          <w:color w:val="000000"/>
          <w:sz w:val="20"/>
          <w:szCs w:val="20"/>
        </w:rPr>
        <w:t>.</w:t>
      </w:r>
    </w:p>
    <w:p w14:paraId="1E1E5D47"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color w:val="000000"/>
          <w:sz w:val="20"/>
          <w:szCs w:val="20"/>
        </w:rPr>
      </w:pPr>
    </w:p>
    <w:p w14:paraId="0DED2478"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color w:val="000000"/>
          <w:sz w:val="20"/>
          <w:szCs w:val="20"/>
        </w:rPr>
      </w:pPr>
      <w:r w:rsidRPr="004B63EC">
        <w:rPr>
          <w:rFonts w:ascii="Arial" w:eastAsia="Times New Roman" w:hAnsi="Arial" w:cs="Arial"/>
          <w:color w:val="000000"/>
          <w:sz w:val="20"/>
          <w:szCs w:val="20"/>
        </w:rPr>
        <w:t>When the BC developed its September 2009 position, "internal use" was a term used for a range of entities that were under control of the single registrant and "not for sale to the general public". At the time, BC discussions of "internal use" included the following entities:</w:t>
      </w:r>
    </w:p>
    <w:p w14:paraId="5D9CC17F" w14:textId="77777777" w:rsidR="00E0740D" w:rsidRPr="004B63EC" w:rsidRDefault="00E0740D" w:rsidP="002220E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80"/>
        <w:rPr>
          <w:rFonts w:ascii="Arial" w:eastAsia="Times New Roman" w:hAnsi="Arial" w:cs="Arial"/>
          <w:color w:val="000000"/>
          <w:sz w:val="20"/>
          <w:szCs w:val="20"/>
        </w:rPr>
      </w:pPr>
      <w:r w:rsidRPr="004B63EC">
        <w:rPr>
          <w:rFonts w:ascii="Arial" w:eastAsia="Times New Roman" w:hAnsi="Arial" w:cs="Arial"/>
          <w:color w:val="000000"/>
          <w:sz w:val="20"/>
          <w:szCs w:val="20"/>
        </w:rPr>
        <w:t>Divisions and product names for a single registrant (</w:t>
      </w:r>
      <w:proofErr w:type="spellStart"/>
      <w:r w:rsidRPr="004B63EC">
        <w:rPr>
          <w:rFonts w:ascii="Arial" w:eastAsia="Times New Roman" w:hAnsi="Arial" w:cs="Arial"/>
          <w:color w:val="000000"/>
          <w:sz w:val="20"/>
          <w:szCs w:val="20"/>
        </w:rPr>
        <w:t>e.g.copiers.canon</w:t>
      </w:r>
      <w:proofErr w:type="spellEnd"/>
      <w:r w:rsidRPr="004B63EC">
        <w:rPr>
          <w:rFonts w:ascii="Arial" w:eastAsia="Times New Roman" w:hAnsi="Arial" w:cs="Arial"/>
          <w:color w:val="000000"/>
          <w:sz w:val="20"/>
          <w:szCs w:val="20"/>
        </w:rPr>
        <w:t>)</w:t>
      </w:r>
    </w:p>
    <w:p w14:paraId="61B7FDED" w14:textId="77777777" w:rsidR="00E0740D" w:rsidRPr="004B63EC" w:rsidRDefault="00E0740D" w:rsidP="002220E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80"/>
        <w:rPr>
          <w:rFonts w:ascii="Arial" w:eastAsia="Times New Roman" w:hAnsi="Arial" w:cs="Arial"/>
          <w:color w:val="000000"/>
          <w:sz w:val="20"/>
          <w:szCs w:val="20"/>
        </w:rPr>
      </w:pPr>
      <w:r w:rsidRPr="004B63EC">
        <w:rPr>
          <w:rFonts w:ascii="Arial" w:eastAsia="Times New Roman" w:hAnsi="Arial" w:cs="Arial"/>
          <w:color w:val="000000"/>
          <w:sz w:val="20"/>
          <w:szCs w:val="20"/>
        </w:rPr>
        <w:t>Employees of a single registrant, for use in second level domains and email addresses</w:t>
      </w:r>
    </w:p>
    <w:p w14:paraId="6A95504D" w14:textId="77777777" w:rsidR="00E0740D" w:rsidRPr="004B63EC" w:rsidRDefault="00E0740D" w:rsidP="002220E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80"/>
        <w:rPr>
          <w:rFonts w:ascii="Arial" w:eastAsia="Times New Roman" w:hAnsi="Arial" w:cs="Arial"/>
          <w:color w:val="000000"/>
          <w:sz w:val="20"/>
          <w:szCs w:val="20"/>
        </w:rPr>
      </w:pPr>
      <w:r w:rsidRPr="004B63EC">
        <w:rPr>
          <w:rFonts w:ascii="Arial" w:eastAsia="Times New Roman" w:hAnsi="Arial" w:cs="Arial"/>
          <w:color w:val="000000"/>
          <w:sz w:val="20"/>
          <w:szCs w:val="20"/>
        </w:rPr>
        <w:t>Subscribers, customers, and registered users of a single registrant, subject to approval and control by the single registrant.</w:t>
      </w:r>
    </w:p>
    <w:p w14:paraId="7D3686B1" w14:textId="77777777" w:rsidR="00E0740D" w:rsidRPr="004B63EC" w:rsidRDefault="00E0740D" w:rsidP="0022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color w:val="000000"/>
          <w:sz w:val="20"/>
          <w:szCs w:val="20"/>
        </w:rPr>
      </w:pPr>
    </w:p>
    <w:p w14:paraId="2FDA23A5" w14:textId="77777777" w:rsidR="00E0740D" w:rsidRPr="004B63EC" w:rsidRDefault="00E0740D" w:rsidP="002220E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The </w:t>
      </w:r>
      <w:proofErr w:type="gramStart"/>
      <w:r w:rsidRPr="004B63EC">
        <w:rPr>
          <w:rFonts w:ascii="Arial" w:eastAsia="Times New Roman" w:hAnsi="Arial" w:cs="Arial"/>
          <w:color w:val="000000"/>
          <w:sz w:val="20"/>
          <w:szCs w:val="20"/>
        </w:rPr>
        <w:t>range of internal uses discussed by the BC should be considered by the Working Group</w:t>
      </w:r>
      <w:proofErr w:type="gramEnd"/>
      <w:r w:rsidRPr="004B63EC">
        <w:rPr>
          <w:rFonts w:ascii="Arial" w:eastAsia="Times New Roman" w:hAnsi="Arial" w:cs="Arial"/>
          <w:color w:val="000000"/>
          <w:sz w:val="20"/>
          <w:szCs w:val="20"/>
        </w:rPr>
        <w:t xml:space="preserve"> as it develops consensus principles for single registrant exceptions its final report. The BC will continue its internal discussions on these categories.</w:t>
      </w:r>
    </w:p>
    <w:p w14:paraId="5E9647C8" w14:textId="77777777" w:rsidR="00E0740D" w:rsidRPr="004B63EC" w:rsidRDefault="00E0740D" w:rsidP="00A70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Excerpt from: </w:t>
      </w:r>
      <w:r w:rsidRPr="004B63EC">
        <w:rPr>
          <w:rFonts w:ascii="Arial" w:eastAsia="Times New Roman" w:hAnsi="Arial" w:cs="Arial"/>
          <w:bCs/>
          <w:color w:val="000000"/>
          <w:sz w:val="20"/>
          <w:szCs w:val="20"/>
        </w:rPr>
        <w:t xml:space="preserve">BC Comment on Vertical Integration Working Group Initial Report, August </w:t>
      </w:r>
      <w:proofErr w:type="gramStart"/>
      <w:r w:rsidRPr="004B63EC">
        <w:rPr>
          <w:rFonts w:ascii="Arial" w:eastAsia="Times New Roman" w:hAnsi="Arial" w:cs="Arial"/>
          <w:bCs/>
          <w:color w:val="000000"/>
          <w:sz w:val="20"/>
          <w:szCs w:val="20"/>
        </w:rPr>
        <w:t>2010</w:t>
      </w:r>
      <w:r w:rsidR="00A70488">
        <w:rPr>
          <w:rFonts w:ascii="Arial" w:eastAsia="Times New Roman" w:hAnsi="Arial" w:cs="Arial"/>
          <w:bCs/>
          <w:color w:val="000000"/>
          <w:sz w:val="20"/>
          <w:szCs w:val="20"/>
        </w:rPr>
        <w:t xml:space="preserve">   </w:t>
      </w:r>
      <w:proofErr w:type="gramEnd"/>
      <w:r>
        <w:fldChar w:fldCharType="begin"/>
      </w:r>
      <w:r>
        <w:instrText>HYPERLINK "http://forum.icann.org/lists/bc-gnso/pdfoF21ENSQ61.pdf"</w:instrText>
      </w:r>
      <w:r>
        <w:fldChar w:fldCharType="separate"/>
      </w:r>
      <w:r w:rsidRPr="004B63EC">
        <w:rPr>
          <w:rStyle w:val="Hyperlink"/>
          <w:rFonts w:ascii="Arial" w:eastAsia="Times New Roman" w:hAnsi="Arial" w:cs="Arial"/>
          <w:sz w:val="20"/>
          <w:szCs w:val="20"/>
        </w:rPr>
        <w:t>http://forum.icann.org/lists/bc-gnso/pdfoF21ENSQ61.pdf</w:t>
      </w:r>
      <w:r>
        <w:fldChar w:fldCharType="end"/>
      </w:r>
      <w:r w:rsidRPr="004B63EC">
        <w:rPr>
          <w:rFonts w:ascii="Arial" w:eastAsia="Times New Roman" w:hAnsi="Arial" w:cs="Arial"/>
          <w:color w:val="000000"/>
          <w:sz w:val="20"/>
          <w:szCs w:val="20"/>
        </w:rPr>
        <w:t xml:space="preserve"> </w:t>
      </w:r>
    </w:p>
    <w:p w14:paraId="464CB180" w14:textId="77777777" w:rsidR="00E0740D" w:rsidRPr="004B63EC" w:rsidRDefault="00E0740D"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07426048" w14:textId="77777777" w:rsidR="00E0740D" w:rsidRDefault="00E0740D"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Vertical Integration restrictions were eliminated entirely in the Nov-2010 version of the Guidebook.  And in the Apr-2011 version, single-registrant TLDs </w:t>
      </w:r>
      <w:proofErr w:type="gramStart"/>
      <w:r w:rsidRPr="004B63EC">
        <w:rPr>
          <w:rFonts w:ascii="Arial" w:eastAsia="Times New Roman" w:hAnsi="Arial" w:cs="Arial"/>
          <w:color w:val="000000"/>
          <w:sz w:val="20"/>
          <w:szCs w:val="20"/>
        </w:rPr>
        <w:t>were</w:t>
      </w:r>
      <w:proofErr w:type="gramEnd"/>
      <w:r w:rsidRPr="004B63EC">
        <w:rPr>
          <w:rFonts w:ascii="Arial" w:eastAsia="Times New Roman" w:hAnsi="Arial" w:cs="Arial"/>
          <w:color w:val="000000"/>
          <w:sz w:val="20"/>
          <w:szCs w:val="20"/>
        </w:rPr>
        <w:t xml:space="preserve"> exempted from the Code of Conduct.  </w:t>
      </w:r>
    </w:p>
    <w:p w14:paraId="18746966" w14:textId="77777777" w:rsidR="00E0740D" w:rsidRDefault="00E0740D"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44FC2D38" w14:textId="77777777" w:rsidR="00E0740D" w:rsidRPr="004B63EC" w:rsidRDefault="00E0740D"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However, Module 5 still includes some provisions that could unduly restrict how a single-registrant TLD distributes and manages lower-level registrations that are entirely unde</w:t>
      </w:r>
      <w:r w:rsidR="00A70488">
        <w:rPr>
          <w:rFonts w:ascii="Arial" w:eastAsia="Times New Roman" w:hAnsi="Arial" w:cs="Arial"/>
          <w:color w:val="000000"/>
          <w:sz w:val="20"/>
          <w:szCs w:val="20"/>
        </w:rPr>
        <w:t>r their ownership and control, as described in the next several recommendations.</w:t>
      </w:r>
    </w:p>
    <w:p w14:paraId="195F9BE8" w14:textId="77777777" w:rsidR="00E0740D" w:rsidRPr="004B63EC" w:rsidRDefault="00E0740D"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03ECCF9A" w14:textId="77777777" w:rsidR="00E0740D" w:rsidRDefault="00E0740D">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2EE502E4" w14:textId="77777777" w:rsidR="00E0740D" w:rsidRPr="004B63EC" w:rsidRDefault="00E0740D" w:rsidP="00C52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First</w:t>
      </w:r>
      <w:r w:rsidRPr="004B63EC">
        <w:rPr>
          <w:rFonts w:ascii="Arial" w:eastAsia="Times New Roman" w:hAnsi="Arial" w:cs="Arial"/>
          <w:color w:val="000000"/>
          <w:sz w:val="20"/>
          <w:szCs w:val="20"/>
        </w:rPr>
        <w:t>, the BC provides a recommended definition for single-registrant TLDs.  Subsequent recommendations are intended to remove remaining restrictions for single-registrant TLDs.</w:t>
      </w:r>
    </w:p>
    <w:p w14:paraId="22ACA44B" w14:textId="77777777" w:rsidR="00E0740D" w:rsidRPr="004B63EC" w:rsidRDefault="00E0740D">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0FFDE6A0" w14:textId="77777777" w:rsidTr="006D12C3">
        <w:tc>
          <w:tcPr>
            <w:tcW w:w="8838" w:type="dxa"/>
            <w:gridSpan w:val="2"/>
            <w:shd w:val="clear" w:color="auto" w:fill="E0E0E0"/>
          </w:tcPr>
          <w:p w14:paraId="5427A551" w14:textId="77777777" w:rsidR="00E0740D" w:rsidRPr="004B63EC" w:rsidRDefault="00E0740D" w:rsidP="006D12C3">
            <w:pPr>
              <w:rPr>
                <w:rFonts w:ascii="Arial" w:hAnsi="Arial" w:cs="Arial"/>
                <w:sz w:val="20"/>
                <w:szCs w:val="20"/>
              </w:rPr>
            </w:pPr>
            <w:r w:rsidRPr="004B63EC">
              <w:rPr>
                <w:rFonts w:ascii="Arial" w:hAnsi="Arial" w:cs="Arial"/>
                <w:b/>
                <w:sz w:val="20"/>
                <w:szCs w:val="20"/>
              </w:rPr>
              <w:t>Module 5: definition for single-registrant TLD</w:t>
            </w:r>
          </w:p>
        </w:tc>
      </w:tr>
      <w:tr w:rsidR="00E0740D" w:rsidRPr="004B63EC" w14:paraId="49EC0E3F" w14:textId="77777777" w:rsidTr="006D12C3">
        <w:tc>
          <w:tcPr>
            <w:tcW w:w="4248" w:type="dxa"/>
          </w:tcPr>
          <w:p w14:paraId="1A854592" w14:textId="77777777" w:rsidR="00E0740D" w:rsidRPr="004B63EC" w:rsidRDefault="00E0740D" w:rsidP="006D12C3">
            <w:pPr>
              <w:rPr>
                <w:rFonts w:ascii="Arial" w:hAnsi="Arial" w:cs="Arial"/>
                <w:b/>
                <w:sz w:val="20"/>
                <w:szCs w:val="20"/>
              </w:rPr>
            </w:pPr>
            <w:r w:rsidRPr="004B63EC">
              <w:rPr>
                <w:rFonts w:ascii="Arial" w:hAnsi="Arial" w:cs="Arial"/>
                <w:b/>
                <w:sz w:val="20"/>
                <w:szCs w:val="20"/>
              </w:rPr>
              <w:t>Current Guidebook Approach:</w:t>
            </w:r>
          </w:p>
        </w:tc>
        <w:tc>
          <w:tcPr>
            <w:tcW w:w="4590" w:type="dxa"/>
          </w:tcPr>
          <w:p w14:paraId="05CAA36C" w14:textId="77777777" w:rsidR="00E0740D" w:rsidRPr="004B63EC" w:rsidRDefault="00E0740D" w:rsidP="006D12C3">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4B63EC" w14:paraId="4C0DEC5C" w14:textId="77777777" w:rsidTr="006D12C3">
        <w:tc>
          <w:tcPr>
            <w:tcW w:w="4248" w:type="dxa"/>
          </w:tcPr>
          <w:p w14:paraId="7FEB6093" w14:textId="77777777" w:rsidR="00E0740D" w:rsidRPr="004B63EC" w:rsidRDefault="00E0740D" w:rsidP="006D12C3">
            <w:pPr>
              <w:rPr>
                <w:rFonts w:ascii="Arial" w:hAnsi="Arial" w:cs="Arial"/>
                <w:sz w:val="20"/>
                <w:szCs w:val="20"/>
              </w:rPr>
            </w:pPr>
          </w:p>
          <w:p w14:paraId="03E4D181" w14:textId="77777777" w:rsidR="00E0740D" w:rsidRPr="004B63EC" w:rsidRDefault="00E0740D" w:rsidP="006D12C3">
            <w:pPr>
              <w:rPr>
                <w:rFonts w:ascii="Arial" w:hAnsi="Arial" w:cs="Arial"/>
                <w:sz w:val="20"/>
                <w:szCs w:val="20"/>
              </w:rPr>
            </w:pPr>
            <w:r w:rsidRPr="004B63EC">
              <w:rPr>
                <w:rFonts w:ascii="Arial" w:hAnsi="Arial" w:cs="Arial"/>
                <w:sz w:val="20"/>
                <w:szCs w:val="20"/>
              </w:rPr>
              <w:t>Single-Registrant TLD</w:t>
            </w:r>
          </w:p>
          <w:p w14:paraId="7C45FD21" w14:textId="77777777" w:rsidR="00E0740D" w:rsidRPr="004B63EC" w:rsidRDefault="00E0740D" w:rsidP="006D12C3">
            <w:pPr>
              <w:rPr>
                <w:rFonts w:ascii="Arial" w:hAnsi="Arial" w:cs="Arial"/>
                <w:sz w:val="20"/>
                <w:szCs w:val="20"/>
              </w:rPr>
            </w:pPr>
          </w:p>
          <w:p w14:paraId="240CCED4" w14:textId="77777777" w:rsidR="00E0740D" w:rsidRPr="004B63EC" w:rsidRDefault="00E0740D" w:rsidP="006D12C3">
            <w:pPr>
              <w:rPr>
                <w:rFonts w:ascii="Arial" w:hAnsi="Arial" w:cs="Arial"/>
                <w:sz w:val="20"/>
                <w:szCs w:val="20"/>
              </w:rPr>
            </w:pPr>
            <w:proofErr w:type="gramStart"/>
            <w:r w:rsidRPr="004B63EC">
              <w:rPr>
                <w:rFonts w:ascii="Arial" w:hAnsi="Arial" w:cs="Arial"/>
                <w:sz w:val="20"/>
                <w:szCs w:val="20"/>
              </w:rPr>
              <w:t>[ no</w:t>
            </w:r>
            <w:proofErr w:type="gramEnd"/>
            <w:r w:rsidRPr="004B63EC">
              <w:rPr>
                <w:rFonts w:ascii="Arial" w:hAnsi="Arial" w:cs="Arial"/>
                <w:sz w:val="20"/>
                <w:szCs w:val="20"/>
              </w:rPr>
              <w:t xml:space="preserve"> definition is provided ] </w:t>
            </w:r>
          </w:p>
          <w:p w14:paraId="1A676DF7" w14:textId="77777777" w:rsidR="00E0740D" w:rsidRPr="004B63EC" w:rsidRDefault="00E0740D" w:rsidP="006D12C3">
            <w:pPr>
              <w:rPr>
                <w:rFonts w:ascii="Arial" w:hAnsi="Arial" w:cs="Arial"/>
                <w:sz w:val="20"/>
                <w:szCs w:val="20"/>
              </w:rPr>
            </w:pPr>
          </w:p>
        </w:tc>
        <w:tc>
          <w:tcPr>
            <w:tcW w:w="4590" w:type="dxa"/>
          </w:tcPr>
          <w:p w14:paraId="0CF25322" w14:textId="77777777" w:rsidR="00E0740D" w:rsidRPr="00E63D19" w:rsidRDefault="00E0740D" w:rsidP="006D12C3">
            <w:pPr>
              <w:rPr>
                <w:rFonts w:ascii="Arial" w:hAnsi="Arial" w:cs="Arial"/>
                <w:sz w:val="20"/>
                <w:szCs w:val="20"/>
              </w:rPr>
            </w:pPr>
            <w:r w:rsidRPr="00E63D19">
              <w:rPr>
                <w:rFonts w:ascii="Arial" w:hAnsi="Arial" w:cs="Arial"/>
                <w:sz w:val="20"/>
                <w:szCs w:val="20"/>
              </w:rPr>
              <w:t xml:space="preserve">The </w:t>
            </w:r>
            <w:r w:rsidR="00E63D19">
              <w:rPr>
                <w:rFonts w:ascii="Arial" w:hAnsi="Arial" w:cs="Arial"/>
                <w:sz w:val="20"/>
                <w:szCs w:val="20"/>
              </w:rPr>
              <w:t>BC proposes to add a definition to the Guidebook and Registry Agreement:</w:t>
            </w:r>
          </w:p>
          <w:p w14:paraId="476BEDE2" w14:textId="77777777" w:rsidR="00E0740D" w:rsidRPr="00E63D19" w:rsidRDefault="00E0740D" w:rsidP="006D12C3">
            <w:pPr>
              <w:rPr>
                <w:rFonts w:ascii="Arial" w:hAnsi="Arial" w:cs="Arial"/>
                <w:sz w:val="20"/>
                <w:szCs w:val="20"/>
              </w:rPr>
            </w:pPr>
          </w:p>
          <w:p w14:paraId="1291C93A" w14:textId="77777777" w:rsidR="00E0740D" w:rsidRPr="00E63D19" w:rsidRDefault="00E0740D" w:rsidP="006D12C3">
            <w:pPr>
              <w:rPr>
                <w:rFonts w:ascii="Arial" w:hAnsi="Arial" w:cs="Arial"/>
                <w:b/>
                <w:sz w:val="20"/>
                <w:szCs w:val="20"/>
              </w:rPr>
            </w:pPr>
            <w:r w:rsidRPr="00E63D19">
              <w:rPr>
                <w:rFonts w:ascii="Arial" w:hAnsi="Arial" w:cs="Arial"/>
                <w:b/>
                <w:sz w:val="20"/>
                <w:szCs w:val="20"/>
              </w:rPr>
              <w:t>Single-registrant TLD:  a TLD where the Registry Operator is the registrant of record for all domain names in the TLD.</w:t>
            </w:r>
          </w:p>
          <w:p w14:paraId="7DE16C8A" w14:textId="77777777" w:rsidR="00E0740D" w:rsidRPr="004B63EC" w:rsidRDefault="00E0740D" w:rsidP="006D12C3">
            <w:pPr>
              <w:rPr>
                <w:rFonts w:ascii="Arial" w:hAnsi="Arial" w:cs="Arial"/>
                <w:b/>
                <w:sz w:val="20"/>
                <w:szCs w:val="20"/>
              </w:rPr>
            </w:pPr>
          </w:p>
        </w:tc>
      </w:tr>
      <w:tr w:rsidR="00E0740D" w:rsidRPr="004B63EC" w14:paraId="2BA9B957" w14:textId="77777777" w:rsidTr="006D12C3">
        <w:trPr>
          <w:trHeight w:val="1052"/>
        </w:trPr>
        <w:tc>
          <w:tcPr>
            <w:tcW w:w="8838" w:type="dxa"/>
            <w:gridSpan w:val="2"/>
          </w:tcPr>
          <w:p w14:paraId="4D315392" w14:textId="77777777" w:rsidR="00E0740D" w:rsidRPr="004B63EC" w:rsidRDefault="00E0740D" w:rsidP="006D12C3">
            <w:pPr>
              <w:rPr>
                <w:rFonts w:ascii="Arial" w:hAnsi="Arial" w:cs="Arial"/>
                <w:b/>
                <w:sz w:val="20"/>
                <w:szCs w:val="20"/>
              </w:rPr>
            </w:pPr>
            <w:r w:rsidRPr="004B63EC">
              <w:rPr>
                <w:rFonts w:ascii="Arial" w:hAnsi="Arial" w:cs="Arial"/>
                <w:b/>
                <w:sz w:val="20"/>
                <w:szCs w:val="20"/>
              </w:rPr>
              <w:t>Rationale for BC Recommendation:</w:t>
            </w:r>
          </w:p>
          <w:p w14:paraId="785FF32F" w14:textId="77777777" w:rsidR="00E0740D" w:rsidRPr="004B63EC" w:rsidRDefault="00E0740D" w:rsidP="006D12C3">
            <w:pPr>
              <w:rPr>
                <w:rFonts w:ascii="Arial" w:hAnsi="Arial" w:cs="Arial"/>
                <w:b/>
                <w:sz w:val="20"/>
                <w:szCs w:val="20"/>
              </w:rPr>
            </w:pPr>
          </w:p>
          <w:p w14:paraId="1401488A" w14:textId="77777777" w:rsidR="00E0740D" w:rsidRPr="004B63EC" w:rsidRDefault="00E0740D" w:rsidP="006717ED">
            <w:pPr>
              <w:rPr>
                <w:rFonts w:ascii="Arial" w:hAnsi="Arial" w:cs="Arial"/>
                <w:sz w:val="20"/>
                <w:szCs w:val="20"/>
              </w:rPr>
            </w:pPr>
            <w:r w:rsidRPr="004B63EC">
              <w:rPr>
                <w:rFonts w:ascii="Arial" w:hAnsi="Arial" w:cs="Arial"/>
                <w:sz w:val="20"/>
                <w:szCs w:val="20"/>
              </w:rPr>
              <w:t>This definition makes a clear and objectively measured distinction between single-registrant TLDs and those that make registrations available to the public.</w:t>
            </w:r>
          </w:p>
          <w:p w14:paraId="1048905B" w14:textId="77777777" w:rsidR="00E0740D" w:rsidRPr="004B63EC" w:rsidRDefault="00E0740D" w:rsidP="00671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4AD6ABB4" w14:textId="77777777" w:rsidR="00E0740D" w:rsidRPr="004B63EC" w:rsidRDefault="00E0740D" w:rsidP="00671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Since 2009, the BC has maintained that TLDs intended for "internal use" include those registries that are “not for sale to the general public". BC discussions of "internal use" include the following entities:</w:t>
            </w:r>
          </w:p>
          <w:p w14:paraId="2885FE85" w14:textId="77777777" w:rsidR="00E0740D" w:rsidRPr="004B63EC" w:rsidRDefault="00E0740D" w:rsidP="006717E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Divisions and product names for a single registrant (e.g. </w:t>
            </w:r>
            <w:proofErr w:type="spellStart"/>
            <w:r w:rsidRPr="004B63EC">
              <w:rPr>
                <w:rFonts w:ascii="Arial" w:eastAsia="Times New Roman" w:hAnsi="Arial" w:cs="Arial"/>
                <w:color w:val="000000"/>
                <w:sz w:val="20"/>
                <w:szCs w:val="20"/>
              </w:rPr>
              <w:t>copiers.canon</w:t>
            </w:r>
            <w:proofErr w:type="spellEnd"/>
            <w:r w:rsidRPr="004B63EC">
              <w:rPr>
                <w:rFonts w:ascii="Arial" w:eastAsia="Times New Roman" w:hAnsi="Arial" w:cs="Arial"/>
                <w:color w:val="000000"/>
                <w:sz w:val="20"/>
                <w:szCs w:val="20"/>
              </w:rPr>
              <w:t>)</w:t>
            </w:r>
          </w:p>
          <w:p w14:paraId="3781FDE6" w14:textId="77777777" w:rsidR="00E0740D" w:rsidRPr="004B63EC" w:rsidRDefault="00E0740D" w:rsidP="006717E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eastAsia="Times New Roman" w:hAnsi="Arial" w:cs="Arial"/>
                <w:color w:val="000000"/>
                <w:sz w:val="20"/>
                <w:szCs w:val="20"/>
              </w:rPr>
            </w:pPr>
            <w:r w:rsidRPr="004B63EC">
              <w:rPr>
                <w:rFonts w:ascii="Arial" w:eastAsia="Times New Roman" w:hAnsi="Arial" w:cs="Arial"/>
                <w:color w:val="000000"/>
                <w:sz w:val="20"/>
                <w:szCs w:val="20"/>
              </w:rPr>
              <w:t>Employees of a single registrant, for use in second level domains and email addresses</w:t>
            </w:r>
          </w:p>
          <w:p w14:paraId="10F62245" w14:textId="77777777" w:rsidR="00E0740D" w:rsidRPr="004B63EC" w:rsidRDefault="00E0740D" w:rsidP="006717E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eastAsia="Times New Roman" w:hAnsi="Arial" w:cs="Arial"/>
                <w:color w:val="000000"/>
                <w:sz w:val="20"/>
                <w:szCs w:val="20"/>
              </w:rPr>
            </w:pPr>
            <w:r w:rsidRPr="004B63EC">
              <w:rPr>
                <w:rFonts w:ascii="Arial" w:eastAsia="Times New Roman" w:hAnsi="Arial" w:cs="Arial"/>
                <w:color w:val="000000"/>
                <w:sz w:val="20"/>
                <w:szCs w:val="20"/>
              </w:rPr>
              <w:t>Subscribers, customers, and registered users of a single registrant, subject to approval and control by the single registrant.</w:t>
            </w:r>
          </w:p>
          <w:p w14:paraId="4D8D7001" w14:textId="77777777" w:rsidR="00E0740D" w:rsidRPr="004B63EC" w:rsidRDefault="00E0740D" w:rsidP="006717ED">
            <w:pPr>
              <w:rPr>
                <w:rFonts w:ascii="Arial" w:hAnsi="Arial" w:cs="Arial"/>
                <w:sz w:val="20"/>
                <w:szCs w:val="20"/>
              </w:rPr>
            </w:pPr>
          </w:p>
          <w:p w14:paraId="460EC662" w14:textId="77777777" w:rsidR="00E0740D" w:rsidRPr="004B63EC" w:rsidRDefault="00E0740D" w:rsidP="006717ED">
            <w:pPr>
              <w:rPr>
                <w:rFonts w:ascii="Arial" w:hAnsi="Arial" w:cs="Arial"/>
                <w:sz w:val="20"/>
                <w:szCs w:val="20"/>
              </w:rPr>
            </w:pPr>
            <w:r w:rsidRPr="004B63EC">
              <w:rPr>
                <w:rFonts w:ascii="Arial" w:hAnsi="Arial" w:cs="Arial"/>
                <w:sz w:val="20"/>
                <w:szCs w:val="20"/>
              </w:rPr>
              <w:t>In all these cases, the registry Operator shall be the registrant of record for all second level domain names in the TLD.</w:t>
            </w:r>
          </w:p>
          <w:p w14:paraId="3FDD6648" w14:textId="77777777" w:rsidR="00E0740D" w:rsidRPr="004B63EC" w:rsidRDefault="00E0740D" w:rsidP="006717ED">
            <w:pPr>
              <w:rPr>
                <w:rFonts w:ascii="Arial" w:hAnsi="Arial" w:cs="Arial"/>
                <w:sz w:val="20"/>
                <w:szCs w:val="20"/>
              </w:rPr>
            </w:pPr>
          </w:p>
        </w:tc>
      </w:tr>
    </w:tbl>
    <w:p w14:paraId="293808A3" w14:textId="77777777" w:rsidR="00E0740D" w:rsidRDefault="00E0740D">
      <w:pPr>
        <w:rPr>
          <w:rFonts w:ascii="Arial" w:hAnsi="Arial" w:cs="Arial"/>
          <w:sz w:val="20"/>
          <w:szCs w:val="20"/>
        </w:rPr>
      </w:pPr>
    </w:p>
    <w:p w14:paraId="65B01A5F" w14:textId="77777777" w:rsidR="00E0740D" w:rsidRDefault="00E0740D">
      <w:pPr>
        <w:rPr>
          <w:rFonts w:ascii="Arial" w:hAnsi="Arial" w:cs="Arial"/>
          <w:sz w:val="20"/>
          <w:szCs w:val="20"/>
        </w:rPr>
      </w:pPr>
    </w:p>
    <w:p w14:paraId="2FF0A174" w14:textId="77777777" w:rsidR="00E0740D" w:rsidRPr="004B63EC" w:rsidRDefault="00E0740D">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59A49EE9" w14:textId="77777777">
        <w:tc>
          <w:tcPr>
            <w:tcW w:w="8838" w:type="dxa"/>
            <w:gridSpan w:val="2"/>
            <w:shd w:val="clear" w:color="auto" w:fill="E0E0E0"/>
          </w:tcPr>
          <w:p w14:paraId="3D6EAB0B" w14:textId="77777777" w:rsidR="00E0740D" w:rsidRPr="004B63EC" w:rsidRDefault="00E0740D" w:rsidP="00D7733A">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Module 5: Registry Agreement needs fle</w:t>
            </w:r>
            <w:r w:rsidR="00D7733A">
              <w:rPr>
                <w:rFonts w:ascii="Arial" w:hAnsi="Arial" w:cs="Arial"/>
                <w:b/>
                <w:sz w:val="20"/>
                <w:szCs w:val="20"/>
              </w:rPr>
              <w:t xml:space="preserve">xibility for single-registrant </w:t>
            </w:r>
            <w:r w:rsidRPr="004B63EC">
              <w:rPr>
                <w:rFonts w:ascii="Arial" w:hAnsi="Arial" w:cs="Arial"/>
                <w:b/>
                <w:sz w:val="20"/>
                <w:szCs w:val="20"/>
              </w:rPr>
              <w:t xml:space="preserve">TLDs </w:t>
            </w:r>
          </w:p>
        </w:tc>
      </w:tr>
      <w:tr w:rsidR="00E0740D" w:rsidRPr="004B63EC" w14:paraId="2829D5FC" w14:textId="77777777">
        <w:tc>
          <w:tcPr>
            <w:tcW w:w="4248" w:type="dxa"/>
          </w:tcPr>
          <w:p w14:paraId="1B71294A"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90" w:type="dxa"/>
          </w:tcPr>
          <w:p w14:paraId="5F49AAC9"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4FEA4928" w14:textId="77777777">
        <w:tc>
          <w:tcPr>
            <w:tcW w:w="4248" w:type="dxa"/>
          </w:tcPr>
          <w:p w14:paraId="6802ECC7" w14:textId="77777777" w:rsidR="00E0740D" w:rsidRPr="004B63EC" w:rsidRDefault="00E0740D" w:rsidP="00EA2994">
            <w:pPr>
              <w:rPr>
                <w:rFonts w:ascii="Arial" w:hAnsi="Arial" w:cs="Arial"/>
                <w:sz w:val="20"/>
                <w:szCs w:val="20"/>
              </w:rPr>
            </w:pPr>
            <w:r w:rsidRPr="004B63EC">
              <w:rPr>
                <w:rFonts w:ascii="Arial" w:hAnsi="Arial" w:cs="Arial"/>
                <w:sz w:val="20"/>
                <w:szCs w:val="20"/>
              </w:rPr>
              <w:t>Registry Agreement, Article 2, Covenants</w:t>
            </w:r>
          </w:p>
          <w:p w14:paraId="53426C07" w14:textId="77777777" w:rsidR="00E0740D" w:rsidRPr="004B63EC" w:rsidRDefault="00E0740D" w:rsidP="00EA2994">
            <w:pPr>
              <w:rPr>
                <w:rFonts w:ascii="Arial" w:hAnsi="Arial" w:cs="Arial"/>
                <w:sz w:val="20"/>
                <w:szCs w:val="20"/>
              </w:rPr>
            </w:pPr>
          </w:p>
          <w:p w14:paraId="36372B4D"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2.6 Reserved Names. </w:t>
            </w:r>
          </w:p>
          <w:p w14:paraId="7D84EBE1"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Except to the extent that ICANN otherwise expressly authorizes in writing, Registry Operator shall comply with the restrictions on registration of character strings set forth at Specification 5. </w:t>
            </w:r>
            <w:r w:rsidRPr="004B63EC">
              <w:rPr>
                <w:rFonts w:ascii="Arial" w:eastAsia="MS MinNew Roman" w:hAnsi="Arial" w:cs="Arial"/>
                <w:sz w:val="20"/>
                <w:szCs w:val="20"/>
              </w:rPr>
              <w:t>(Includes geographical names a the second level)</w:t>
            </w:r>
          </w:p>
          <w:p w14:paraId="6F5A1ECE" w14:textId="77777777" w:rsidR="00E0740D" w:rsidRPr="004B63EC" w:rsidRDefault="00E0740D" w:rsidP="00EA2994">
            <w:pPr>
              <w:rPr>
                <w:rFonts w:ascii="Arial" w:hAnsi="Arial" w:cs="Arial"/>
                <w:sz w:val="20"/>
                <w:szCs w:val="20"/>
              </w:rPr>
            </w:pPr>
          </w:p>
          <w:p w14:paraId="6F5CBFA4" w14:textId="77777777" w:rsidR="00E0740D" w:rsidRPr="004B63EC" w:rsidRDefault="00E0740D" w:rsidP="00EA2994">
            <w:pPr>
              <w:rPr>
                <w:rFonts w:ascii="Arial" w:hAnsi="Arial" w:cs="Arial"/>
                <w:sz w:val="20"/>
                <w:szCs w:val="20"/>
              </w:rPr>
            </w:pPr>
          </w:p>
        </w:tc>
        <w:tc>
          <w:tcPr>
            <w:tcW w:w="4590" w:type="dxa"/>
          </w:tcPr>
          <w:p w14:paraId="5430EBB1" w14:textId="77777777" w:rsidR="00E0740D" w:rsidRPr="004B63EC" w:rsidRDefault="00E0740D" w:rsidP="00EA2994">
            <w:pPr>
              <w:rPr>
                <w:rFonts w:ascii="Arial" w:eastAsia="MS MinNew Roman" w:hAnsi="Arial" w:cs="Arial"/>
                <w:sz w:val="20"/>
                <w:szCs w:val="20"/>
              </w:rPr>
            </w:pPr>
            <w:r w:rsidRPr="004B63EC">
              <w:rPr>
                <w:rFonts w:ascii="Arial" w:hAnsi="Arial" w:cs="Arial"/>
                <w:sz w:val="20"/>
                <w:szCs w:val="20"/>
              </w:rPr>
              <w:t xml:space="preserve">Subject to approval from relevant national governments, </w:t>
            </w:r>
            <w:r w:rsidRPr="004B63EC">
              <w:rPr>
                <w:rFonts w:ascii="Arial" w:eastAsia="MS MinNew Roman" w:hAnsi="Arial" w:cs="Arial"/>
                <w:sz w:val="20"/>
                <w:szCs w:val="20"/>
              </w:rPr>
              <w:t>a single-registrant TLD should be allowed to register both two-letter abbreviations and full country and regional names at the second level.</w:t>
            </w:r>
          </w:p>
          <w:p w14:paraId="73CEBB8A" w14:textId="77777777" w:rsidR="00E0740D" w:rsidRPr="004B63EC" w:rsidRDefault="00E0740D" w:rsidP="00EA2994">
            <w:pPr>
              <w:rPr>
                <w:rFonts w:ascii="Arial" w:eastAsia="MS MinNew Roman" w:hAnsi="Arial" w:cs="Arial"/>
                <w:sz w:val="20"/>
                <w:szCs w:val="20"/>
              </w:rPr>
            </w:pPr>
          </w:p>
          <w:p w14:paraId="5CFD9FF5"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2.6 Reserved Names. </w:t>
            </w:r>
          </w:p>
          <w:p w14:paraId="08EE598B"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Except to the extent that ICANN otherwise expressly authorizes in writing, </w:t>
            </w:r>
            <w:r w:rsidRPr="004B63EC">
              <w:rPr>
                <w:rFonts w:ascii="Arial" w:hAnsi="Arial" w:cs="Arial"/>
                <w:b/>
                <w:sz w:val="20"/>
                <w:szCs w:val="20"/>
              </w:rPr>
              <w:t>and except for single-registrant TLDs with respect to geographical names at the second level,</w:t>
            </w:r>
            <w:r w:rsidRPr="004B63EC">
              <w:rPr>
                <w:rFonts w:ascii="Arial" w:hAnsi="Arial" w:cs="Arial"/>
                <w:sz w:val="20"/>
                <w:szCs w:val="20"/>
              </w:rPr>
              <w:t xml:space="preserve"> Registry Operator shall comply with the restrictions on registration of character strings set forth at Specification 5. </w:t>
            </w:r>
          </w:p>
          <w:p w14:paraId="3AEDCD50" w14:textId="77777777" w:rsidR="00E0740D" w:rsidRPr="004B63EC" w:rsidRDefault="00E0740D" w:rsidP="00EA2994">
            <w:pPr>
              <w:rPr>
                <w:rFonts w:ascii="Arial" w:hAnsi="Arial" w:cs="Arial"/>
                <w:sz w:val="20"/>
                <w:szCs w:val="20"/>
              </w:rPr>
            </w:pPr>
          </w:p>
        </w:tc>
      </w:tr>
      <w:tr w:rsidR="00E0740D" w:rsidRPr="004B63EC" w14:paraId="6E09CC18" w14:textId="77777777">
        <w:trPr>
          <w:trHeight w:val="1052"/>
        </w:trPr>
        <w:tc>
          <w:tcPr>
            <w:tcW w:w="8838" w:type="dxa"/>
            <w:gridSpan w:val="2"/>
          </w:tcPr>
          <w:p w14:paraId="6A056E3A" w14:textId="77777777" w:rsidR="00E0740D" w:rsidRPr="004B63EC" w:rsidRDefault="00E0740D" w:rsidP="00EA2994">
            <w:pPr>
              <w:rPr>
                <w:rFonts w:ascii="Arial" w:hAnsi="Arial" w:cs="Arial"/>
                <w:b/>
                <w:sz w:val="20"/>
                <w:szCs w:val="20"/>
              </w:rPr>
            </w:pPr>
            <w:r w:rsidRPr="004B63EC">
              <w:rPr>
                <w:rFonts w:ascii="Arial" w:hAnsi="Arial" w:cs="Arial"/>
                <w:b/>
                <w:sz w:val="20"/>
                <w:szCs w:val="20"/>
              </w:rPr>
              <w:t>Rationale for BC Recommendation:</w:t>
            </w:r>
          </w:p>
          <w:p w14:paraId="6D629A15" w14:textId="77777777" w:rsidR="00E0740D" w:rsidRPr="004B63EC" w:rsidRDefault="00E0740D" w:rsidP="00EA2994">
            <w:pPr>
              <w:rPr>
                <w:rFonts w:ascii="Arial" w:hAnsi="Arial" w:cs="Arial"/>
                <w:sz w:val="20"/>
                <w:szCs w:val="20"/>
              </w:rPr>
            </w:pPr>
          </w:p>
          <w:p w14:paraId="7ABE10DC" w14:textId="77777777" w:rsidR="00E0740D" w:rsidRPr="004B63EC" w:rsidRDefault="00D7733A" w:rsidP="00EA2994">
            <w:pPr>
              <w:rPr>
                <w:rFonts w:ascii="Arial" w:hAnsi="Arial" w:cs="Arial"/>
                <w:sz w:val="20"/>
                <w:szCs w:val="20"/>
              </w:rPr>
            </w:pPr>
            <w:r>
              <w:rPr>
                <w:rFonts w:ascii="Arial" w:hAnsi="Arial" w:cs="Arial"/>
                <w:sz w:val="20"/>
                <w:szCs w:val="20"/>
              </w:rPr>
              <w:t xml:space="preserve">Single-registrant TLDs </w:t>
            </w:r>
            <w:r w:rsidR="00E0740D" w:rsidRPr="004B63EC">
              <w:rPr>
                <w:rFonts w:ascii="Arial" w:hAnsi="Arial" w:cs="Arial"/>
                <w:sz w:val="20"/>
                <w:szCs w:val="20"/>
              </w:rPr>
              <w:t>will reasonably want to create second level domains for their operating units or chapters in each country or region.  (</w:t>
            </w:r>
            <w:proofErr w:type="gramStart"/>
            <w:r w:rsidR="00E0740D" w:rsidRPr="004B63EC">
              <w:rPr>
                <w:rFonts w:ascii="Arial" w:hAnsi="Arial" w:cs="Arial"/>
                <w:sz w:val="20"/>
                <w:szCs w:val="20"/>
              </w:rPr>
              <w:t>e</w:t>
            </w:r>
            <w:proofErr w:type="gramEnd"/>
            <w:r w:rsidR="00E0740D" w:rsidRPr="004B63EC">
              <w:rPr>
                <w:rFonts w:ascii="Arial" w:hAnsi="Arial" w:cs="Arial"/>
                <w:sz w:val="20"/>
                <w:szCs w:val="20"/>
              </w:rPr>
              <w:t xml:space="preserve">.g.,  </w:t>
            </w:r>
            <w:proofErr w:type="spellStart"/>
            <w:r w:rsidR="00E0740D" w:rsidRPr="004B63EC">
              <w:rPr>
                <w:rFonts w:ascii="Arial" w:hAnsi="Arial" w:cs="Arial"/>
                <w:sz w:val="20"/>
                <w:szCs w:val="20"/>
              </w:rPr>
              <w:t>Canada.Canon</w:t>
            </w:r>
            <w:proofErr w:type="spellEnd"/>
            <w:r w:rsidR="00E0740D" w:rsidRPr="004B63EC">
              <w:rPr>
                <w:rFonts w:ascii="Arial" w:hAnsi="Arial" w:cs="Arial"/>
                <w:sz w:val="20"/>
                <w:szCs w:val="20"/>
              </w:rPr>
              <w:t xml:space="preserve">  or </w:t>
            </w:r>
            <w:proofErr w:type="spellStart"/>
            <w:r w:rsidR="00E0740D" w:rsidRPr="004B63EC">
              <w:rPr>
                <w:rFonts w:ascii="Arial" w:hAnsi="Arial" w:cs="Arial"/>
                <w:sz w:val="20"/>
                <w:szCs w:val="20"/>
              </w:rPr>
              <w:t>Haiti.RedCross</w:t>
            </w:r>
            <w:proofErr w:type="spellEnd"/>
            <w:r w:rsidR="00E0740D" w:rsidRPr="004B63EC">
              <w:rPr>
                <w:rFonts w:ascii="Arial" w:hAnsi="Arial" w:cs="Arial"/>
                <w:sz w:val="20"/>
                <w:szCs w:val="20"/>
              </w:rPr>
              <w:t xml:space="preserve">).  </w:t>
            </w:r>
          </w:p>
          <w:p w14:paraId="6899C43A" w14:textId="77777777" w:rsidR="00E0740D" w:rsidRPr="004B63EC" w:rsidRDefault="00E0740D" w:rsidP="00C52564">
            <w:pPr>
              <w:rPr>
                <w:rFonts w:ascii="Arial" w:hAnsi="Arial" w:cs="Arial"/>
                <w:b/>
                <w:sz w:val="20"/>
                <w:szCs w:val="20"/>
              </w:rPr>
            </w:pPr>
          </w:p>
        </w:tc>
      </w:tr>
    </w:tbl>
    <w:p w14:paraId="08E7AB8F" w14:textId="77777777" w:rsidR="00E0740D" w:rsidRPr="004B63EC" w:rsidRDefault="00E0740D" w:rsidP="00EA2994">
      <w:pPr>
        <w:rPr>
          <w:rFonts w:ascii="Arial" w:hAnsi="Arial" w:cs="Arial"/>
          <w:sz w:val="20"/>
          <w:szCs w:val="20"/>
        </w:rPr>
      </w:pPr>
    </w:p>
    <w:p w14:paraId="3AAD43B9" w14:textId="77777777" w:rsidR="00E0740D" w:rsidRPr="004B63EC" w:rsidRDefault="00E0740D"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76D9CEA4" w14:textId="77777777">
        <w:tc>
          <w:tcPr>
            <w:tcW w:w="8838" w:type="dxa"/>
            <w:gridSpan w:val="2"/>
            <w:shd w:val="clear" w:color="auto" w:fill="E0E0E0"/>
          </w:tcPr>
          <w:p w14:paraId="240BE195" w14:textId="77777777" w:rsidR="00E0740D" w:rsidRPr="004B63EC" w:rsidRDefault="00E0740D" w:rsidP="00D7733A">
            <w:pPr>
              <w:rPr>
                <w:rFonts w:ascii="Arial" w:hAnsi="Arial" w:cs="Arial"/>
                <w:sz w:val="20"/>
                <w:szCs w:val="20"/>
              </w:rPr>
            </w:pPr>
            <w:r w:rsidRPr="004B63EC">
              <w:rPr>
                <w:rFonts w:ascii="Arial" w:hAnsi="Arial" w:cs="Arial"/>
                <w:b/>
                <w:sz w:val="20"/>
                <w:szCs w:val="20"/>
              </w:rPr>
              <w:t>Module 5: Registry Agreement needs flexibility for single-registrant TLDs</w:t>
            </w:r>
          </w:p>
        </w:tc>
      </w:tr>
      <w:tr w:rsidR="00E0740D" w:rsidRPr="004B63EC" w14:paraId="53BA25CC" w14:textId="77777777">
        <w:tc>
          <w:tcPr>
            <w:tcW w:w="4248" w:type="dxa"/>
          </w:tcPr>
          <w:p w14:paraId="1CD96EA7"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90" w:type="dxa"/>
          </w:tcPr>
          <w:p w14:paraId="5C76C6EC"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40062650" w14:textId="77777777">
        <w:tc>
          <w:tcPr>
            <w:tcW w:w="4248" w:type="dxa"/>
          </w:tcPr>
          <w:p w14:paraId="2748E9B0" w14:textId="77777777" w:rsidR="00E0740D" w:rsidRPr="004B63EC" w:rsidRDefault="00E0740D" w:rsidP="00EA2994">
            <w:pPr>
              <w:rPr>
                <w:rFonts w:ascii="Arial" w:hAnsi="Arial" w:cs="Arial"/>
                <w:sz w:val="20"/>
                <w:szCs w:val="20"/>
              </w:rPr>
            </w:pPr>
            <w:r w:rsidRPr="004B63EC">
              <w:rPr>
                <w:rFonts w:ascii="Arial" w:hAnsi="Arial" w:cs="Arial"/>
                <w:sz w:val="20"/>
                <w:szCs w:val="20"/>
              </w:rPr>
              <w:t>Registry Base Agreement</w:t>
            </w:r>
          </w:p>
          <w:p w14:paraId="3339D1F7" w14:textId="77777777" w:rsidR="00E0740D" w:rsidRPr="004B63EC" w:rsidRDefault="00E0740D" w:rsidP="00EA2994">
            <w:pPr>
              <w:rPr>
                <w:rFonts w:ascii="Arial" w:hAnsi="Arial" w:cs="Arial"/>
                <w:sz w:val="20"/>
                <w:szCs w:val="20"/>
              </w:rPr>
            </w:pPr>
            <w:proofErr w:type="gramStart"/>
            <w:r w:rsidRPr="004B63EC">
              <w:rPr>
                <w:rFonts w:ascii="Arial" w:hAnsi="Arial" w:cs="Arial"/>
                <w:sz w:val="20"/>
                <w:szCs w:val="20"/>
              </w:rPr>
              <w:t>2.9  Registrars</w:t>
            </w:r>
            <w:proofErr w:type="gramEnd"/>
            <w:r w:rsidRPr="004B63EC">
              <w:rPr>
                <w:rFonts w:ascii="Arial" w:hAnsi="Arial" w:cs="Arial"/>
                <w:sz w:val="20"/>
                <w:szCs w:val="20"/>
              </w:rPr>
              <w:t>.</w:t>
            </w:r>
          </w:p>
          <w:p w14:paraId="4C38C014" w14:textId="77777777" w:rsidR="00E0740D" w:rsidRPr="004B63EC" w:rsidRDefault="00E0740D" w:rsidP="00B47AEF">
            <w:pPr>
              <w:rPr>
                <w:rFonts w:ascii="Arial" w:hAnsi="Arial" w:cs="Arial"/>
                <w:sz w:val="20"/>
                <w:szCs w:val="20"/>
              </w:rPr>
            </w:pPr>
            <w:r w:rsidRPr="004B63EC">
              <w:rPr>
                <w:rFonts w:ascii="Arial" w:hAnsi="Arial" w:cs="Arial"/>
                <w:sz w:val="20"/>
                <w:szCs w:val="20"/>
              </w:rPr>
              <w:t>(a)  …Registry Operator must provide non-discriminatory access to Registry Services to all ICANN accredited registrars that enter into and are in compliance with Registry Operator’s registry-registrar agreement for the TLD</w:t>
            </w:r>
            <w:r w:rsidRPr="004B63EC">
              <w:rPr>
                <w:rFonts w:ascii="Arial" w:hAnsi="Arial" w:cs="Arial"/>
                <w:color w:val="0000FF"/>
                <w:sz w:val="20"/>
                <w:szCs w:val="20"/>
              </w:rPr>
              <w:t>, provided that Registry Operator may establish non-discriminatory criteria for qualification to register names in the TLD that are reasonably related to the proper functioning of the TLD.</w:t>
            </w:r>
            <w:r w:rsidRPr="004B63EC">
              <w:rPr>
                <w:rFonts w:ascii="Arial" w:hAnsi="Arial" w:cs="Arial"/>
                <w:sz w:val="20"/>
                <w:szCs w:val="20"/>
              </w:rPr>
              <w:t xml:space="preserve"> Registry Operator must use a uniform non- discriminatory agreement with all registrars authorized to register names in the TLD. </w:t>
            </w:r>
          </w:p>
          <w:p w14:paraId="382DA6D1" w14:textId="77777777" w:rsidR="00E0740D" w:rsidRPr="004B63EC" w:rsidRDefault="00E0740D" w:rsidP="00EA2994">
            <w:pPr>
              <w:rPr>
                <w:rFonts w:ascii="Arial" w:hAnsi="Arial" w:cs="Arial"/>
                <w:sz w:val="20"/>
                <w:szCs w:val="20"/>
              </w:rPr>
            </w:pPr>
          </w:p>
        </w:tc>
        <w:tc>
          <w:tcPr>
            <w:tcW w:w="4590" w:type="dxa"/>
          </w:tcPr>
          <w:p w14:paraId="4A657AD0" w14:textId="77777777" w:rsidR="00E0740D" w:rsidRPr="00502186" w:rsidRDefault="00E0740D" w:rsidP="00EA2994">
            <w:pPr>
              <w:rPr>
                <w:rFonts w:ascii="Arial" w:hAnsi="Arial" w:cs="Arial"/>
                <w:sz w:val="20"/>
                <w:szCs w:val="20"/>
              </w:rPr>
            </w:pPr>
          </w:p>
          <w:p w14:paraId="32256411" w14:textId="77777777" w:rsidR="00E0740D" w:rsidRPr="00502186" w:rsidRDefault="00E0740D" w:rsidP="00EA2994">
            <w:pPr>
              <w:rPr>
                <w:rFonts w:ascii="Arial" w:hAnsi="Arial" w:cs="Arial"/>
                <w:sz w:val="20"/>
                <w:szCs w:val="20"/>
              </w:rPr>
            </w:pPr>
          </w:p>
          <w:p w14:paraId="5F7CA63B" w14:textId="77777777" w:rsidR="00E0740D" w:rsidRPr="00502186" w:rsidRDefault="00E0740D" w:rsidP="00EA2994">
            <w:pPr>
              <w:rPr>
                <w:rFonts w:ascii="Arial" w:hAnsi="Arial" w:cs="Arial"/>
                <w:color w:val="FF6600"/>
                <w:sz w:val="20"/>
                <w:szCs w:val="20"/>
              </w:rPr>
            </w:pPr>
          </w:p>
          <w:p w14:paraId="4C021F44" w14:textId="77777777" w:rsidR="00E0740D" w:rsidRPr="00502186" w:rsidRDefault="00E0740D" w:rsidP="00EA2994">
            <w:pPr>
              <w:rPr>
                <w:rFonts w:ascii="Arial" w:hAnsi="Arial" w:cs="Arial"/>
                <w:color w:val="FF6600"/>
                <w:sz w:val="20"/>
                <w:szCs w:val="20"/>
              </w:rPr>
            </w:pPr>
          </w:p>
          <w:p w14:paraId="08765AE2" w14:textId="77777777" w:rsidR="00A70488" w:rsidRPr="00502186" w:rsidRDefault="00A70488" w:rsidP="00A70488">
            <w:pPr>
              <w:rPr>
                <w:rFonts w:ascii="Arial" w:hAnsi="Arial" w:cs="Arial"/>
                <w:sz w:val="20"/>
                <w:szCs w:val="20"/>
              </w:rPr>
            </w:pPr>
          </w:p>
          <w:p w14:paraId="3F894826" w14:textId="77777777" w:rsidR="00A70488" w:rsidRPr="00502186" w:rsidRDefault="00A70488" w:rsidP="00A70488">
            <w:pPr>
              <w:rPr>
                <w:rFonts w:ascii="Arial" w:hAnsi="Arial" w:cs="Arial"/>
                <w:sz w:val="20"/>
                <w:szCs w:val="20"/>
              </w:rPr>
            </w:pPr>
          </w:p>
          <w:p w14:paraId="10A1AE8D" w14:textId="77777777" w:rsidR="00A70488" w:rsidRDefault="00502186" w:rsidP="00A70488">
            <w:pPr>
              <w:rPr>
                <w:rFonts w:ascii="Arial" w:hAnsi="Arial" w:cs="Arial"/>
                <w:sz w:val="20"/>
                <w:szCs w:val="20"/>
              </w:rPr>
            </w:pPr>
            <w:r>
              <w:rPr>
                <w:rFonts w:ascii="Arial" w:hAnsi="Arial" w:cs="Arial"/>
                <w:sz w:val="20"/>
                <w:szCs w:val="20"/>
              </w:rPr>
              <w:t>The Base Agreement should be amended to include the same exception for single-registrant TLDs that is contained in item 6 of the Code of Conduct.</w:t>
            </w:r>
          </w:p>
          <w:p w14:paraId="25B21B69" w14:textId="77777777" w:rsidR="00502186" w:rsidRDefault="00502186" w:rsidP="00A70488">
            <w:pPr>
              <w:rPr>
                <w:rFonts w:ascii="Arial" w:hAnsi="Arial" w:cs="Arial"/>
                <w:sz w:val="20"/>
                <w:szCs w:val="20"/>
              </w:rPr>
            </w:pPr>
          </w:p>
          <w:p w14:paraId="3CD249DC" w14:textId="77777777" w:rsidR="00502186" w:rsidRPr="00502186" w:rsidRDefault="00502186" w:rsidP="00A70488">
            <w:pPr>
              <w:rPr>
                <w:rFonts w:ascii="Arial" w:hAnsi="Arial" w:cs="Arial"/>
                <w:sz w:val="20"/>
                <w:szCs w:val="20"/>
              </w:rPr>
            </w:pPr>
            <w:r>
              <w:rPr>
                <w:rFonts w:ascii="Arial" w:hAnsi="Arial" w:cs="Arial"/>
                <w:sz w:val="20"/>
                <w:szCs w:val="20"/>
              </w:rPr>
              <w:t xml:space="preserve">Namely, </w:t>
            </w:r>
            <w:r w:rsidRPr="00502186">
              <w:rPr>
                <w:rFonts w:ascii="Arial" w:hAnsi="Arial" w:cs="Arial"/>
                <w:b/>
                <w:sz w:val="20"/>
                <w:szCs w:val="20"/>
              </w:rPr>
              <w:t xml:space="preserve">“Single-Registrant TLDs </w:t>
            </w:r>
            <w:r>
              <w:rPr>
                <w:rFonts w:ascii="Arial" w:hAnsi="Arial" w:cs="Arial"/>
                <w:b/>
                <w:sz w:val="20"/>
                <w:szCs w:val="20"/>
              </w:rPr>
              <w:t>may</w:t>
            </w:r>
            <w:r w:rsidRPr="00502186">
              <w:rPr>
                <w:rFonts w:ascii="Arial" w:hAnsi="Arial" w:cs="Arial"/>
                <w:b/>
                <w:sz w:val="20"/>
                <w:szCs w:val="20"/>
              </w:rPr>
              <w:t xml:space="preserve"> </w:t>
            </w:r>
            <w:r>
              <w:rPr>
                <w:rFonts w:ascii="Arial" w:hAnsi="Arial" w:cs="Arial"/>
                <w:b/>
                <w:sz w:val="20"/>
                <w:szCs w:val="20"/>
              </w:rPr>
              <w:t xml:space="preserve">establish </w:t>
            </w:r>
            <w:r w:rsidRPr="00502186">
              <w:rPr>
                <w:rFonts w:ascii="Arial" w:hAnsi="Arial" w:cs="Arial"/>
                <w:b/>
                <w:sz w:val="20"/>
                <w:szCs w:val="20"/>
              </w:rPr>
              <w:t>discriminatory criteria for registrars</w:t>
            </w:r>
            <w:r>
              <w:rPr>
                <w:rFonts w:ascii="Arial" w:hAnsi="Arial" w:cs="Arial"/>
                <w:b/>
                <w:sz w:val="20"/>
                <w:szCs w:val="20"/>
              </w:rPr>
              <w:t xml:space="preserve"> qualified to register names in the TLD</w:t>
            </w:r>
            <w:r w:rsidRPr="00502186">
              <w:rPr>
                <w:rFonts w:ascii="Arial" w:hAnsi="Arial" w:cs="Arial"/>
                <w:b/>
                <w:sz w:val="20"/>
                <w:szCs w:val="20"/>
              </w:rPr>
              <w:t>.”</w:t>
            </w:r>
          </w:p>
          <w:p w14:paraId="6A685808" w14:textId="77777777" w:rsidR="00E0740D" w:rsidRPr="00502186" w:rsidRDefault="00E0740D" w:rsidP="00EA2994">
            <w:pPr>
              <w:rPr>
                <w:rFonts w:ascii="Arial" w:hAnsi="Arial" w:cs="Arial"/>
                <w:sz w:val="20"/>
                <w:szCs w:val="20"/>
              </w:rPr>
            </w:pPr>
          </w:p>
        </w:tc>
      </w:tr>
      <w:tr w:rsidR="00E0740D" w:rsidRPr="004B63EC" w14:paraId="7A31B3FC" w14:textId="77777777">
        <w:trPr>
          <w:trHeight w:val="1052"/>
        </w:trPr>
        <w:tc>
          <w:tcPr>
            <w:tcW w:w="8838" w:type="dxa"/>
            <w:gridSpan w:val="2"/>
          </w:tcPr>
          <w:p w14:paraId="46F8AB1F" w14:textId="77777777" w:rsidR="00E0740D" w:rsidRPr="004B63EC" w:rsidRDefault="00E0740D" w:rsidP="00EA2994">
            <w:pPr>
              <w:rPr>
                <w:rFonts w:ascii="Arial" w:hAnsi="Arial" w:cs="Arial"/>
                <w:b/>
                <w:sz w:val="20"/>
                <w:szCs w:val="20"/>
              </w:rPr>
            </w:pPr>
            <w:r w:rsidRPr="004B63EC">
              <w:rPr>
                <w:rFonts w:ascii="Arial" w:hAnsi="Arial" w:cs="Arial"/>
                <w:b/>
                <w:sz w:val="20"/>
                <w:szCs w:val="20"/>
              </w:rPr>
              <w:t>Rationale for BC Recommendation:</w:t>
            </w:r>
          </w:p>
          <w:p w14:paraId="4CC998DB" w14:textId="77777777" w:rsidR="00E0740D" w:rsidRPr="004B63EC" w:rsidRDefault="00E0740D" w:rsidP="00EA2994">
            <w:pPr>
              <w:rPr>
                <w:rFonts w:ascii="Arial" w:hAnsi="Arial" w:cs="Arial"/>
                <w:sz w:val="20"/>
                <w:szCs w:val="20"/>
              </w:rPr>
            </w:pPr>
          </w:p>
          <w:p w14:paraId="6CF9E62B"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The Registry Agreement should not unduly restrict single-registrant TLDs from using only a </w:t>
            </w:r>
            <w:proofErr w:type="gramStart"/>
            <w:r w:rsidRPr="004B63EC">
              <w:rPr>
                <w:rFonts w:ascii="Arial" w:hAnsi="Arial" w:cs="Arial"/>
                <w:sz w:val="20"/>
                <w:szCs w:val="20"/>
              </w:rPr>
              <w:t>wholly-owned</w:t>
            </w:r>
            <w:proofErr w:type="gramEnd"/>
            <w:r w:rsidRPr="004B63EC">
              <w:rPr>
                <w:rFonts w:ascii="Arial" w:hAnsi="Arial" w:cs="Arial"/>
                <w:sz w:val="20"/>
                <w:szCs w:val="20"/>
              </w:rPr>
              <w:t xml:space="preserve"> or closely affiliated registrar to register and manage names that it controls.  (</w:t>
            </w:r>
            <w:proofErr w:type="gramStart"/>
            <w:r w:rsidRPr="004B63EC">
              <w:rPr>
                <w:rFonts w:ascii="Arial" w:hAnsi="Arial" w:cs="Arial"/>
                <w:sz w:val="20"/>
                <w:szCs w:val="20"/>
              </w:rPr>
              <w:t>e</w:t>
            </w:r>
            <w:proofErr w:type="gramEnd"/>
            <w:r w:rsidRPr="004B63EC">
              <w:rPr>
                <w:rFonts w:ascii="Arial" w:hAnsi="Arial" w:cs="Arial"/>
                <w:sz w:val="20"/>
                <w:szCs w:val="20"/>
              </w:rPr>
              <w:t>.g., for divisions, product lines, locations, etc. )</w:t>
            </w:r>
          </w:p>
          <w:p w14:paraId="49FFECF1" w14:textId="77777777" w:rsidR="00E0740D" w:rsidRPr="004B63EC" w:rsidRDefault="00E0740D" w:rsidP="00EA2994">
            <w:pPr>
              <w:rPr>
                <w:rFonts w:ascii="Arial" w:hAnsi="Arial" w:cs="Arial"/>
                <w:b/>
                <w:sz w:val="20"/>
                <w:szCs w:val="20"/>
              </w:rPr>
            </w:pPr>
          </w:p>
        </w:tc>
      </w:tr>
    </w:tbl>
    <w:p w14:paraId="5FD2D3F7" w14:textId="77777777" w:rsidR="00E0740D" w:rsidRPr="004B63EC" w:rsidRDefault="00E0740D" w:rsidP="00EA2994">
      <w:pPr>
        <w:rPr>
          <w:rFonts w:ascii="Arial" w:hAnsi="Arial" w:cs="Arial"/>
          <w:sz w:val="20"/>
          <w:szCs w:val="20"/>
        </w:rPr>
      </w:pPr>
      <w:r w:rsidRPr="004B63EC">
        <w:rPr>
          <w:rFonts w:ascii="Arial" w:hAnsi="Arial" w:cs="Arial"/>
          <w:sz w:val="20"/>
          <w:szCs w:val="20"/>
        </w:rPr>
        <w:br w:type="page"/>
      </w:r>
    </w:p>
    <w:p w14:paraId="361A89AA" w14:textId="77777777" w:rsidR="00E0740D" w:rsidRPr="004B63EC" w:rsidRDefault="00E0740D" w:rsidP="00EA2994">
      <w:pPr>
        <w:rPr>
          <w:rFonts w:ascii="Arial" w:hAnsi="Arial" w:cs="Arial"/>
          <w:sz w:val="20"/>
          <w:szCs w:val="20"/>
        </w:rPr>
      </w:pPr>
    </w:p>
    <w:p w14:paraId="33201DEB" w14:textId="77777777" w:rsidR="00E0740D" w:rsidRPr="004B63EC" w:rsidRDefault="00E0740D"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1F7379" w:rsidRPr="004B63EC" w14:paraId="18DF303E" w14:textId="77777777" w:rsidTr="005217E8">
        <w:tc>
          <w:tcPr>
            <w:tcW w:w="8838" w:type="dxa"/>
            <w:gridSpan w:val="2"/>
            <w:shd w:val="clear" w:color="auto" w:fill="E0E0E0"/>
          </w:tcPr>
          <w:p w14:paraId="72288E12" w14:textId="77777777" w:rsidR="001F7379" w:rsidRPr="004B63EC" w:rsidRDefault="001F7379" w:rsidP="005217E8">
            <w:pPr>
              <w:rPr>
                <w:rFonts w:ascii="Arial" w:hAnsi="Arial" w:cs="Arial"/>
                <w:sz w:val="20"/>
                <w:szCs w:val="20"/>
              </w:rPr>
            </w:pPr>
            <w:r w:rsidRPr="004B63EC">
              <w:rPr>
                <w:rFonts w:ascii="Arial" w:hAnsi="Arial" w:cs="Arial"/>
                <w:b/>
                <w:sz w:val="20"/>
                <w:szCs w:val="20"/>
              </w:rPr>
              <w:t>Module 5: Concerns of single-registrant TLD</w:t>
            </w:r>
            <w:r>
              <w:rPr>
                <w:rFonts w:ascii="Arial" w:hAnsi="Arial" w:cs="Arial"/>
                <w:b/>
                <w:sz w:val="20"/>
                <w:szCs w:val="20"/>
              </w:rPr>
              <w:t>s</w:t>
            </w:r>
            <w:r w:rsidRPr="004B63EC">
              <w:rPr>
                <w:rFonts w:ascii="Arial" w:hAnsi="Arial" w:cs="Arial"/>
                <w:b/>
                <w:sz w:val="20"/>
                <w:szCs w:val="20"/>
              </w:rPr>
              <w:t xml:space="preserve"> </w:t>
            </w:r>
          </w:p>
        </w:tc>
      </w:tr>
      <w:tr w:rsidR="001F7379" w:rsidRPr="004B63EC" w14:paraId="697DA501" w14:textId="77777777" w:rsidTr="005217E8">
        <w:tc>
          <w:tcPr>
            <w:tcW w:w="4248" w:type="dxa"/>
          </w:tcPr>
          <w:p w14:paraId="454A7CFC" w14:textId="77777777" w:rsidR="001F7379" w:rsidRPr="004B63EC" w:rsidRDefault="001F7379" w:rsidP="005217E8">
            <w:pPr>
              <w:rPr>
                <w:rFonts w:ascii="Arial" w:hAnsi="Arial" w:cs="Arial"/>
                <w:b/>
                <w:sz w:val="20"/>
                <w:szCs w:val="20"/>
              </w:rPr>
            </w:pPr>
            <w:r w:rsidRPr="004B63EC">
              <w:rPr>
                <w:rFonts w:ascii="Arial" w:hAnsi="Arial" w:cs="Arial"/>
                <w:b/>
                <w:sz w:val="20"/>
                <w:szCs w:val="20"/>
              </w:rPr>
              <w:t>Current Guidebook Approach:</w:t>
            </w:r>
          </w:p>
        </w:tc>
        <w:tc>
          <w:tcPr>
            <w:tcW w:w="4590" w:type="dxa"/>
          </w:tcPr>
          <w:p w14:paraId="55A9ADCE" w14:textId="77777777" w:rsidR="001F7379" w:rsidRPr="004B63EC" w:rsidRDefault="001F7379" w:rsidP="005217E8">
            <w:pPr>
              <w:rPr>
                <w:rFonts w:ascii="Arial" w:hAnsi="Arial" w:cs="Arial"/>
                <w:b/>
                <w:sz w:val="20"/>
                <w:szCs w:val="20"/>
              </w:rPr>
            </w:pPr>
            <w:r w:rsidRPr="004B63EC">
              <w:rPr>
                <w:rFonts w:ascii="Arial" w:hAnsi="Arial" w:cs="Arial"/>
                <w:b/>
                <w:sz w:val="20"/>
                <w:szCs w:val="20"/>
              </w:rPr>
              <w:t xml:space="preserve">BC Recommended Changes: </w:t>
            </w:r>
          </w:p>
        </w:tc>
      </w:tr>
      <w:tr w:rsidR="001F7379" w:rsidRPr="004B63EC" w14:paraId="71556CCF" w14:textId="77777777" w:rsidTr="005217E8">
        <w:tc>
          <w:tcPr>
            <w:tcW w:w="4248" w:type="dxa"/>
          </w:tcPr>
          <w:p w14:paraId="14300A28" w14:textId="77777777" w:rsidR="001F7379" w:rsidRPr="004B63EC" w:rsidRDefault="001F7379" w:rsidP="005217E8">
            <w:pPr>
              <w:rPr>
                <w:rFonts w:ascii="Arial" w:hAnsi="Arial" w:cs="Arial"/>
                <w:sz w:val="20"/>
                <w:szCs w:val="20"/>
              </w:rPr>
            </w:pPr>
            <w:r w:rsidRPr="004B63EC">
              <w:rPr>
                <w:rFonts w:ascii="Arial" w:hAnsi="Arial" w:cs="Arial"/>
                <w:sz w:val="20"/>
                <w:szCs w:val="20"/>
              </w:rPr>
              <w:t xml:space="preserve">Registry Agreement </w:t>
            </w:r>
          </w:p>
          <w:p w14:paraId="12025E80" w14:textId="77777777" w:rsidR="001F7379" w:rsidRPr="004B63EC" w:rsidRDefault="001F7379" w:rsidP="005217E8">
            <w:pPr>
              <w:rPr>
                <w:rFonts w:ascii="Arial" w:hAnsi="Arial" w:cs="Arial"/>
                <w:sz w:val="20"/>
                <w:szCs w:val="20"/>
              </w:rPr>
            </w:pPr>
            <w:r w:rsidRPr="004B63EC">
              <w:rPr>
                <w:rFonts w:ascii="Arial" w:hAnsi="Arial" w:cs="Arial"/>
                <w:sz w:val="20"/>
                <w:szCs w:val="20"/>
              </w:rPr>
              <w:t xml:space="preserve">4.5 Transition of Registry upon Termination of Agreement. </w:t>
            </w:r>
          </w:p>
          <w:p w14:paraId="7FF0104A" w14:textId="77777777" w:rsidR="001F7379" w:rsidRPr="004B63EC" w:rsidRDefault="001F7379" w:rsidP="005217E8">
            <w:pPr>
              <w:rPr>
                <w:rFonts w:ascii="Arial" w:hAnsi="Arial" w:cs="Arial"/>
                <w:sz w:val="20"/>
                <w:szCs w:val="20"/>
              </w:rPr>
            </w:pPr>
          </w:p>
          <w:p w14:paraId="37ADE523" w14:textId="77777777" w:rsidR="001F7379" w:rsidRPr="004B63EC" w:rsidRDefault="001F7379" w:rsidP="005217E8">
            <w:pPr>
              <w:rPr>
                <w:rFonts w:ascii="Arial" w:hAnsi="Arial" w:cs="Arial"/>
                <w:sz w:val="20"/>
                <w:szCs w:val="20"/>
              </w:rPr>
            </w:pPr>
            <w:r w:rsidRPr="004B63EC">
              <w:rPr>
                <w:rFonts w:ascii="Arial" w:hAnsi="Arial" w:cs="Arial"/>
                <w:sz w:val="20"/>
                <w:szCs w:val="20"/>
              </w:rPr>
              <w:t xml:space="preserve">Upon </w:t>
            </w:r>
            <w:proofErr w:type="gramStart"/>
            <w:r w:rsidRPr="004B63EC">
              <w:rPr>
                <w:rFonts w:ascii="Arial" w:hAnsi="Arial" w:cs="Arial"/>
                <w:sz w:val="20"/>
                <w:szCs w:val="20"/>
              </w:rPr>
              <w:t>expiration ..</w:t>
            </w:r>
            <w:proofErr w:type="gramEnd"/>
            <w:r w:rsidRPr="004B63EC">
              <w:rPr>
                <w:rFonts w:ascii="Arial" w:hAnsi="Arial" w:cs="Arial"/>
                <w:sz w:val="20"/>
                <w:szCs w:val="20"/>
              </w:rPr>
              <w:t xml:space="preserve"> </w:t>
            </w:r>
            <w:proofErr w:type="gramStart"/>
            <w:r w:rsidRPr="004B63EC">
              <w:rPr>
                <w:rFonts w:ascii="Arial" w:hAnsi="Arial" w:cs="Arial"/>
                <w:sz w:val="20"/>
                <w:szCs w:val="20"/>
              </w:rPr>
              <w:t>or</w:t>
            </w:r>
            <w:proofErr w:type="gramEnd"/>
            <w:r w:rsidRPr="004B63EC">
              <w:rPr>
                <w:rFonts w:ascii="Arial" w:hAnsi="Arial" w:cs="Arial"/>
                <w:sz w:val="20"/>
                <w:szCs w:val="20"/>
              </w:rPr>
              <w:t xml:space="preserve"> any termination of this Agreement …Registry Operator shall provide ICANN or any successor registry operator that may be designated by ICANN for the TLD with all data … necessary to maintain operations and registry functions that may be reasonably requested by ICANN or such successor registry operator.</w:t>
            </w:r>
          </w:p>
          <w:p w14:paraId="253C4C1A" w14:textId="77777777" w:rsidR="001F7379" w:rsidRPr="004B63EC" w:rsidRDefault="001F7379" w:rsidP="005217E8">
            <w:pPr>
              <w:rPr>
                <w:rFonts w:ascii="Arial" w:hAnsi="Arial" w:cs="Arial"/>
                <w:color w:val="0000FF"/>
                <w:sz w:val="20"/>
                <w:szCs w:val="20"/>
              </w:rPr>
            </w:pPr>
          </w:p>
          <w:p w14:paraId="154059DD" w14:textId="77777777" w:rsidR="001F7379" w:rsidRPr="004B63EC" w:rsidRDefault="001F7379" w:rsidP="005217E8">
            <w:pPr>
              <w:rPr>
                <w:rFonts w:ascii="Arial" w:hAnsi="Arial" w:cs="Arial"/>
                <w:sz w:val="20"/>
                <w:szCs w:val="20"/>
              </w:rPr>
            </w:pPr>
            <w:r w:rsidRPr="004B63EC">
              <w:rPr>
                <w:rFonts w:ascii="Arial" w:eastAsia="Times New Roman" w:hAnsi="Arial" w:cs="Arial"/>
                <w:color w:val="0000FF"/>
                <w:sz w:val="20"/>
                <w:szCs w:val="20"/>
              </w:rPr>
              <w:t>Provided however, that if all sub-domains in the registry for the TLD are registered or licensed to and used exclusively by Registry Operator or individuals or entities that are Affiliates of Registry Operator, then ICANN may not transition operation of the TLD to a successor registry operator without the consent of Registry Operator (which shall not be unreasonably withheld, conditioned or delayed).</w:t>
            </w:r>
          </w:p>
        </w:tc>
        <w:tc>
          <w:tcPr>
            <w:tcW w:w="4590" w:type="dxa"/>
          </w:tcPr>
          <w:p w14:paraId="60C433A6" w14:textId="77777777" w:rsidR="001F7379" w:rsidRPr="004B63EC" w:rsidRDefault="001F7379" w:rsidP="005217E8">
            <w:pPr>
              <w:rPr>
                <w:rFonts w:ascii="Arial" w:hAnsi="Arial" w:cs="Arial"/>
                <w:sz w:val="20"/>
                <w:szCs w:val="20"/>
              </w:rPr>
            </w:pPr>
          </w:p>
          <w:p w14:paraId="61FE4244" w14:textId="77777777" w:rsidR="001F7379" w:rsidRPr="004B63EC" w:rsidRDefault="001F7379" w:rsidP="005217E8">
            <w:pPr>
              <w:rPr>
                <w:rFonts w:ascii="Arial" w:hAnsi="Arial" w:cs="Arial"/>
                <w:sz w:val="20"/>
                <w:szCs w:val="20"/>
              </w:rPr>
            </w:pPr>
          </w:p>
          <w:p w14:paraId="7241182C" w14:textId="77777777" w:rsidR="001F7379" w:rsidRPr="004B63EC" w:rsidRDefault="001F7379" w:rsidP="005217E8">
            <w:pPr>
              <w:rPr>
                <w:rFonts w:ascii="Arial" w:hAnsi="Arial" w:cs="Arial"/>
                <w:sz w:val="20"/>
                <w:szCs w:val="20"/>
              </w:rPr>
            </w:pPr>
          </w:p>
          <w:p w14:paraId="46493849" w14:textId="77777777" w:rsidR="001F7379" w:rsidRDefault="001F7379" w:rsidP="005217E8">
            <w:pPr>
              <w:rPr>
                <w:rFonts w:ascii="Arial" w:hAnsi="Arial" w:cs="Arial"/>
                <w:sz w:val="20"/>
                <w:szCs w:val="20"/>
              </w:rPr>
            </w:pPr>
          </w:p>
          <w:p w14:paraId="02011C5E" w14:textId="77777777" w:rsidR="001F7379" w:rsidRPr="001F7379" w:rsidRDefault="001F7379" w:rsidP="005217E8">
            <w:pPr>
              <w:rPr>
                <w:rFonts w:ascii="Arial" w:hAnsi="Arial" w:cs="Arial"/>
                <w:sz w:val="20"/>
                <w:szCs w:val="20"/>
              </w:rPr>
            </w:pPr>
            <w:r w:rsidRPr="001F7379">
              <w:rPr>
                <w:rFonts w:ascii="Arial" w:hAnsi="Arial" w:cs="Arial"/>
                <w:sz w:val="20"/>
                <w:szCs w:val="20"/>
              </w:rPr>
              <w:t>The BC acknowledges the addition of this appropriate exception added to this version of the Guidebook.</w:t>
            </w:r>
          </w:p>
          <w:p w14:paraId="7FA9FF70" w14:textId="77777777" w:rsidR="001F7379" w:rsidRPr="001F7379" w:rsidRDefault="001F7379" w:rsidP="005217E8">
            <w:pPr>
              <w:rPr>
                <w:rFonts w:ascii="Arial" w:hAnsi="Arial" w:cs="Arial"/>
                <w:sz w:val="20"/>
                <w:szCs w:val="20"/>
              </w:rPr>
            </w:pPr>
          </w:p>
          <w:p w14:paraId="37B95BDC" w14:textId="77777777" w:rsidR="001F7379" w:rsidRPr="001F7379" w:rsidRDefault="001F7379" w:rsidP="005217E8">
            <w:pPr>
              <w:rPr>
                <w:rFonts w:ascii="Arial" w:hAnsi="Arial" w:cs="Arial"/>
                <w:sz w:val="20"/>
                <w:szCs w:val="20"/>
              </w:rPr>
            </w:pPr>
            <w:r w:rsidRPr="001F7379">
              <w:rPr>
                <w:rFonts w:ascii="Arial" w:hAnsi="Arial" w:cs="Arial"/>
                <w:sz w:val="20"/>
                <w:szCs w:val="20"/>
              </w:rPr>
              <w:t>However, the exception should reference a common definition for a “Single-registrant TLD” instead of defining it separately here.</w:t>
            </w:r>
            <w:r>
              <w:rPr>
                <w:rFonts w:ascii="Arial" w:hAnsi="Arial" w:cs="Arial"/>
                <w:sz w:val="20"/>
                <w:szCs w:val="20"/>
              </w:rPr>
              <w:t xml:space="preserve">  Please consider the following</w:t>
            </w:r>
            <w:r w:rsidR="0059578F">
              <w:rPr>
                <w:rFonts w:ascii="Arial" w:hAnsi="Arial" w:cs="Arial"/>
                <w:sz w:val="20"/>
                <w:szCs w:val="20"/>
              </w:rPr>
              <w:t xml:space="preserve"> </w:t>
            </w:r>
            <w:proofErr w:type="gramStart"/>
            <w:r w:rsidR="0059578F">
              <w:rPr>
                <w:rFonts w:ascii="Arial" w:hAnsi="Arial" w:cs="Arial"/>
                <w:sz w:val="20"/>
                <w:szCs w:val="20"/>
              </w:rPr>
              <w:t xml:space="preserve">change </w:t>
            </w:r>
            <w:r>
              <w:rPr>
                <w:rFonts w:ascii="Arial" w:hAnsi="Arial" w:cs="Arial"/>
                <w:sz w:val="20"/>
                <w:szCs w:val="20"/>
              </w:rPr>
              <w:t>:</w:t>
            </w:r>
            <w:proofErr w:type="gramEnd"/>
          </w:p>
          <w:p w14:paraId="5D05CE2D" w14:textId="77777777" w:rsidR="001F7379" w:rsidRDefault="001F7379" w:rsidP="001F7379">
            <w:pPr>
              <w:rPr>
                <w:rFonts w:ascii="Arial" w:eastAsia="Times New Roman" w:hAnsi="Arial" w:cs="Arial"/>
                <w:color w:val="0000FF"/>
                <w:sz w:val="20"/>
                <w:szCs w:val="20"/>
              </w:rPr>
            </w:pPr>
          </w:p>
          <w:p w14:paraId="42C38A96" w14:textId="77777777" w:rsidR="001F7379" w:rsidRDefault="001F7379" w:rsidP="001F7379">
            <w:pPr>
              <w:rPr>
                <w:rFonts w:ascii="Arial" w:eastAsia="Times New Roman" w:hAnsi="Arial" w:cs="Arial"/>
                <w:color w:val="0000FF"/>
                <w:sz w:val="20"/>
                <w:szCs w:val="20"/>
              </w:rPr>
            </w:pPr>
            <w:r>
              <w:rPr>
                <w:rFonts w:ascii="Arial" w:eastAsia="Times New Roman" w:hAnsi="Arial" w:cs="Arial"/>
                <w:color w:val="0000FF"/>
                <w:sz w:val="20"/>
                <w:szCs w:val="20"/>
              </w:rPr>
              <w:t>“</w:t>
            </w:r>
            <w:r w:rsidRPr="004B63EC">
              <w:rPr>
                <w:rFonts w:ascii="Arial" w:eastAsia="Times New Roman" w:hAnsi="Arial" w:cs="Arial"/>
                <w:color w:val="0000FF"/>
                <w:sz w:val="20"/>
                <w:szCs w:val="20"/>
              </w:rPr>
              <w:t xml:space="preserve">Provided however, </w:t>
            </w:r>
            <w:r w:rsidRPr="001F7379">
              <w:rPr>
                <w:rFonts w:ascii="Arial" w:eastAsia="Times New Roman" w:hAnsi="Arial" w:cs="Arial"/>
                <w:b/>
                <w:color w:val="0000FF"/>
                <w:sz w:val="20"/>
                <w:szCs w:val="20"/>
              </w:rPr>
              <w:t>that for Single-registrant TLDs,</w:t>
            </w:r>
            <w:r>
              <w:rPr>
                <w:rFonts w:ascii="Arial" w:eastAsia="Times New Roman" w:hAnsi="Arial" w:cs="Arial"/>
                <w:color w:val="0000FF"/>
                <w:sz w:val="20"/>
                <w:szCs w:val="20"/>
              </w:rPr>
              <w:t xml:space="preserve"> </w:t>
            </w:r>
            <w:r w:rsidRPr="004B63EC">
              <w:rPr>
                <w:rFonts w:ascii="Arial" w:eastAsia="Times New Roman" w:hAnsi="Arial" w:cs="Arial"/>
                <w:color w:val="0000FF"/>
                <w:sz w:val="20"/>
                <w:szCs w:val="20"/>
              </w:rPr>
              <w:t>ICANN may not transition operation</w:t>
            </w:r>
            <w:r>
              <w:rPr>
                <w:rFonts w:ascii="Arial" w:eastAsia="Times New Roman" w:hAnsi="Arial" w:cs="Arial"/>
                <w:color w:val="0000FF"/>
                <w:sz w:val="20"/>
                <w:szCs w:val="20"/>
              </w:rPr>
              <w:t xml:space="preserve"> of the TLD …”</w:t>
            </w:r>
          </w:p>
          <w:p w14:paraId="62A86818" w14:textId="77777777" w:rsidR="001F7379" w:rsidRDefault="001F7379" w:rsidP="001F7379">
            <w:pPr>
              <w:rPr>
                <w:rFonts w:ascii="Arial" w:eastAsia="Times New Roman" w:hAnsi="Arial" w:cs="Arial"/>
                <w:color w:val="0000FF"/>
                <w:sz w:val="20"/>
                <w:szCs w:val="20"/>
              </w:rPr>
            </w:pPr>
          </w:p>
          <w:p w14:paraId="71AE451F" w14:textId="77777777" w:rsidR="001F7379" w:rsidRPr="001F7379" w:rsidRDefault="001F7379" w:rsidP="001F7379">
            <w:pPr>
              <w:rPr>
                <w:rFonts w:ascii="Arial" w:hAnsi="Arial" w:cs="Arial"/>
                <w:sz w:val="20"/>
                <w:szCs w:val="20"/>
              </w:rPr>
            </w:pPr>
            <w:r w:rsidRPr="001F7379">
              <w:rPr>
                <w:rFonts w:ascii="Arial" w:eastAsia="Times New Roman" w:hAnsi="Arial" w:cs="Arial"/>
                <w:sz w:val="20"/>
                <w:szCs w:val="20"/>
              </w:rPr>
              <w:t>And a</w:t>
            </w:r>
            <w:r w:rsidRPr="001F7379">
              <w:rPr>
                <w:rFonts w:ascii="Arial" w:hAnsi="Arial" w:cs="Arial"/>
                <w:sz w:val="20"/>
                <w:szCs w:val="20"/>
              </w:rPr>
              <w:t xml:space="preserve">s noted above, the BC recommends the following definition: </w:t>
            </w:r>
            <w:r w:rsidRPr="00BF3047">
              <w:rPr>
                <w:rFonts w:ascii="Arial" w:hAnsi="Arial" w:cs="Arial"/>
                <w:b/>
                <w:sz w:val="20"/>
                <w:szCs w:val="20"/>
              </w:rPr>
              <w:t>“Single-Registrant TLDs may establish discriminatory criteria for registrars qualified to register names in the TLD</w:t>
            </w:r>
            <w:r w:rsidRPr="001F7379">
              <w:rPr>
                <w:rFonts w:ascii="Arial" w:hAnsi="Arial" w:cs="Arial"/>
                <w:sz w:val="20"/>
                <w:szCs w:val="20"/>
              </w:rPr>
              <w:t>.”</w:t>
            </w:r>
          </w:p>
          <w:p w14:paraId="459E9F63" w14:textId="77777777" w:rsidR="001F7379" w:rsidRPr="004B63EC" w:rsidRDefault="001F7379" w:rsidP="005217E8">
            <w:pPr>
              <w:rPr>
                <w:rFonts w:ascii="Arial" w:hAnsi="Arial" w:cs="Arial"/>
                <w:b/>
                <w:sz w:val="20"/>
                <w:szCs w:val="20"/>
              </w:rPr>
            </w:pPr>
          </w:p>
        </w:tc>
      </w:tr>
      <w:tr w:rsidR="001F7379" w:rsidRPr="004B63EC" w14:paraId="1CB6935C" w14:textId="77777777" w:rsidTr="005217E8">
        <w:trPr>
          <w:trHeight w:val="1052"/>
        </w:trPr>
        <w:tc>
          <w:tcPr>
            <w:tcW w:w="8838" w:type="dxa"/>
            <w:gridSpan w:val="2"/>
          </w:tcPr>
          <w:p w14:paraId="753C24DA" w14:textId="77777777" w:rsidR="001F7379" w:rsidRPr="004B63EC" w:rsidRDefault="001F7379" w:rsidP="005217E8">
            <w:pPr>
              <w:rPr>
                <w:rFonts w:ascii="Arial" w:hAnsi="Arial" w:cs="Arial"/>
                <w:b/>
                <w:sz w:val="20"/>
                <w:szCs w:val="20"/>
              </w:rPr>
            </w:pPr>
            <w:r w:rsidRPr="004B63EC">
              <w:rPr>
                <w:rFonts w:ascii="Arial" w:hAnsi="Arial" w:cs="Arial"/>
                <w:b/>
                <w:sz w:val="20"/>
                <w:szCs w:val="20"/>
              </w:rPr>
              <w:t>Rationale for BC Recommendation:</w:t>
            </w:r>
          </w:p>
          <w:p w14:paraId="1F5EAF84" w14:textId="77777777" w:rsidR="001F7379" w:rsidRPr="004B63EC" w:rsidRDefault="001F7379" w:rsidP="005217E8">
            <w:pPr>
              <w:rPr>
                <w:rFonts w:ascii="Arial" w:hAnsi="Arial" w:cs="Arial"/>
                <w:sz w:val="20"/>
                <w:szCs w:val="20"/>
              </w:rPr>
            </w:pPr>
            <w:r w:rsidRPr="004B63EC">
              <w:rPr>
                <w:rFonts w:ascii="Arial" w:hAnsi="Arial" w:cs="Arial"/>
                <w:sz w:val="20"/>
                <w:szCs w:val="20"/>
              </w:rPr>
              <w:t>Single-registrant TLDs will be operated by entities whose IP rights survive any termination of their registry operating agreement with ICANN.   Moreover, all second level domains would be under control of the TLD operator, who is in the sole position to determine whether interests of domain owners are better served by transition or outright termination of the gTLD.</w:t>
            </w:r>
          </w:p>
          <w:p w14:paraId="0E801939" w14:textId="77777777" w:rsidR="001F7379" w:rsidRPr="004B63EC" w:rsidRDefault="001F7379" w:rsidP="005217E8">
            <w:pPr>
              <w:rPr>
                <w:rFonts w:ascii="Arial" w:eastAsia="MS MinNew Roman" w:hAnsi="Arial" w:cs="Arial"/>
                <w:sz w:val="20"/>
                <w:szCs w:val="20"/>
              </w:rPr>
            </w:pPr>
          </w:p>
          <w:p w14:paraId="63545102" w14:textId="77777777" w:rsidR="001F7379" w:rsidRPr="004B63EC" w:rsidRDefault="001F7379" w:rsidP="005217E8">
            <w:pPr>
              <w:rPr>
                <w:rFonts w:ascii="Arial" w:eastAsia="MS MinNew Roman" w:hAnsi="Arial" w:cs="Arial"/>
                <w:sz w:val="20"/>
                <w:szCs w:val="20"/>
              </w:rPr>
            </w:pPr>
            <w:r w:rsidRPr="004B63EC">
              <w:rPr>
                <w:rFonts w:ascii="Arial" w:eastAsia="MS MinNew Roman" w:hAnsi="Arial" w:cs="Arial"/>
                <w:sz w:val="20"/>
                <w:szCs w:val="20"/>
              </w:rPr>
              <w:t>In situa</w:t>
            </w:r>
            <w:r>
              <w:rPr>
                <w:rFonts w:ascii="Arial" w:eastAsia="MS MinNew Roman" w:hAnsi="Arial" w:cs="Arial"/>
                <w:sz w:val="20"/>
                <w:szCs w:val="20"/>
              </w:rPr>
              <w:t xml:space="preserve">tions where a single-registrant </w:t>
            </w:r>
            <w:r w:rsidRPr="004B63EC">
              <w:rPr>
                <w:rFonts w:ascii="Arial" w:eastAsia="MS MinNew Roman" w:hAnsi="Arial" w:cs="Arial"/>
                <w:sz w:val="20"/>
                <w:szCs w:val="20"/>
              </w:rPr>
              <w:t xml:space="preserve">owns or controls all second level domains, an expiration or termination of the Registry Agreement may lead to the closure of the gTLD or transfer to a new entity by a bankruptcy court or administrator instead of transition to a new operator.  </w:t>
            </w:r>
          </w:p>
          <w:p w14:paraId="34B4A77F" w14:textId="77777777" w:rsidR="001F7379" w:rsidRPr="004B63EC" w:rsidRDefault="001F7379" w:rsidP="005217E8">
            <w:pPr>
              <w:rPr>
                <w:rFonts w:ascii="Arial" w:eastAsia="MS MinNew Roman" w:hAnsi="Arial" w:cs="Arial"/>
                <w:sz w:val="20"/>
                <w:szCs w:val="20"/>
              </w:rPr>
            </w:pPr>
          </w:p>
          <w:p w14:paraId="118A90F3" w14:textId="77777777" w:rsidR="001F7379" w:rsidRPr="004B63EC" w:rsidRDefault="001F7379" w:rsidP="005217E8">
            <w:pPr>
              <w:rPr>
                <w:rFonts w:ascii="Arial" w:eastAsia="MS MinNew Roman" w:hAnsi="Arial" w:cs="Arial"/>
                <w:sz w:val="20"/>
                <w:szCs w:val="20"/>
              </w:rPr>
            </w:pPr>
            <w:r w:rsidRPr="004B63EC">
              <w:rPr>
                <w:rFonts w:ascii="Arial" w:eastAsia="MS MinNew Roman" w:hAnsi="Arial" w:cs="Arial"/>
                <w:sz w:val="20"/>
                <w:szCs w:val="20"/>
              </w:rPr>
              <w:t>In these circumstances, the registry operator has reason to deny transition or transfer of registry data to a new operator designated by ICANN.</w:t>
            </w:r>
          </w:p>
          <w:p w14:paraId="0BE77DA4" w14:textId="77777777" w:rsidR="001F7379" w:rsidRPr="004B63EC" w:rsidRDefault="001F7379" w:rsidP="005217E8">
            <w:pPr>
              <w:rPr>
                <w:rFonts w:ascii="Arial" w:eastAsia="MS MinNew Roman" w:hAnsi="Arial" w:cs="Arial"/>
                <w:sz w:val="20"/>
                <w:szCs w:val="20"/>
              </w:rPr>
            </w:pPr>
          </w:p>
          <w:p w14:paraId="4ACBBB5E" w14:textId="77777777" w:rsidR="001F7379" w:rsidRPr="004B63EC" w:rsidRDefault="001F7379" w:rsidP="005217E8">
            <w:pPr>
              <w:rPr>
                <w:rFonts w:ascii="Arial" w:eastAsia="MS MinNew Roman" w:hAnsi="Arial" w:cs="Arial"/>
                <w:sz w:val="20"/>
                <w:szCs w:val="20"/>
              </w:rPr>
            </w:pPr>
            <w:r w:rsidRPr="004B63EC">
              <w:rPr>
                <w:rFonts w:ascii="Arial" w:eastAsia="MS MinNew Roman" w:hAnsi="Arial" w:cs="Arial"/>
                <w:sz w:val="20"/>
                <w:szCs w:val="20"/>
              </w:rPr>
              <w:t>In circumstances where ICANN transitions a single-registrant TLD to a new operator, intellectual property rights of the original operator should not be conveyed to the new operator or to ICANN, as transferring registry data may reveal trade secrets to a third-party, including customer lists.</w:t>
            </w:r>
          </w:p>
          <w:p w14:paraId="04DFE73C" w14:textId="77777777" w:rsidR="001F7379" w:rsidRPr="004B63EC" w:rsidRDefault="001F7379" w:rsidP="005217E8">
            <w:pPr>
              <w:rPr>
                <w:rFonts w:ascii="Arial" w:hAnsi="Arial" w:cs="Arial"/>
                <w:b/>
                <w:sz w:val="20"/>
                <w:szCs w:val="20"/>
              </w:rPr>
            </w:pPr>
          </w:p>
        </w:tc>
      </w:tr>
    </w:tbl>
    <w:p w14:paraId="233FEA7E" w14:textId="77777777" w:rsidR="00E0740D" w:rsidRPr="004B63EC" w:rsidRDefault="00E0740D" w:rsidP="00EA2994">
      <w:pPr>
        <w:rPr>
          <w:rFonts w:ascii="Arial" w:hAnsi="Arial" w:cs="Arial"/>
          <w:sz w:val="20"/>
          <w:szCs w:val="20"/>
        </w:rPr>
      </w:pPr>
      <w:r w:rsidRPr="004B63EC">
        <w:rPr>
          <w:rFonts w:ascii="Arial" w:hAnsi="Arial" w:cs="Arial"/>
          <w:sz w:val="20"/>
          <w:szCs w:val="20"/>
        </w:rPr>
        <w:br w:type="page"/>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1D0DB0D7" w14:textId="77777777" w:rsidTr="00FD251E">
        <w:tc>
          <w:tcPr>
            <w:tcW w:w="8838" w:type="dxa"/>
            <w:gridSpan w:val="2"/>
            <w:shd w:val="clear" w:color="auto" w:fill="E0E0E0"/>
          </w:tcPr>
          <w:p w14:paraId="6613B4D8" w14:textId="77777777" w:rsidR="00E0740D" w:rsidRPr="004B63EC" w:rsidRDefault="00E0740D" w:rsidP="00FD251E">
            <w:pPr>
              <w:rPr>
                <w:rFonts w:ascii="Arial" w:hAnsi="Arial" w:cs="Arial"/>
                <w:sz w:val="20"/>
                <w:szCs w:val="20"/>
              </w:rPr>
            </w:pPr>
            <w:r w:rsidRPr="004B63EC">
              <w:rPr>
                <w:rFonts w:ascii="Arial" w:hAnsi="Arial" w:cs="Arial"/>
                <w:b/>
                <w:sz w:val="20"/>
                <w:szCs w:val="20"/>
              </w:rPr>
              <w:t>Module 5: Specification 9, Registry Code of Conduct and application to single-registrant TLDs</w:t>
            </w:r>
          </w:p>
        </w:tc>
      </w:tr>
      <w:tr w:rsidR="00E0740D" w:rsidRPr="004B63EC" w14:paraId="1A59D8B4" w14:textId="77777777" w:rsidTr="00FD251E">
        <w:tc>
          <w:tcPr>
            <w:tcW w:w="4248" w:type="dxa"/>
          </w:tcPr>
          <w:p w14:paraId="3145F0F0" w14:textId="77777777" w:rsidR="00E0740D" w:rsidRPr="004B63EC" w:rsidRDefault="00E0740D" w:rsidP="00FD251E">
            <w:pPr>
              <w:rPr>
                <w:rFonts w:ascii="Arial" w:hAnsi="Arial" w:cs="Arial"/>
                <w:b/>
                <w:sz w:val="20"/>
                <w:szCs w:val="20"/>
              </w:rPr>
            </w:pPr>
            <w:r w:rsidRPr="004B63EC">
              <w:rPr>
                <w:rFonts w:ascii="Arial" w:hAnsi="Arial" w:cs="Arial"/>
                <w:b/>
                <w:sz w:val="20"/>
                <w:szCs w:val="20"/>
              </w:rPr>
              <w:t>Current Guidebook Approach:</w:t>
            </w:r>
          </w:p>
        </w:tc>
        <w:tc>
          <w:tcPr>
            <w:tcW w:w="4590" w:type="dxa"/>
          </w:tcPr>
          <w:p w14:paraId="6338EFF1" w14:textId="77777777" w:rsidR="00E0740D" w:rsidRPr="004B63EC" w:rsidRDefault="00E0740D" w:rsidP="00FD251E">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4B63EC" w14:paraId="5E1027E9" w14:textId="77777777" w:rsidTr="00FD251E">
        <w:tc>
          <w:tcPr>
            <w:tcW w:w="4248" w:type="dxa"/>
          </w:tcPr>
          <w:p w14:paraId="03DB374D" w14:textId="77777777" w:rsidR="00E0740D" w:rsidRPr="004B63EC" w:rsidRDefault="00E0740D" w:rsidP="00FD251E">
            <w:pPr>
              <w:widowControl w:val="0"/>
              <w:autoSpaceDE w:val="0"/>
              <w:autoSpaceDN w:val="0"/>
              <w:adjustRightInd w:val="0"/>
              <w:rPr>
                <w:rFonts w:ascii="Arial" w:hAnsi="Arial" w:cs="Arial"/>
                <w:color w:val="000000"/>
                <w:sz w:val="20"/>
                <w:szCs w:val="20"/>
              </w:rPr>
            </w:pPr>
            <w:r w:rsidRPr="004B63EC">
              <w:rPr>
                <w:rFonts w:ascii="Arial" w:hAnsi="Arial" w:cs="Arial"/>
                <w:color w:val="000000"/>
                <w:sz w:val="20"/>
                <w:szCs w:val="20"/>
              </w:rPr>
              <w:t>Code of Conduct:</w:t>
            </w:r>
          </w:p>
          <w:p w14:paraId="0BE54A82" w14:textId="77777777" w:rsidR="00E0740D" w:rsidRPr="004B63EC" w:rsidRDefault="00E0740D" w:rsidP="00F234D5">
            <w:pPr>
              <w:rPr>
                <w:rFonts w:ascii="Arial" w:hAnsi="Arial" w:cs="Arial"/>
                <w:sz w:val="20"/>
                <w:szCs w:val="20"/>
              </w:rPr>
            </w:pPr>
            <w:r w:rsidRPr="004B63EC">
              <w:rPr>
                <w:rFonts w:ascii="Arial" w:hAnsi="Arial" w:cs="Arial"/>
                <w:sz w:val="20"/>
                <w:szCs w:val="20"/>
              </w:rPr>
              <w:t xml:space="preserve">Notwithstanding anything set forth in the foregoing, this Code of Conduct shall not apply to Registry Operator if (i) Registry Operator maintains all registrations in the TLD for its own use and (ii) </w:t>
            </w:r>
            <w:r w:rsidRPr="00E63D19">
              <w:rPr>
                <w:rFonts w:ascii="Arial" w:hAnsi="Arial" w:cs="Arial"/>
                <w:color w:val="0000FF"/>
                <w:sz w:val="20"/>
                <w:szCs w:val="20"/>
              </w:rPr>
              <w:t>Registry Operator does not sell, distribute or otherwise make available to any unaffiliated third party any registrations in the TLD.</w:t>
            </w:r>
          </w:p>
          <w:p w14:paraId="76682647" w14:textId="77777777" w:rsidR="00E0740D" w:rsidRPr="004B63EC" w:rsidRDefault="00E0740D" w:rsidP="00F234D5">
            <w:pPr>
              <w:rPr>
                <w:rFonts w:ascii="Arial" w:hAnsi="Arial" w:cs="Arial"/>
                <w:sz w:val="20"/>
                <w:szCs w:val="20"/>
              </w:rPr>
            </w:pPr>
          </w:p>
        </w:tc>
        <w:tc>
          <w:tcPr>
            <w:tcW w:w="4590" w:type="dxa"/>
          </w:tcPr>
          <w:p w14:paraId="149175D2" w14:textId="77777777" w:rsidR="00E0740D" w:rsidRPr="004B63EC" w:rsidRDefault="00E0740D" w:rsidP="00FD251E">
            <w:pPr>
              <w:rPr>
                <w:rFonts w:ascii="Arial" w:hAnsi="Arial" w:cs="Arial"/>
                <w:sz w:val="20"/>
                <w:szCs w:val="20"/>
              </w:rPr>
            </w:pPr>
          </w:p>
          <w:p w14:paraId="2B61AEDD" w14:textId="77777777" w:rsidR="00E63D19" w:rsidRDefault="00E63D19" w:rsidP="00FD251E">
            <w:pPr>
              <w:rPr>
                <w:rFonts w:ascii="Arial" w:hAnsi="Arial" w:cs="Arial"/>
                <w:sz w:val="20"/>
                <w:szCs w:val="20"/>
              </w:rPr>
            </w:pPr>
            <w:r>
              <w:rPr>
                <w:rFonts w:ascii="Arial" w:hAnsi="Arial" w:cs="Arial"/>
                <w:sz w:val="20"/>
                <w:szCs w:val="20"/>
              </w:rPr>
              <w:t xml:space="preserve">Recommend adding the bold text below: </w:t>
            </w:r>
          </w:p>
          <w:p w14:paraId="5D7E2941" w14:textId="77777777" w:rsidR="00E63D19" w:rsidRDefault="00E63D19" w:rsidP="00FD251E">
            <w:pPr>
              <w:rPr>
                <w:rFonts w:ascii="Arial" w:hAnsi="Arial" w:cs="Arial"/>
                <w:sz w:val="20"/>
                <w:szCs w:val="20"/>
              </w:rPr>
            </w:pPr>
          </w:p>
          <w:p w14:paraId="4C017BB4" w14:textId="77777777" w:rsidR="00E0740D" w:rsidRPr="004B63EC" w:rsidRDefault="00E0740D" w:rsidP="00FD251E">
            <w:pPr>
              <w:rPr>
                <w:rFonts w:ascii="Arial" w:hAnsi="Arial" w:cs="Arial"/>
                <w:sz w:val="20"/>
                <w:szCs w:val="20"/>
              </w:rPr>
            </w:pPr>
            <w:r w:rsidRPr="004B63EC">
              <w:rPr>
                <w:rFonts w:ascii="Arial" w:hAnsi="Arial" w:cs="Arial"/>
                <w:sz w:val="20"/>
                <w:szCs w:val="20"/>
              </w:rPr>
              <w:t xml:space="preserve">Notwithstanding anything set forth in the foregoing, this Code of Conduct shall not apply to Registry Operator if (i) … and (ii) Registry Operator does not sell, </w:t>
            </w:r>
            <w:r w:rsidRPr="00E63D19">
              <w:rPr>
                <w:rFonts w:ascii="Arial" w:hAnsi="Arial" w:cs="Arial"/>
                <w:sz w:val="20"/>
                <w:szCs w:val="20"/>
              </w:rPr>
              <w:t xml:space="preserve">distribute or </w:t>
            </w:r>
            <w:r w:rsidRPr="00E63D19">
              <w:rPr>
                <w:rFonts w:ascii="Arial" w:hAnsi="Arial" w:cs="Arial"/>
                <w:b/>
                <w:sz w:val="20"/>
                <w:szCs w:val="20"/>
              </w:rPr>
              <w:t>transfer control of the registration</w:t>
            </w:r>
            <w:r w:rsidRPr="00E63D19">
              <w:rPr>
                <w:rFonts w:ascii="Arial" w:hAnsi="Arial" w:cs="Arial"/>
                <w:sz w:val="20"/>
                <w:szCs w:val="20"/>
              </w:rPr>
              <w:t xml:space="preserve"> to an</w:t>
            </w:r>
            <w:r w:rsidRPr="004B63EC">
              <w:rPr>
                <w:rFonts w:ascii="Arial" w:hAnsi="Arial" w:cs="Arial"/>
                <w:sz w:val="20"/>
                <w:szCs w:val="20"/>
              </w:rPr>
              <w:t>y unaffiliated third party any registrations in the TLD.</w:t>
            </w:r>
          </w:p>
          <w:p w14:paraId="6FF3811A" w14:textId="77777777" w:rsidR="00E0740D" w:rsidRPr="004B63EC" w:rsidRDefault="00E0740D" w:rsidP="00FD251E">
            <w:pPr>
              <w:rPr>
                <w:rFonts w:ascii="Arial" w:hAnsi="Arial" w:cs="Arial"/>
                <w:sz w:val="20"/>
                <w:szCs w:val="20"/>
              </w:rPr>
            </w:pPr>
          </w:p>
          <w:p w14:paraId="6BACC50B" w14:textId="77777777" w:rsidR="00E0740D" w:rsidRPr="004B63EC" w:rsidRDefault="00E0740D" w:rsidP="006D12C3">
            <w:pPr>
              <w:rPr>
                <w:rFonts w:ascii="Arial" w:hAnsi="Arial" w:cs="Arial"/>
                <w:b/>
                <w:sz w:val="20"/>
                <w:szCs w:val="20"/>
              </w:rPr>
            </w:pPr>
          </w:p>
        </w:tc>
      </w:tr>
      <w:tr w:rsidR="00E0740D" w:rsidRPr="004B63EC" w14:paraId="27B8E98C" w14:textId="77777777" w:rsidTr="00FD251E">
        <w:trPr>
          <w:trHeight w:val="1052"/>
        </w:trPr>
        <w:tc>
          <w:tcPr>
            <w:tcW w:w="8838" w:type="dxa"/>
            <w:gridSpan w:val="2"/>
          </w:tcPr>
          <w:p w14:paraId="2CD80BA8" w14:textId="77777777" w:rsidR="00E0740D" w:rsidRPr="004B63EC" w:rsidRDefault="00E0740D" w:rsidP="00FD251E">
            <w:pPr>
              <w:rPr>
                <w:rFonts w:ascii="Arial" w:hAnsi="Arial" w:cs="Arial"/>
                <w:b/>
                <w:sz w:val="20"/>
                <w:szCs w:val="20"/>
              </w:rPr>
            </w:pPr>
            <w:r w:rsidRPr="004B63EC">
              <w:rPr>
                <w:rFonts w:ascii="Arial" w:hAnsi="Arial" w:cs="Arial"/>
                <w:b/>
                <w:sz w:val="20"/>
                <w:szCs w:val="20"/>
              </w:rPr>
              <w:t>Rationale for BC Recommendation:</w:t>
            </w:r>
          </w:p>
          <w:p w14:paraId="77440917" w14:textId="77777777" w:rsidR="00E0740D" w:rsidRPr="004B63EC" w:rsidRDefault="00E0740D" w:rsidP="00FD251E">
            <w:pPr>
              <w:rPr>
                <w:rFonts w:ascii="Arial" w:hAnsi="Arial" w:cs="Arial"/>
                <w:sz w:val="20"/>
                <w:szCs w:val="20"/>
              </w:rPr>
            </w:pPr>
          </w:p>
          <w:p w14:paraId="081DA820" w14:textId="77777777" w:rsidR="00E0740D" w:rsidRPr="004B63EC" w:rsidRDefault="00E0740D" w:rsidP="00FD251E">
            <w:pPr>
              <w:rPr>
                <w:rFonts w:ascii="Arial" w:hAnsi="Arial" w:cs="Arial"/>
                <w:sz w:val="20"/>
                <w:szCs w:val="20"/>
              </w:rPr>
            </w:pPr>
            <w:r w:rsidRPr="004B63EC">
              <w:rPr>
                <w:rFonts w:ascii="Arial" w:hAnsi="Arial" w:cs="Arial"/>
                <w:sz w:val="20"/>
                <w:szCs w:val="20"/>
              </w:rPr>
              <w:t>The Code of Conduct should not restrict single-registrant TLDs from using an owned or closely affiliated registrar to register and manage names that it controls.  (</w:t>
            </w:r>
            <w:proofErr w:type="gramStart"/>
            <w:r w:rsidRPr="004B63EC">
              <w:rPr>
                <w:rFonts w:ascii="Arial" w:hAnsi="Arial" w:cs="Arial"/>
                <w:sz w:val="20"/>
                <w:szCs w:val="20"/>
              </w:rPr>
              <w:t>e</w:t>
            </w:r>
            <w:proofErr w:type="gramEnd"/>
            <w:r w:rsidRPr="004B63EC">
              <w:rPr>
                <w:rFonts w:ascii="Arial" w:hAnsi="Arial" w:cs="Arial"/>
                <w:sz w:val="20"/>
                <w:szCs w:val="20"/>
              </w:rPr>
              <w:t>.g., for divisions, product lines, locations, customers, affiliates, etc. )   The phrase “otherwise make available” is too broad, since it might be interpreted to include instances where a single-registrant operator allows non-affiliated parties to post content to websites where the registration is still entirely controlled by the operator.</w:t>
            </w:r>
          </w:p>
          <w:p w14:paraId="74C79556" w14:textId="77777777" w:rsidR="00E0740D" w:rsidRPr="004B63EC" w:rsidRDefault="00E0740D" w:rsidP="00FD251E">
            <w:pPr>
              <w:rPr>
                <w:rFonts w:ascii="Arial" w:hAnsi="Arial" w:cs="Arial"/>
                <w:color w:val="0000FF"/>
                <w:sz w:val="20"/>
                <w:szCs w:val="20"/>
              </w:rPr>
            </w:pPr>
          </w:p>
        </w:tc>
      </w:tr>
    </w:tbl>
    <w:p w14:paraId="7BE46983" w14:textId="77777777" w:rsidR="00E0740D" w:rsidRDefault="00E0740D" w:rsidP="00EA2994">
      <w:pPr>
        <w:rPr>
          <w:rFonts w:ascii="Arial" w:hAnsi="Arial" w:cs="Arial"/>
          <w:sz w:val="20"/>
          <w:szCs w:val="20"/>
        </w:rPr>
      </w:pPr>
    </w:p>
    <w:p w14:paraId="05EBF1B1" w14:textId="77777777" w:rsidR="00C92073" w:rsidRPr="004B63EC" w:rsidRDefault="00C92073" w:rsidP="00EA2994">
      <w:pPr>
        <w:rPr>
          <w:rFonts w:ascii="Arial" w:hAnsi="Arial" w:cs="Arial"/>
          <w:sz w:val="20"/>
          <w:szCs w:val="20"/>
        </w:rPr>
      </w:pPr>
    </w:p>
    <w:p w14:paraId="04B0B5A3" w14:textId="77777777" w:rsidR="00E0740D" w:rsidRPr="004B63EC" w:rsidRDefault="00E0740D"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2AE2880B" w14:textId="77777777" w:rsidTr="00FB2563">
        <w:tc>
          <w:tcPr>
            <w:tcW w:w="8838" w:type="dxa"/>
            <w:gridSpan w:val="2"/>
            <w:shd w:val="clear" w:color="auto" w:fill="E0E0E0"/>
          </w:tcPr>
          <w:p w14:paraId="0A34E930" w14:textId="77777777" w:rsidR="00E0740D" w:rsidRPr="004B63EC" w:rsidRDefault="00E0740D" w:rsidP="00B66409">
            <w:pPr>
              <w:rPr>
                <w:rFonts w:ascii="Arial" w:hAnsi="Arial" w:cs="Arial"/>
                <w:b/>
                <w:sz w:val="20"/>
                <w:szCs w:val="20"/>
              </w:rPr>
            </w:pPr>
            <w:r w:rsidRPr="004B63EC">
              <w:rPr>
                <w:rFonts w:ascii="Arial" w:hAnsi="Arial" w:cs="Arial"/>
                <w:b/>
                <w:sz w:val="20"/>
                <w:szCs w:val="20"/>
              </w:rPr>
              <w:t xml:space="preserve">Module 5: UDRP concerns for single-registrant TLDs </w:t>
            </w:r>
          </w:p>
        </w:tc>
      </w:tr>
      <w:tr w:rsidR="00E0740D" w:rsidRPr="004B63EC" w14:paraId="79C2E819" w14:textId="77777777" w:rsidTr="00FB2563">
        <w:tc>
          <w:tcPr>
            <w:tcW w:w="4248" w:type="dxa"/>
          </w:tcPr>
          <w:p w14:paraId="4F89CAEA" w14:textId="77777777" w:rsidR="00E0740D" w:rsidRPr="004B63EC" w:rsidRDefault="00E0740D" w:rsidP="00FB2563">
            <w:pPr>
              <w:rPr>
                <w:rFonts w:ascii="Arial" w:hAnsi="Arial" w:cs="Arial"/>
                <w:b/>
                <w:sz w:val="20"/>
                <w:szCs w:val="20"/>
              </w:rPr>
            </w:pPr>
            <w:r w:rsidRPr="004B63EC">
              <w:rPr>
                <w:rFonts w:ascii="Arial" w:hAnsi="Arial" w:cs="Arial"/>
                <w:b/>
                <w:sz w:val="20"/>
                <w:szCs w:val="20"/>
              </w:rPr>
              <w:t>Current Guidebook Approach:</w:t>
            </w:r>
          </w:p>
        </w:tc>
        <w:tc>
          <w:tcPr>
            <w:tcW w:w="4590" w:type="dxa"/>
          </w:tcPr>
          <w:p w14:paraId="743A4055" w14:textId="77777777" w:rsidR="00E0740D" w:rsidRPr="004B63EC" w:rsidRDefault="00E0740D" w:rsidP="00FB2563">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76E524E7" w14:textId="77777777" w:rsidTr="00FB2563">
        <w:tc>
          <w:tcPr>
            <w:tcW w:w="4248" w:type="dxa"/>
          </w:tcPr>
          <w:p w14:paraId="454F0496" w14:textId="77777777" w:rsidR="00E0740D" w:rsidRPr="004B63EC" w:rsidRDefault="00E0740D" w:rsidP="00FB2563">
            <w:pPr>
              <w:rPr>
                <w:rFonts w:ascii="Arial" w:hAnsi="Arial" w:cs="Arial"/>
                <w:sz w:val="20"/>
                <w:szCs w:val="20"/>
              </w:rPr>
            </w:pPr>
          </w:p>
          <w:p w14:paraId="036FD1ED" w14:textId="77777777" w:rsidR="00E0740D" w:rsidRPr="004B63EC" w:rsidRDefault="00E0740D" w:rsidP="00FB2563">
            <w:pPr>
              <w:rPr>
                <w:rFonts w:ascii="Arial" w:eastAsia="MS MinNew Roman" w:hAnsi="Arial" w:cs="Arial"/>
                <w:sz w:val="20"/>
                <w:szCs w:val="20"/>
              </w:rPr>
            </w:pPr>
            <w:r w:rsidRPr="004B63EC">
              <w:rPr>
                <w:rFonts w:ascii="Arial" w:eastAsia="MS MinNew Roman" w:hAnsi="Arial" w:cs="Arial"/>
                <w:sz w:val="20"/>
                <w:szCs w:val="20"/>
              </w:rPr>
              <w:t>UDRP specifies the sole remedy in the case of a complainant prevailing in a UDRP action is transfer of a second-level registration.</w:t>
            </w:r>
          </w:p>
          <w:p w14:paraId="73D525FF" w14:textId="77777777" w:rsidR="00E0740D" w:rsidRPr="004B63EC" w:rsidRDefault="00E0740D" w:rsidP="00FB2563">
            <w:pPr>
              <w:rPr>
                <w:rFonts w:ascii="Arial" w:hAnsi="Arial" w:cs="Arial"/>
                <w:sz w:val="20"/>
                <w:szCs w:val="20"/>
              </w:rPr>
            </w:pPr>
          </w:p>
        </w:tc>
        <w:tc>
          <w:tcPr>
            <w:tcW w:w="4590" w:type="dxa"/>
          </w:tcPr>
          <w:p w14:paraId="531F8A9E" w14:textId="77777777" w:rsidR="00E0740D" w:rsidRPr="004B63EC" w:rsidRDefault="00E0740D" w:rsidP="00FB2563">
            <w:pPr>
              <w:rPr>
                <w:rFonts w:ascii="Arial" w:hAnsi="Arial" w:cs="Arial"/>
                <w:sz w:val="20"/>
                <w:szCs w:val="20"/>
              </w:rPr>
            </w:pPr>
          </w:p>
          <w:p w14:paraId="7C15A749" w14:textId="77777777" w:rsidR="00E0740D" w:rsidRPr="004B63EC" w:rsidRDefault="00E0740D" w:rsidP="00FB2563">
            <w:pPr>
              <w:rPr>
                <w:rFonts w:ascii="Arial" w:eastAsia="MS MinNew Roman" w:hAnsi="Arial" w:cs="Arial"/>
                <w:sz w:val="20"/>
                <w:szCs w:val="20"/>
              </w:rPr>
            </w:pPr>
            <w:r w:rsidRPr="004B63EC">
              <w:rPr>
                <w:rFonts w:ascii="Arial" w:eastAsia="MS MinNew Roman" w:hAnsi="Arial" w:cs="Arial"/>
                <w:sz w:val="20"/>
                <w:szCs w:val="20"/>
              </w:rPr>
              <w:t xml:space="preserve">Existing rights protection mechanisms may not function in respect to </w:t>
            </w:r>
            <w:r w:rsidR="00D7733A">
              <w:rPr>
                <w:rFonts w:ascii="Arial" w:eastAsia="MS MinNew Roman" w:hAnsi="Arial" w:cs="Arial"/>
                <w:sz w:val="20"/>
                <w:szCs w:val="20"/>
              </w:rPr>
              <w:t>single-registrant TLDs</w:t>
            </w:r>
            <w:r w:rsidRPr="004B63EC">
              <w:rPr>
                <w:rFonts w:ascii="Arial" w:eastAsia="MS MinNew Roman" w:hAnsi="Arial" w:cs="Arial"/>
                <w:sz w:val="20"/>
                <w:szCs w:val="20"/>
              </w:rPr>
              <w:t xml:space="preserve">. In the case of a single-registrant </w:t>
            </w:r>
            <w:r w:rsidR="00D7733A">
              <w:rPr>
                <w:rFonts w:ascii="Arial" w:eastAsia="MS MinNew Roman" w:hAnsi="Arial" w:cs="Arial"/>
                <w:sz w:val="20"/>
                <w:szCs w:val="20"/>
              </w:rPr>
              <w:t>TLD</w:t>
            </w:r>
            <w:r w:rsidRPr="004B63EC">
              <w:rPr>
                <w:rFonts w:ascii="Arial" w:eastAsia="MS MinNew Roman" w:hAnsi="Arial" w:cs="Arial"/>
                <w:sz w:val="20"/>
                <w:szCs w:val="20"/>
              </w:rPr>
              <w:t xml:space="preserve"> there should be an additional remedy as an alternative to transfer of the registration.  </w:t>
            </w:r>
          </w:p>
          <w:p w14:paraId="65BF9E31" w14:textId="77777777" w:rsidR="00E0740D" w:rsidRPr="004B63EC" w:rsidRDefault="00E0740D" w:rsidP="00FB2563">
            <w:pPr>
              <w:rPr>
                <w:rFonts w:ascii="Arial" w:eastAsia="MS MinNew Roman" w:hAnsi="Arial" w:cs="Arial"/>
                <w:sz w:val="20"/>
                <w:szCs w:val="20"/>
              </w:rPr>
            </w:pPr>
          </w:p>
          <w:p w14:paraId="0324B59D" w14:textId="77777777" w:rsidR="00E0740D" w:rsidRPr="004B63EC" w:rsidRDefault="00E0740D" w:rsidP="00FB2563">
            <w:pPr>
              <w:rPr>
                <w:rFonts w:ascii="Arial" w:eastAsia="MS MinNew Roman" w:hAnsi="Arial" w:cs="Arial"/>
                <w:sz w:val="20"/>
                <w:szCs w:val="20"/>
              </w:rPr>
            </w:pPr>
            <w:r w:rsidRPr="004B63EC">
              <w:rPr>
                <w:rFonts w:ascii="Arial" w:eastAsia="MS MinNew Roman" w:hAnsi="Arial" w:cs="Arial"/>
                <w:sz w:val="20"/>
                <w:szCs w:val="20"/>
              </w:rPr>
              <w:t>Suggestion: allow the second-level name to be reserved and non-resolving.</w:t>
            </w:r>
          </w:p>
          <w:p w14:paraId="32580C85" w14:textId="77777777" w:rsidR="00E0740D" w:rsidRPr="004B63EC" w:rsidRDefault="00E0740D" w:rsidP="00FB2563">
            <w:pPr>
              <w:rPr>
                <w:rFonts w:ascii="Arial" w:hAnsi="Arial" w:cs="Arial"/>
                <w:sz w:val="20"/>
                <w:szCs w:val="20"/>
              </w:rPr>
            </w:pPr>
          </w:p>
        </w:tc>
      </w:tr>
      <w:tr w:rsidR="00E0740D" w:rsidRPr="004B63EC" w14:paraId="3B6EC154" w14:textId="77777777" w:rsidTr="00FB2563">
        <w:trPr>
          <w:trHeight w:val="1052"/>
        </w:trPr>
        <w:tc>
          <w:tcPr>
            <w:tcW w:w="8838" w:type="dxa"/>
            <w:gridSpan w:val="2"/>
          </w:tcPr>
          <w:p w14:paraId="4FC5B9EA" w14:textId="77777777" w:rsidR="00E0740D" w:rsidRPr="004B63EC" w:rsidRDefault="00E0740D" w:rsidP="00FB2563">
            <w:pPr>
              <w:rPr>
                <w:rFonts w:ascii="Arial" w:hAnsi="Arial" w:cs="Arial"/>
                <w:b/>
                <w:sz w:val="20"/>
                <w:szCs w:val="20"/>
              </w:rPr>
            </w:pPr>
            <w:r w:rsidRPr="004B63EC">
              <w:rPr>
                <w:rFonts w:ascii="Arial" w:hAnsi="Arial" w:cs="Arial"/>
                <w:b/>
                <w:sz w:val="20"/>
                <w:szCs w:val="20"/>
              </w:rPr>
              <w:t>Rationale for BC Recommendation:</w:t>
            </w:r>
          </w:p>
          <w:p w14:paraId="6F7A138E" w14:textId="77777777" w:rsidR="00E0740D" w:rsidRPr="004B63EC" w:rsidRDefault="00E0740D" w:rsidP="00FB2563">
            <w:pPr>
              <w:rPr>
                <w:rFonts w:ascii="Arial" w:hAnsi="Arial" w:cs="Arial"/>
                <w:sz w:val="20"/>
                <w:szCs w:val="20"/>
              </w:rPr>
            </w:pPr>
          </w:p>
          <w:p w14:paraId="394D2EB7" w14:textId="77777777" w:rsidR="00E0740D" w:rsidRPr="004B63EC" w:rsidRDefault="00E0740D" w:rsidP="00FB2563">
            <w:pPr>
              <w:rPr>
                <w:rFonts w:ascii="Arial" w:eastAsia="MS MinNew Roman" w:hAnsi="Arial" w:cs="Arial"/>
                <w:sz w:val="20"/>
                <w:szCs w:val="20"/>
              </w:rPr>
            </w:pPr>
            <w:r w:rsidRPr="004B63EC">
              <w:rPr>
                <w:rFonts w:ascii="Arial" w:eastAsia="MS MinNew Roman" w:hAnsi="Arial" w:cs="Arial"/>
                <w:sz w:val="20"/>
                <w:szCs w:val="20"/>
              </w:rPr>
              <w:t xml:space="preserve">Single-registrant gTLDs should not be required to allow unaffiliated registrants to hold registrations in a </w:t>
            </w:r>
            <w:r w:rsidR="00D7733A">
              <w:rPr>
                <w:rFonts w:ascii="Arial" w:eastAsia="MS MinNew Roman" w:hAnsi="Arial" w:cs="Arial"/>
                <w:sz w:val="20"/>
                <w:szCs w:val="20"/>
              </w:rPr>
              <w:t>single-registrant TLD</w:t>
            </w:r>
            <w:r w:rsidRPr="004B63EC">
              <w:rPr>
                <w:rFonts w:ascii="Arial" w:eastAsia="MS MinNew Roman" w:hAnsi="Arial" w:cs="Arial"/>
                <w:sz w:val="20"/>
                <w:szCs w:val="20"/>
              </w:rPr>
              <w:t>.  Third-party regist</w:t>
            </w:r>
            <w:r w:rsidR="00D7733A">
              <w:rPr>
                <w:rFonts w:ascii="Arial" w:eastAsia="MS MinNew Roman" w:hAnsi="Arial" w:cs="Arial"/>
                <w:sz w:val="20"/>
                <w:szCs w:val="20"/>
              </w:rPr>
              <w:t xml:space="preserve">rations in a single-registrant </w:t>
            </w:r>
            <w:r w:rsidRPr="004B63EC">
              <w:rPr>
                <w:rFonts w:ascii="Arial" w:eastAsia="MS MinNew Roman" w:hAnsi="Arial" w:cs="Arial"/>
                <w:sz w:val="20"/>
                <w:szCs w:val="20"/>
              </w:rPr>
              <w:t xml:space="preserve">TLD could cause consumer confusion and in extreme cases be a vehicle for fraud. </w:t>
            </w:r>
          </w:p>
          <w:p w14:paraId="6105ED55" w14:textId="77777777" w:rsidR="00E0740D" w:rsidRPr="004B63EC" w:rsidRDefault="00E0740D" w:rsidP="00FB2563">
            <w:pPr>
              <w:rPr>
                <w:rFonts w:ascii="Arial" w:hAnsi="Arial" w:cs="Arial"/>
                <w:b/>
                <w:sz w:val="20"/>
                <w:szCs w:val="20"/>
              </w:rPr>
            </w:pPr>
          </w:p>
        </w:tc>
      </w:tr>
    </w:tbl>
    <w:p w14:paraId="22FB7920" w14:textId="77777777" w:rsidR="00E0740D" w:rsidRPr="004B63EC" w:rsidRDefault="00E0740D" w:rsidP="00EA2994">
      <w:pPr>
        <w:rPr>
          <w:rFonts w:ascii="Arial" w:hAnsi="Arial" w:cs="Arial"/>
          <w:sz w:val="20"/>
          <w:szCs w:val="20"/>
        </w:rPr>
      </w:pPr>
      <w:r w:rsidRPr="004B63EC">
        <w:rPr>
          <w:rFonts w:ascii="Arial" w:hAnsi="Arial" w:cs="Arial"/>
          <w:sz w:val="20"/>
          <w:szCs w:val="20"/>
        </w:rPr>
        <w:br w:type="page"/>
      </w:r>
    </w:p>
    <w:p w14:paraId="246290A7" w14:textId="77777777" w:rsidR="00E0740D" w:rsidRPr="004B63EC" w:rsidRDefault="00E0740D" w:rsidP="00EA2994">
      <w:pPr>
        <w:rPr>
          <w:rFonts w:ascii="Arial" w:hAnsi="Arial" w:cs="Arial"/>
          <w:sz w:val="20"/>
          <w:szCs w:val="20"/>
        </w:rPr>
      </w:pPr>
      <w:r w:rsidRPr="004B63EC">
        <w:rPr>
          <w:rFonts w:ascii="Arial" w:hAnsi="Arial" w:cs="Arial"/>
          <w:sz w:val="20"/>
          <w:szCs w:val="20"/>
        </w:rPr>
        <w:t>The next several recommendations pertain to Module 5 as it applies to all TLD Operators.</w:t>
      </w:r>
    </w:p>
    <w:p w14:paraId="745409D7" w14:textId="77777777" w:rsidR="00E0740D" w:rsidRPr="004B63EC" w:rsidRDefault="00E0740D" w:rsidP="00EA2994">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48CF2D83" w14:textId="77777777">
        <w:tc>
          <w:tcPr>
            <w:tcW w:w="8838" w:type="dxa"/>
            <w:gridSpan w:val="2"/>
            <w:shd w:val="clear" w:color="auto" w:fill="E0E0E0"/>
          </w:tcPr>
          <w:p w14:paraId="570A7FA1" w14:textId="77777777" w:rsidR="00E0740D" w:rsidRPr="004B63EC" w:rsidRDefault="00E0740D" w:rsidP="00EA2994">
            <w:pPr>
              <w:rPr>
                <w:rFonts w:ascii="Arial" w:hAnsi="Arial" w:cs="Arial"/>
                <w:sz w:val="20"/>
                <w:szCs w:val="20"/>
              </w:rPr>
            </w:pPr>
            <w:r w:rsidRPr="004B63EC">
              <w:rPr>
                <w:rFonts w:ascii="Arial" w:hAnsi="Arial" w:cs="Arial"/>
                <w:b/>
                <w:sz w:val="20"/>
                <w:szCs w:val="20"/>
              </w:rPr>
              <w:t xml:space="preserve">Module 5: Specification 9, Registry Code of Conduct </w:t>
            </w:r>
          </w:p>
        </w:tc>
      </w:tr>
      <w:tr w:rsidR="00E0740D" w:rsidRPr="004B63EC" w14:paraId="75C21A09" w14:textId="77777777">
        <w:tc>
          <w:tcPr>
            <w:tcW w:w="4248" w:type="dxa"/>
          </w:tcPr>
          <w:p w14:paraId="4F11D541"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590" w:type="dxa"/>
          </w:tcPr>
          <w:p w14:paraId="7A2EF035"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4B63EC" w14:paraId="25316954" w14:textId="77777777">
        <w:tc>
          <w:tcPr>
            <w:tcW w:w="4248" w:type="dxa"/>
          </w:tcPr>
          <w:p w14:paraId="326DC3FB" w14:textId="77777777" w:rsidR="00E0740D" w:rsidRPr="004B63EC" w:rsidRDefault="00E0740D" w:rsidP="00EA2994">
            <w:pPr>
              <w:rPr>
                <w:rFonts w:ascii="Arial" w:hAnsi="Arial" w:cs="Arial"/>
                <w:sz w:val="20"/>
                <w:szCs w:val="20"/>
              </w:rPr>
            </w:pPr>
          </w:p>
          <w:p w14:paraId="38043FA3" w14:textId="77777777" w:rsidR="00E0740D" w:rsidRPr="004B63EC" w:rsidRDefault="00E0740D" w:rsidP="00EA2994">
            <w:pPr>
              <w:rPr>
                <w:rFonts w:ascii="Arial" w:hAnsi="Arial" w:cs="Arial"/>
                <w:sz w:val="20"/>
                <w:szCs w:val="20"/>
              </w:rPr>
            </w:pPr>
            <w:r w:rsidRPr="004B63EC">
              <w:rPr>
                <w:rFonts w:ascii="Arial" w:hAnsi="Arial" w:cs="Arial"/>
                <w:sz w:val="20"/>
                <w:szCs w:val="20"/>
              </w:rPr>
              <w:t>Registry Code of Conduct</w:t>
            </w:r>
          </w:p>
        </w:tc>
        <w:tc>
          <w:tcPr>
            <w:tcW w:w="4590" w:type="dxa"/>
          </w:tcPr>
          <w:p w14:paraId="160A26AF" w14:textId="77777777" w:rsidR="00E0740D" w:rsidRPr="004B63EC" w:rsidRDefault="00E0740D" w:rsidP="00EA2994">
            <w:pPr>
              <w:rPr>
                <w:rFonts w:ascii="Arial" w:hAnsi="Arial" w:cs="Arial"/>
                <w:sz w:val="20"/>
                <w:szCs w:val="20"/>
              </w:rPr>
            </w:pPr>
          </w:p>
          <w:p w14:paraId="1E7AD294"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Before or during the application process, ICANN should seek community input on potential abuses (including lists developed by the VI and RAP working groups), detection data, the data needed to detect, and protection mechanisms/compliance methods.  </w:t>
            </w:r>
          </w:p>
          <w:p w14:paraId="68ED4AC9" w14:textId="77777777" w:rsidR="00E0740D" w:rsidRPr="004B63EC" w:rsidRDefault="00E0740D" w:rsidP="00EA2994">
            <w:pPr>
              <w:rPr>
                <w:rFonts w:ascii="Arial" w:hAnsi="Arial" w:cs="Arial"/>
                <w:sz w:val="20"/>
                <w:szCs w:val="20"/>
              </w:rPr>
            </w:pPr>
          </w:p>
          <w:p w14:paraId="725AE4BF" w14:textId="77777777" w:rsidR="00E0740D" w:rsidRPr="004B63EC" w:rsidRDefault="00E0740D" w:rsidP="00EA2994">
            <w:pPr>
              <w:rPr>
                <w:rFonts w:ascii="Arial" w:hAnsi="Arial" w:cs="Arial"/>
                <w:sz w:val="20"/>
                <w:szCs w:val="20"/>
              </w:rPr>
            </w:pPr>
            <w:r w:rsidRPr="004B63EC">
              <w:rPr>
                <w:rFonts w:ascii="Arial" w:hAnsi="Arial" w:cs="Arial"/>
                <w:sz w:val="20"/>
                <w:szCs w:val="20"/>
              </w:rPr>
              <w:t>Community input should also be sought on punitive measures to ensure compliance.</w:t>
            </w:r>
          </w:p>
          <w:p w14:paraId="24066A86" w14:textId="77777777" w:rsidR="00E0740D" w:rsidRPr="004B63EC" w:rsidRDefault="00E0740D" w:rsidP="00EA2994">
            <w:pPr>
              <w:rPr>
                <w:rFonts w:ascii="Arial" w:hAnsi="Arial" w:cs="Arial"/>
                <w:b/>
                <w:sz w:val="20"/>
                <w:szCs w:val="20"/>
              </w:rPr>
            </w:pPr>
          </w:p>
        </w:tc>
      </w:tr>
      <w:tr w:rsidR="00E0740D" w:rsidRPr="004B63EC" w14:paraId="22161F02" w14:textId="77777777">
        <w:trPr>
          <w:trHeight w:val="1052"/>
        </w:trPr>
        <w:tc>
          <w:tcPr>
            <w:tcW w:w="8838" w:type="dxa"/>
            <w:gridSpan w:val="2"/>
          </w:tcPr>
          <w:p w14:paraId="73A27C67" w14:textId="77777777" w:rsidR="00E0740D" w:rsidRPr="004B63EC" w:rsidRDefault="00E0740D" w:rsidP="00EA2994">
            <w:pPr>
              <w:rPr>
                <w:rFonts w:ascii="Arial" w:hAnsi="Arial" w:cs="Arial"/>
                <w:b/>
                <w:sz w:val="20"/>
                <w:szCs w:val="20"/>
              </w:rPr>
            </w:pPr>
            <w:r w:rsidRPr="004B63EC">
              <w:rPr>
                <w:rFonts w:ascii="Arial" w:hAnsi="Arial" w:cs="Arial"/>
                <w:b/>
                <w:sz w:val="20"/>
                <w:szCs w:val="20"/>
              </w:rPr>
              <w:t>Rationale for BC Recommendation:</w:t>
            </w:r>
          </w:p>
          <w:p w14:paraId="3B8B60CC" w14:textId="77777777" w:rsidR="00E0740D" w:rsidRPr="004B63EC" w:rsidRDefault="00E0740D" w:rsidP="00EA2994">
            <w:pPr>
              <w:rPr>
                <w:rFonts w:ascii="Arial" w:hAnsi="Arial" w:cs="Arial"/>
                <w:sz w:val="20"/>
                <w:szCs w:val="20"/>
              </w:rPr>
            </w:pPr>
          </w:p>
          <w:p w14:paraId="6D0D42CE" w14:textId="77777777" w:rsidR="00E0740D" w:rsidRPr="004B63EC" w:rsidRDefault="00E0740D" w:rsidP="00EA2994">
            <w:pPr>
              <w:rPr>
                <w:rFonts w:ascii="Arial" w:hAnsi="Arial" w:cs="Arial"/>
                <w:sz w:val="20"/>
                <w:szCs w:val="20"/>
              </w:rPr>
            </w:pPr>
            <w:r w:rsidRPr="004B63EC">
              <w:rPr>
                <w:rFonts w:ascii="Arial" w:hAnsi="Arial" w:cs="Arial"/>
                <w:sz w:val="20"/>
                <w:szCs w:val="20"/>
              </w:rPr>
              <w:t xml:space="preserve">The Registry Code of Conduct does not expose an exhaustive list of abuses, nor does it identify the data required to detect the abuses.   Moreover, it does not expose the compliance mechanisms that will help protect registrants. </w:t>
            </w:r>
          </w:p>
          <w:p w14:paraId="30C8CABA" w14:textId="77777777" w:rsidR="00E0740D" w:rsidRPr="004B63EC" w:rsidRDefault="00E0740D" w:rsidP="00EA2994">
            <w:pPr>
              <w:rPr>
                <w:rFonts w:ascii="Arial" w:hAnsi="Arial" w:cs="Arial"/>
                <w:b/>
                <w:sz w:val="20"/>
                <w:szCs w:val="20"/>
              </w:rPr>
            </w:pPr>
          </w:p>
        </w:tc>
      </w:tr>
    </w:tbl>
    <w:p w14:paraId="45B0569C" w14:textId="77777777" w:rsidR="00E0740D" w:rsidRPr="004B63EC" w:rsidRDefault="00E0740D" w:rsidP="005A6CB5">
      <w:pPr>
        <w:rPr>
          <w:rFonts w:ascii="Arial" w:hAnsi="Arial" w:cs="Arial"/>
          <w:sz w:val="20"/>
          <w:szCs w:val="20"/>
        </w:rPr>
      </w:pPr>
    </w:p>
    <w:p w14:paraId="18F77212" w14:textId="77777777" w:rsidR="00E0740D" w:rsidRPr="004B63EC" w:rsidRDefault="00E0740D"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11305023" w14:textId="77777777" w:rsidTr="00FD29FF">
        <w:tc>
          <w:tcPr>
            <w:tcW w:w="8838" w:type="dxa"/>
            <w:gridSpan w:val="2"/>
            <w:shd w:val="clear" w:color="auto" w:fill="E0E0E0"/>
          </w:tcPr>
          <w:p w14:paraId="67DFD662" w14:textId="77777777" w:rsidR="00E0740D" w:rsidRPr="004B63EC" w:rsidRDefault="00E0740D" w:rsidP="005A6CB5">
            <w:pPr>
              <w:rPr>
                <w:rFonts w:ascii="Arial" w:hAnsi="Arial" w:cs="Arial"/>
                <w:sz w:val="20"/>
                <w:szCs w:val="20"/>
              </w:rPr>
            </w:pPr>
            <w:r w:rsidRPr="004B63EC">
              <w:rPr>
                <w:rFonts w:ascii="Arial" w:hAnsi="Arial" w:cs="Arial"/>
                <w:b/>
                <w:sz w:val="20"/>
                <w:szCs w:val="20"/>
              </w:rPr>
              <w:t>Module 5: Specification 10, Registry Performance Specifications:  TM Claims Service</w:t>
            </w:r>
          </w:p>
        </w:tc>
      </w:tr>
      <w:tr w:rsidR="00E0740D" w:rsidRPr="004B63EC" w14:paraId="10A64055" w14:textId="77777777" w:rsidTr="00FD29FF">
        <w:tc>
          <w:tcPr>
            <w:tcW w:w="4248" w:type="dxa"/>
          </w:tcPr>
          <w:p w14:paraId="057EFCBA" w14:textId="77777777" w:rsidR="00E0740D" w:rsidRPr="004B63EC" w:rsidRDefault="00E0740D" w:rsidP="00FD29FF">
            <w:pPr>
              <w:rPr>
                <w:rFonts w:ascii="Arial" w:hAnsi="Arial" w:cs="Arial"/>
                <w:b/>
                <w:sz w:val="20"/>
                <w:szCs w:val="20"/>
              </w:rPr>
            </w:pPr>
            <w:r w:rsidRPr="004B63EC">
              <w:rPr>
                <w:rFonts w:ascii="Arial" w:hAnsi="Arial" w:cs="Arial"/>
                <w:b/>
                <w:sz w:val="20"/>
                <w:szCs w:val="20"/>
              </w:rPr>
              <w:t>Current Guidebook Approach:</w:t>
            </w:r>
          </w:p>
        </w:tc>
        <w:tc>
          <w:tcPr>
            <w:tcW w:w="4590" w:type="dxa"/>
          </w:tcPr>
          <w:p w14:paraId="73B20CE9" w14:textId="77777777" w:rsidR="00E0740D" w:rsidRPr="004B63EC" w:rsidRDefault="00E0740D" w:rsidP="00FD29FF">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4B63EC" w14:paraId="280ED125" w14:textId="77777777" w:rsidTr="00FD29FF">
        <w:tc>
          <w:tcPr>
            <w:tcW w:w="4248" w:type="dxa"/>
          </w:tcPr>
          <w:p w14:paraId="54FEAFC1" w14:textId="77777777" w:rsidR="00290530" w:rsidRPr="00EC0028" w:rsidRDefault="00290530" w:rsidP="00FD29FF">
            <w:pPr>
              <w:rPr>
                <w:rFonts w:ascii="Arial" w:hAnsi="Arial" w:cs="Arial"/>
                <w:sz w:val="20"/>
                <w:szCs w:val="20"/>
              </w:rPr>
            </w:pPr>
            <w:r w:rsidRPr="00EC0028">
              <w:rPr>
                <w:rFonts w:ascii="Arial" w:hAnsi="Arial" w:cs="Arial"/>
                <w:sz w:val="20"/>
                <w:szCs w:val="20"/>
              </w:rPr>
              <w:t>3 Criteria</w:t>
            </w:r>
          </w:p>
          <w:p w14:paraId="49A965C4" w14:textId="77777777" w:rsidR="00290530" w:rsidRPr="00EC0028" w:rsidRDefault="00290530" w:rsidP="00FD29FF">
            <w:pPr>
              <w:rPr>
                <w:rFonts w:ascii="Arial" w:hAnsi="Arial" w:cs="Arial"/>
                <w:sz w:val="20"/>
                <w:szCs w:val="20"/>
              </w:rPr>
            </w:pPr>
            <w:r w:rsidRPr="00EC0028">
              <w:rPr>
                <w:rFonts w:ascii="Arial" w:hAnsi="Arial" w:cs="Arial"/>
                <w:sz w:val="20"/>
                <w:szCs w:val="20"/>
              </w:rPr>
              <w:t>3.2.4 Other marks that constitute intellectual property</w:t>
            </w:r>
          </w:p>
          <w:p w14:paraId="02B1E434" w14:textId="77777777" w:rsidR="00290530" w:rsidRPr="00EC0028" w:rsidRDefault="00290530" w:rsidP="00FD29FF">
            <w:pPr>
              <w:rPr>
                <w:rFonts w:ascii="Arial" w:hAnsi="Arial" w:cs="Arial"/>
                <w:sz w:val="20"/>
                <w:szCs w:val="20"/>
              </w:rPr>
            </w:pPr>
          </w:p>
          <w:p w14:paraId="7D8C43C0" w14:textId="77777777" w:rsidR="00E0740D" w:rsidRPr="00EC0028" w:rsidRDefault="00E0740D" w:rsidP="00FD29FF">
            <w:pPr>
              <w:rPr>
                <w:rFonts w:ascii="Arial" w:hAnsi="Arial" w:cs="Arial"/>
                <w:sz w:val="20"/>
                <w:szCs w:val="20"/>
              </w:rPr>
            </w:pPr>
            <w:r w:rsidRPr="00EC0028">
              <w:rPr>
                <w:rFonts w:ascii="Arial" w:hAnsi="Arial" w:cs="Arial"/>
                <w:sz w:val="20"/>
                <w:szCs w:val="20"/>
              </w:rPr>
              <w:t xml:space="preserve">6.1 Trademark Claims service  </w:t>
            </w:r>
          </w:p>
          <w:p w14:paraId="09102B0B" w14:textId="77777777" w:rsidR="00D96CF2" w:rsidRPr="00EC0028" w:rsidRDefault="00BF3047" w:rsidP="00D96CF2">
            <w:pPr>
              <w:rPr>
                <w:rFonts w:ascii="Arial" w:hAnsi="Arial" w:cs="Arial"/>
                <w:sz w:val="20"/>
                <w:szCs w:val="20"/>
              </w:rPr>
            </w:pPr>
            <w:r>
              <w:rPr>
                <w:rFonts w:ascii="Arial" w:hAnsi="Arial" w:cs="Arial"/>
                <w:sz w:val="20"/>
                <w:szCs w:val="20"/>
              </w:rPr>
              <w:t xml:space="preserve">6.1.1 </w:t>
            </w:r>
            <w:r w:rsidR="00D96CF2" w:rsidRPr="00EC0028">
              <w:rPr>
                <w:rFonts w:ascii="Arial" w:hAnsi="Arial" w:cs="Arial"/>
                <w:sz w:val="20"/>
                <w:szCs w:val="20"/>
              </w:rPr>
              <w:t>New gTLD Registry Operators must provide Trademark Claims services during an</w:t>
            </w:r>
          </w:p>
          <w:p w14:paraId="4C500D00" w14:textId="77777777" w:rsidR="00D96CF2" w:rsidRPr="00EC0028" w:rsidRDefault="00D96CF2" w:rsidP="00D96CF2">
            <w:pPr>
              <w:rPr>
                <w:rFonts w:ascii="Arial" w:hAnsi="Arial" w:cs="Arial"/>
                <w:sz w:val="20"/>
                <w:szCs w:val="20"/>
              </w:rPr>
            </w:pPr>
            <w:proofErr w:type="gramStart"/>
            <w:r w:rsidRPr="00EC0028">
              <w:rPr>
                <w:rFonts w:ascii="Arial" w:hAnsi="Arial" w:cs="Arial"/>
                <w:sz w:val="20"/>
                <w:szCs w:val="20"/>
              </w:rPr>
              <w:t>initial</w:t>
            </w:r>
            <w:proofErr w:type="gramEnd"/>
            <w:r w:rsidRPr="00EC0028">
              <w:rPr>
                <w:rFonts w:ascii="Arial" w:hAnsi="Arial" w:cs="Arial"/>
                <w:sz w:val="20"/>
                <w:szCs w:val="20"/>
              </w:rPr>
              <w:t xml:space="preserve"> launch period for marks in the Trademark Clearinghouse. This launch</w:t>
            </w:r>
          </w:p>
          <w:p w14:paraId="360FA832" w14:textId="77777777" w:rsidR="00D96CF2" w:rsidRPr="00EC0028" w:rsidRDefault="00D96CF2" w:rsidP="00D96CF2">
            <w:pPr>
              <w:rPr>
                <w:rFonts w:ascii="Arial" w:hAnsi="Arial" w:cs="Arial"/>
                <w:sz w:val="20"/>
                <w:szCs w:val="20"/>
              </w:rPr>
            </w:pPr>
            <w:proofErr w:type="gramStart"/>
            <w:r w:rsidRPr="00EC0028">
              <w:rPr>
                <w:rFonts w:ascii="Arial" w:hAnsi="Arial" w:cs="Arial"/>
                <w:sz w:val="20"/>
                <w:szCs w:val="20"/>
              </w:rPr>
              <w:t>period</w:t>
            </w:r>
            <w:proofErr w:type="gramEnd"/>
            <w:r w:rsidRPr="00EC0028">
              <w:rPr>
                <w:rFonts w:ascii="Arial" w:hAnsi="Arial" w:cs="Arial"/>
                <w:sz w:val="20"/>
                <w:szCs w:val="20"/>
              </w:rPr>
              <w:t xml:space="preserve"> must occur for at least the first 60 days that registration is open for</w:t>
            </w:r>
          </w:p>
          <w:p w14:paraId="11B44EEC" w14:textId="77777777" w:rsidR="00E0740D" w:rsidRPr="00EC0028" w:rsidRDefault="00D96CF2" w:rsidP="00D96CF2">
            <w:pPr>
              <w:rPr>
                <w:rFonts w:ascii="Arial" w:hAnsi="Arial" w:cs="Arial"/>
                <w:sz w:val="20"/>
                <w:szCs w:val="20"/>
              </w:rPr>
            </w:pPr>
            <w:proofErr w:type="gramStart"/>
            <w:r w:rsidRPr="00EC0028">
              <w:rPr>
                <w:rFonts w:ascii="Arial" w:hAnsi="Arial" w:cs="Arial"/>
                <w:sz w:val="20"/>
                <w:szCs w:val="20"/>
              </w:rPr>
              <w:t>general</w:t>
            </w:r>
            <w:proofErr w:type="gramEnd"/>
            <w:r w:rsidRPr="00EC0028">
              <w:rPr>
                <w:rFonts w:ascii="Arial" w:hAnsi="Arial" w:cs="Arial"/>
                <w:sz w:val="20"/>
                <w:szCs w:val="20"/>
              </w:rPr>
              <w:t xml:space="preserve"> registration.</w:t>
            </w:r>
          </w:p>
          <w:p w14:paraId="4D447585" w14:textId="77777777" w:rsidR="00E0740D" w:rsidRPr="00EC0028" w:rsidRDefault="00E0740D" w:rsidP="00FD29FF">
            <w:pPr>
              <w:rPr>
                <w:rFonts w:ascii="Arial" w:hAnsi="Arial" w:cs="Arial"/>
                <w:sz w:val="20"/>
                <w:szCs w:val="20"/>
              </w:rPr>
            </w:pPr>
          </w:p>
        </w:tc>
        <w:tc>
          <w:tcPr>
            <w:tcW w:w="4590" w:type="dxa"/>
          </w:tcPr>
          <w:p w14:paraId="565D5B96" w14:textId="77777777" w:rsidR="00E0740D" w:rsidRPr="00EC0028" w:rsidRDefault="00E0740D" w:rsidP="00FD29FF">
            <w:pPr>
              <w:rPr>
                <w:rFonts w:ascii="Arial" w:hAnsi="Arial" w:cs="Arial"/>
                <w:sz w:val="20"/>
                <w:szCs w:val="20"/>
              </w:rPr>
            </w:pPr>
          </w:p>
          <w:p w14:paraId="568F7563" w14:textId="77777777" w:rsidR="00290530" w:rsidRPr="00EC0028" w:rsidRDefault="00290530" w:rsidP="00290530">
            <w:pPr>
              <w:rPr>
                <w:rFonts w:ascii="Arial" w:hAnsi="Arial" w:cs="Arial"/>
                <w:sz w:val="20"/>
                <w:szCs w:val="20"/>
              </w:rPr>
            </w:pPr>
            <w:r w:rsidRPr="00EC0028">
              <w:rPr>
                <w:rFonts w:ascii="Arial" w:hAnsi="Arial" w:cs="Arial"/>
                <w:sz w:val="20"/>
                <w:szCs w:val="20"/>
              </w:rPr>
              <w:t xml:space="preserve">Other marks that constitute intellectual property </w:t>
            </w:r>
            <w:r w:rsidRPr="00EC0028">
              <w:rPr>
                <w:rFonts w:ascii="Arial" w:hAnsi="Arial" w:cs="Arial"/>
                <w:b/>
                <w:sz w:val="20"/>
                <w:szCs w:val="20"/>
              </w:rPr>
              <w:t>such as common law trademarks</w:t>
            </w:r>
            <w:r w:rsidRPr="00EC0028">
              <w:rPr>
                <w:rFonts w:ascii="Arial" w:hAnsi="Arial" w:cs="Arial"/>
                <w:sz w:val="20"/>
                <w:szCs w:val="20"/>
              </w:rPr>
              <w:t>.</w:t>
            </w:r>
          </w:p>
          <w:p w14:paraId="58974662" w14:textId="77777777" w:rsidR="00290530" w:rsidRPr="00EC0028" w:rsidRDefault="00290530" w:rsidP="0077313B">
            <w:pPr>
              <w:rPr>
                <w:rFonts w:ascii="Arial" w:hAnsi="Arial" w:cs="Arial"/>
                <w:sz w:val="20"/>
                <w:szCs w:val="20"/>
              </w:rPr>
            </w:pPr>
          </w:p>
          <w:p w14:paraId="3E73FB43" w14:textId="77777777" w:rsidR="00290530" w:rsidRPr="00EC0028" w:rsidRDefault="00290530" w:rsidP="0077313B">
            <w:pPr>
              <w:rPr>
                <w:rFonts w:ascii="Arial" w:hAnsi="Arial" w:cs="Arial"/>
                <w:sz w:val="20"/>
                <w:szCs w:val="20"/>
              </w:rPr>
            </w:pPr>
          </w:p>
          <w:p w14:paraId="027B1522" w14:textId="77777777" w:rsidR="00290530" w:rsidRPr="00EC0028" w:rsidRDefault="00290530" w:rsidP="0077313B">
            <w:pPr>
              <w:rPr>
                <w:rFonts w:ascii="Arial" w:hAnsi="Arial" w:cs="Arial"/>
                <w:sz w:val="20"/>
                <w:szCs w:val="20"/>
              </w:rPr>
            </w:pPr>
          </w:p>
          <w:p w14:paraId="46E65A05" w14:textId="77777777" w:rsidR="00820E0E" w:rsidRPr="00EC0028" w:rsidRDefault="00820E0E" w:rsidP="0077313B">
            <w:pPr>
              <w:rPr>
                <w:rFonts w:ascii="Arial" w:hAnsi="Arial" w:cs="Arial"/>
                <w:sz w:val="20"/>
                <w:szCs w:val="20"/>
              </w:rPr>
            </w:pPr>
            <w:r w:rsidRPr="00EC0028">
              <w:rPr>
                <w:rFonts w:ascii="Arial" w:hAnsi="Arial" w:cs="Arial"/>
                <w:sz w:val="20"/>
                <w:szCs w:val="20"/>
              </w:rPr>
              <w:t>BC reiterates its v5 recommendation:</w:t>
            </w:r>
          </w:p>
          <w:p w14:paraId="0E185327" w14:textId="77777777" w:rsidR="00820E0E" w:rsidRPr="00EC0028" w:rsidRDefault="00820E0E" w:rsidP="0077313B">
            <w:pPr>
              <w:rPr>
                <w:rFonts w:ascii="Arial" w:hAnsi="Arial" w:cs="Arial"/>
                <w:sz w:val="20"/>
                <w:szCs w:val="20"/>
              </w:rPr>
            </w:pPr>
          </w:p>
          <w:p w14:paraId="563AC7C6" w14:textId="77777777" w:rsidR="00E0740D" w:rsidRPr="00EC0028" w:rsidRDefault="00E0740D" w:rsidP="0077313B">
            <w:pPr>
              <w:rPr>
                <w:rFonts w:ascii="Arial" w:hAnsi="Arial" w:cs="Arial"/>
                <w:b/>
                <w:sz w:val="20"/>
                <w:szCs w:val="20"/>
              </w:rPr>
            </w:pPr>
            <w:r w:rsidRPr="00EC0028">
              <w:rPr>
                <w:rFonts w:ascii="Arial" w:hAnsi="Arial" w:cs="Arial"/>
                <w:sz w:val="20"/>
                <w:szCs w:val="20"/>
              </w:rPr>
              <w:t xml:space="preserve">New gTLD Registry Operators must provide Trademark Claims services </w:t>
            </w:r>
            <w:r w:rsidRPr="00EC0028">
              <w:rPr>
                <w:rFonts w:ascii="Arial" w:hAnsi="Arial" w:cs="Arial"/>
                <w:b/>
                <w:sz w:val="20"/>
                <w:szCs w:val="20"/>
              </w:rPr>
              <w:t>at all times</w:t>
            </w:r>
            <w:r w:rsidRPr="00EC0028">
              <w:rPr>
                <w:rFonts w:ascii="Arial" w:hAnsi="Arial" w:cs="Arial"/>
                <w:sz w:val="20"/>
                <w:szCs w:val="20"/>
              </w:rPr>
              <w:t xml:space="preserve"> for marks in the Trademark Clearinghouse</w:t>
            </w:r>
            <w:r w:rsidRPr="00EC0028">
              <w:rPr>
                <w:rFonts w:ascii="Arial" w:hAnsi="Arial" w:cs="Arial"/>
                <w:b/>
                <w:sz w:val="20"/>
                <w:szCs w:val="20"/>
              </w:rPr>
              <w:t>.</w:t>
            </w:r>
          </w:p>
        </w:tc>
      </w:tr>
      <w:tr w:rsidR="00E0740D" w:rsidRPr="004B63EC" w14:paraId="1FAEC963" w14:textId="77777777" w:rsidTr="00FD29FF">
        <w:trPr>
          <w:trHeight w:val="1052"/>
        </w:trPr>
        <w:tc>
          <w:tcPr>
            <w:tcW w:w="8838" w:type="dxa"/>
            <w:gridSpan w:val="2"/>
          </w:tcPr>
          <w:p w14:paraId="5B7A4697" w14:textId="77777777" w:rsidR="00E0740D" w:rsidRPr="004B63EC" w:rsidRDefault="00E0740D" w:rsidP="00FD29FF">
            <w:pPr>
              <w:rPr>
                <w:rFonts w:ascii="Arial" w:hAnsi="Arial" w:cs="Arial"/>
                <w:b/>
                <w:sz w:val="20"/>
                <w:szCs w:val="20"/>
              </w:rPr>
            </w:pPr>
            <w:r w:rsidRPr="004B63EC">
              <w:rPr>
                <w:rFonts w:ascii="Arial" w:hAnsi="Arial" w:cs="Arial"/>
                <w:b/>
                <w:sz w:val="20"/>
                <w:szCs w:val="20"/>
              </w:rPr>
              <w:t>Rationale for BC Recommendation:</w:t>
            </w:r>
          </w:p>
          <w:p w14:paraId="7CF2FA00" w14:textId="77777777" w:rsidR="00E0740D" w:rsidRPr="004B63EC" w:rsidRDefault="00E0740D" w:rsidP="00FD29FF">
            <w:pPr>
              <w:rPr>
                <w:rFonts w:ascii="Arial" w:hAnsi="Arial" w:cs="Arial"/>
                <w:sz w:val="20"/>
                <w:szCs w:val="20"/>
              </w:rPr>
            </w:pPr>
          </w:p>
          <w:p w14:paraId="106DC877" w14:textId="77777777" w:rsidR="00290530" w:rsidRPr="00EC0028" w:rsidRDefault="00290530" w:rsidP="00FD29FF">
            <w:pPr>
              <w:rPr>
                <w:rFonts w:ascii="Arial" w:hAnsi="Arial" w:cs="Arial"/>
                <w:sz w:val="20"/>
                <w:szCs w:val="20"/>
              </w:rPr>
            </w:pPr>
            <w:r w:rsidRPr="00EC0028">
              <w:rPr>
                <w:rFonts w:ascii="Arial" w:hAnsi="Arial" w:cs="Arial"/>
                <w:sz w:val="20"/>
                <w:szCs w:val="20"/>
              </w:rPr>
              <w:t>The extension to other marks needs clarifying.</w:t>
            </w:r>
          </w:p>
          <w:p w14:paraId="5EB03773" w14:textId="77777777" w:rsidR="00290530" w:rsidRPr="00EC0028" w:rsidRDefault="00290530" w:rsidP="00FD29FF">
            <w:pPr>
              <w:rPr>
                <w:rFonts w:ascii="Arial" w:hAnsi="Arial" w:cs="Arial"/>
                <w:sz w:val="20"/>
                <w:szCs w:val="20"/>
              </w:rPr>
            </w:pPr>
          </w:p>
          <w:p w14:paraId="294C15CA" w14:textId="77777777" w:rsidR="00E0740D" w:rsidRPr="004B63EC" w:rsidRDefault="00E0740D" w:rsidP="00FD29FF">
            <w:pPr>
              <w:rPr>
                <w:rFonts w:ascii="Arial" w:hAnsi="Arial" w:cs="Arial"/>
                <w:sz w:val="20"/>
                <w:szCs w:val="20"/>
              </w:rPr>
            </w:pPr>
            <w:r w:rsidRPr="00EC0028">
              <w:rPr>
                <w:rFonts w:ascii="Arial" w:hAnsi="Arial" w:cs="Arial"/>
                <w:sz w:val="20"/>
                <w:szCs w:val="20"/>
              </w:rPr>
              <w:t xml:space="preserve">The TM Claims </w:t>
            </w:r>
            <w:r w:rsidR="00EC0028">
              <w:rPr>
                <w:rFonts w:ascii="Arial" w:hAnsi="Arial" w:cs="Arial"/>
                <w:sz w:val="20"/>
                <w:szCs w:val="20"/>
              </w:rPr>
              <w:t xml:space="preserve">notification </w:t>
            </w:r>
            <w:r w:rsidRPr="00EC0028">
              <w:rPr>
                <w:rFonts w:ascii="Arial" w:hAnsi="Arial" w:cs="Arial"/>
                <w:sz w:val="20"/>
                <w:szCs w:val="20"/>
              </w:rPr>
              <w:t xml:space="preserve">service provides a valuable service to both TM holders and registrants.  This holds true any time a domain name is registered – not just during the launch period. </w:t>
            </w:r>
            <w:r w:rsidR="00290530" w:rsidRPr="00EC0028">
              <w:rPr>
                <w:rFonts w:ascii="Arial" w:hAnsi="Arial" w:cs="Arial"/>
                <w:sz w:val="20"/>
                <w:szCs w:val="20"/>
              </w:rPr>
              <w:t>T</w:t>
            </w:r>
            <w:r w:rsidRPr="00EC0028">
              <w:rPr>
                <w:rFonts w:ascii="Arial" w:hAnsi="Arial" w:cs="Arial"/>
                <w:sz w:val="20"/>
                <w:szCs w:val="20"/>
              </w:rPr>
              <w:t xml:space="preserve">he BC recommends that gTLD Registry Operators offer TM Claims service not only during launch, </w:t>
            </w:r>
            <w:proofErr w:type="gramStart"/>
            <w:r w:rsidRPr="00EC0028">
              <w:rPr>
                <w:rFonts w:ascii="Arial" w:hAnsi="Arial" w:cs="Arial"/>
                <w:sz w:val="20"/>
                <w:szCs w:val="20"/>
              </w:rPr>
              <w:t>but</w:t>
            </w:r>
            <w:proofErr w:type="gramEnd"/>
            <w:r w:rsidRPr="00EC0028">
              <w:rPr>
                <w:rFonts w:ascii="Arial" w:hAnsi="Arial" w:cs="Arial"/>
                <w:sz w:val="20"/>
                <w:szCs w:val="20"/>
              </w:rPr>
              <w:t xml:space="preserve"> at any time a domain name is registered.</w:t>
            </w:r>
          </w:p>
          <w:p w14:paraId="66ECA625" w14:textId="77777777" w:rsidR="00E0740D" w:rsidRPr="004B63EC" w:rsidRDefault="00E0740D" w:rsidP="00FD29FF">
            <w:pPr>
              <w:rPr>
                <w:rFonts w:ascii="Arial" w:hAnsi="Arial" w:cs="Arial"/>
                <w:sz w:val="20"/>
                <w:szCs w:val="20"/>
              </w:rPr>
            </w:pPr>
          </w:p>
        </w:tc>
      </w:tr>
    </w:tbl>
    <w:p w14:paraId="0F709CAE" w14:textId="77777777" w:rsidR="00E0740D" w:rsidRPr="004B63EC" w:rsidRDefault="00E0740D" w:rsidP="005A6CB5">
      <w:pPr>
        <w:rPr>
          <w:rFonts w:ascii="Arial" w:hAnsi="Arial" w:cs="Arial"/>
          <w:sz w:val="20"/>
          <w:szCs w:val="20"/>
        </w:rPr>
      </w:pPr>
    </w:p>
    <w:p w14:paraId="6E377E26" w14:textId="77777777" w:rsidR="00E0740D" w:rsidRPr="004B63EC" w:rsidRDefault="00E0740D">
      <w:pPr>
        <w:rPr>
          <w:rFonts w:ascii="Arial" w:hAnsi="Arial" w:cs="Arial"/>
          <w:sz w:val="20"/>
          <w:szCs w:val="20"/>
        </w:rPr>
      </w:pPr>
      <w:r w:rsidRPr="004B63EC">
        <w:rPr>
          <w:rFonts w:ascii="Arial" w:hAnsi="Arial" w:cs="Arial"/>
          <w:sz w:val="20"/>
          <w:szCs w:val="20"/>
        </w:rPr>
        <w:br w:type="page"/>
      </w:r>
    </w:p>
    <w:p w14:paraId="61EF67D2" w14:textId="77777777" w:rsidR="00E0740D" w:rsidRPr="004B63EC" w:rsidRDefault="00E0740D"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0E8AC7EF" w14:textId="77777777" w:rsidTr="0077313B">
        <w:tc>
          <w:tcPr>
            <w:tcW w:w="8838" w:type="dxa"/>
            <w:gridSpan w:val="2"/>
            <w:shd w:val="clear" w:color="auto" w:fill="E0E0E0"/>
          </w:tcPr>
          <w:p w14:paraId="386ED269" w14:textId="77777777" w:rsidR="00E0740D" w:rsidRPr="004B63EC" w:rsidRDefault="00E0740D" w:rsidP="0077313B">
            <w:pPr>
              <w:rPr>
                <w:rFonts w:ascii="Arial" w:hAnsi="Arial" w:cs="Arial"/>
                <w:sz w:val="20"/>
                <w:szCs w:val="20"/>
              </w:rPr>
            </w:pPr>
            <w:r w:rsidRPr="004B63EC">
              <w:rPr>
                <w:rFonts w:ascii="Arial" w:hAnsi="Arial" w:cs="Arial"/>
                <w:b/>
                <w:sz w:val="20"/>
                <w:szCs w:val="20"/>
              </w:rPr>
              <w:t>Module 5: Specification 10, Registry Performance Specifications:  Sunrise Service</w:t>
            </w:r>
          </w:p>
        </w:tc>
      </w:tr>
      <w:tr w:rsidR="00E0740D" w:rsidRPr="004B63EC" w14:paraId="67E3EA6F" w14:textId="77777777" w:rsidTr="0077313B">
        <w:tc>
          <w:tcPr>
            <w:tcW w:w="4248" w:type="dxa"/>
          </w:tcPr>
          <w:p w14:paraId="7D24E1BB" w14:textId="77777777" w:rsidR="00E0740D" w:rsidRPr="004B63EC" w:rsidRDefault="00E0740D" w:rsidP="0077313B">
            <w:pPr>
              <w:rPr>
                <w:rFonts w:ascii="Arial" w:hAnsi="Arial" w:cs="Arial"/>
                <w:b/>
                <w:sz w:val="20"/>
                <w:szCs w:val="20"/>
              </w:rPr>
            </w:pPr>
            <w:r w:rsidRPr="004B63EC">
              <w:rPr>
                <w:rFonts w:ascii="Arial" w:hAnsi="Arial" w:cs="Arial"/>
                <w:b/>
                <w:sz w:val="20"/>
                <w:szCs w:val="20"/>
              </w:rPr>
              <w:t>Current Guidebook Approach:</w:t>
            </w:r>
          </w:p>
        </w:tc>
        <w:tc>
          <w:tcPr>
            <w:tcW w:w="4590" w:type="dxa"/>
          </w:tcPr>
          <w:p w14:paraId="0AF4AED5" w14:textId="77777777" w:rsidR="00E0740D" w:rsidRPr="004B63EC" w:rsidRDefault="00E0740D" w:rsidP="0077313B">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EC0028" w14:paraId="6D91EFED" w14:textId="77777777" w:rsidTr="0077313B">
        <w:tc>
          <w:tcPr>
            <w:tcW w:w="4248" w:type="dxa"/>
          </w:tcPr>
          <w:p w14:paraId="2DA581FC" w14:textId="77777777" w:rsidR="00E0740D" w:rsidRPr="00EC0028" w:rsidRDefault="00E0740D" w:rsidP="0077313B">
            <w:pPr>
              <w:rPr>
                <w:rFonts w:ascii="Arial" w:hAnsi="Arial" w:cs="Arial"/>
                <w:sz w:val="20"/>
                <w:szCs w:val="20"/>
              </w:rPr>
            </w:pPr>
            <w:r w:rsidRPr="00EC0028">
              <w:rPr>
                <w:rFonts w:ascii="Arial" w:hAnsi="Arial" w:cs="Arial"/>
                <w:sz w:val="20"/>
                <w:szCs w:val="20"/>
              </w:rPr>
              <w:t xml:space="preserve">6.2 Sunrise service </w:t>
            </w:r>
          </w:p>
          <w:p w14:paraId="41787C56" w14:textId="77777777" w:rsidR="00E0740D" w:rsidRPr="00EC0028" w:rsidRDefault="00E0740D" w:rsidP="0077313B">
            <w:pPr>
              <w:rPr>
                <w:rFonts w:ascii="Arial" w:hAnsi="Arial" w:cs="Arial"/>
                <w:sz w:val="20"/>
                <w:szCs w:val="20"/>
              </w:rPr>
            </w:pPr>
            <w:proofErr w:type="gramStart"/>
            <w:r w:rsidRPr="00EC0028">
              <w:rPr>
                <w:rFonts w:ascii="Arial" w:hAnsi="Arial" w:cs="Arial"/>
                <w:sz w:val="20"/>
                <w:szCs w:val="20"/>
              </w:rPr>
              <w:t>6.2.1  This</w:t>
            </w:r>
            <w:proofErr w:type="gramEnd"/>
            <w:r w:rsidRPr="00EC0028">
              <w:rPr>
                <w:rFonts w:ascii="Arial" w:hAnsi="Arial" w:cs="Arial"/>
                <w:sz w:val="20"/>
                <w:szCs w:val="20"/>
              </w:rPr>
              <w:t xml:space="preserve"> notice will be provided to holders of marks in the Clearinghouse that are an Identical Match to the name to be registered during Sunrise.</w:t>
            </w:r>
          </w:p>
          <w:p w14:paraId="4646B646" w14:textId="77777777" w:rsidR="00E0740D" w:rsidRPr="00EC0028" w:rsidRDefault="00E0740D" w:rsidP="0077313B">
            <w:pPr>
              <w:rPr>
                <w:rFonts w:ascii="Arial" w:hAnsi="Arial" w:cs="Arial"/>
                <w:sz w:val="20"/>
                <w:szCs w:val="20"/>
              </w:rPr>
            </w:pPr>
          </w:p>
        </w:tc>
        <w:tc>
          <w:tcPr>
            <w:tcW w:w="4590" w:type="dxa"/>
          </w:tcPr>
          <w:p w14:paraId="21CB7CC4" w14:textId="77777777" w:rsidR="00E0740D" w:rsidRPr="00EC0028" w:rsidRDefault="00E0740D" w:rsidP="0077313B">
            <w:pPr>
              <w:rPr>
                <w:rFonts w:ascii="Arial" w:hAnsi="Arial" w:cs="Arial"/>
                <w:sz w:val="20"/>
                <w:szCs w:val="20"/>
              </w:rPr>
            </w:pPr>
          </w:p>
          <w:p w14:paraId="167E1CCF" w14:textId="77777777" w:rsidR="00B41040" w:rsidRPr="00EC0028" w:rsidRDefault="00B41040" w:rsidP="00B41040">
            <w:pPr>
              <w:rPr>
                <w:rFonts w:ascii="Arial" w:hAnsi="Arial" w:cs="Arial"/>
                <w:sz w:val="20"/>
                <w:szCs w:val="20"/>
              </w:rPr>
            </w:pPr>
            <w:r w:rsidRPr="00EC0028">
              <w:rPr>
                <w:rFonts w:ascii="Arial" w:hAnsi="Arial" w:cs="Arial"/>
                <w:sz w:val="20"/>
                <w:szCs w:val="20"/>
              </w:rPr>
              <w:t xml:space="preserve">This notice will be provided to holders of marks in the Clearinghouse that are an Identical Match </w:t>
            </w:r>
            <w:r w:rsidRPr="00EC0028">
              <w:rPr>
                <w:rFonts w:ascii="Arial" w:hAnsi="Arial" w:cs="Arial"/>
                <w:b/>
                <w:sz w:val="20"/>
                <w:szCs w:val="20"/>
              </w:rPr>
              <w:t>or confusingly similar</w:t>
            </w:r>
            <w:r w:rsidRPr="00EC0028">
              <w:rPr>
                <w:rFonts w:ascii="Arial" w:hAnsi="Arial" w:cs="Arial"/>
                <w:sz w:val="20"/>
                <w:szCs w:val="20"/>
              </w:rPr>
              <w:t xml:space="preserve"> to the name to be registered during Sunrise;</w:t>
            </w:r>
          </w:p>
          <w:p w14:paraId="7F23EE1D" w14:textId="77777777" w:rsidR="00B41040" w:rsidRPr="00EC0028" w:rsidRDefault="00B41040" w:rsidP="00B41040">
            <w:pPr>
              <w:rPr>
                <w:rFonts w:ascii="Arial" w:hAnsi="Arial" w:cs="Arial"/>
                <w:sz w:val="20"/>
                <w:szCs w:val="20"/>
              </w:rPr>
            </w:pPr>
          </w:p>
          <w:p w14:paraId="2072C23A" w14:textId="77777777" w:rsidR="00E0740D" w:rsidRPr="00EC0028" w:rsidRDefault="00E0740D" w:rsidP="00A06E12">
            <w:pPr>
              <w:rPr>
                <w:rFonts w:ascii="Arial" w:hAnsi="Arial" w:cs="Arial"/>
                <w:color w:val="FF6600"/>
                <w:sz w:val="20"/>
                <w:szCs w:val="20"/>
              </w:rPr>
            </w:pPr>
          </w:p>
        </w:tc>
      </w:tr>
      <w:tr w:rsidR="00E0740D" w:rsidRPr="004B63EC" w14:paraId="5F430F50" w14:textId="77777777" w:rsidTr="0077313B">
        <w:trPr>
          <w:trHeight w:val="1052"/>
        </w:trPr>
        <w:tc>
          <w:tcPr>
            <w:tcW w:w="8838" w:type="dxa"/>
            <w:gridSpan w:val="2"/>
          </w:tcPr>
          <w:p w14:paraId="12AE5488" w14:textId="77777777" w:rsidR="00E0740D" w:rsidRPr="00EC0028" w:rsidRDefault="00E0740D" w:rsidP="0077313B">
            <w:pPr>
              <w:rPr>
                <w:rFonts w:ascii="Arial" w:hAnsi="Arial" w:cs="Arial"/>
                <w:b/>
                <w:sz w:val="20"/>
                <w:szCs w:val="20"/>
              </w:rPr>
            </w:pPr>
            <w:r w:rsidRPr="00EC0028">
              <w:rPr>
                <w:rFonts w:ascii="Arial" w:hAnsi="Arial" w:cs="Arial"/>
                <w:b/>
                <w:sz w:val="20"/>
                <w:szCs w:val="20"/>
              </w:rPr>
              <w:t>Rationale for BC Recommendation:</w:t>
            </w:r>
          </w:p>
          <w:p w14:paraId="44ED9B94" w14:textId="77777777" w:rsidR="00E0740D" w:rsidRPr="00EC0028" w:rsidRDefault="00E0740D" w:rsidP="0077313B">
            <w:pPr>
              <w:rPr>
                <w:rFonts w:ascii="Arial" w:hAnsi="Arial" w:cs="Arial"/>
                <w:sz w:val="20"/>
                <w:szCs w:val="20"/>
              </w:rPr>
            </w:pPr>
          </w:p>
          <w:p w14:paraId="6A76631E" w14:textId="77777777" w:rsidR="00E0740D" w:rsidRPr="00EC0028" w:rsidRDefault="00E0740D" w:rsidP="0077313B">
            <w:pPr>
              <w:rPr>
                <w:rFonts w:ascii="Arial" w:hAnsi="Arial" w:cs="Arial"/>
                <w:color w:val="000000"/>
                <w:sz w:val="20"/>
                <w:szCs w:val="20"/>
              </w:rPr>
            </w:pPr>
            <w:r w:rsidRPr="00EC0028">
              <w:rPr>
                <w:rFonts w:ascii="Arial" w:hAnsi="Arial" w:cs="Arial"/>
                <w:color w:val="000000"/>
                <w:sz w:val="20"/>
                <w:szCs w:val="20"/>
              </w:rPr>
              <w:t xml:space="preserve">The </w:t>
            </w:r>
            <w:r w:rsidR="00EC0028">
              <w:rPr>
                <w:rFonts w:ascii="Arial" w:hAnsi="Arial" w:cs="Arial"/>
                <w:color w:val="000000"/>
                <w:sz w:val="20"/>
                <w:szCs w:val="20"/>
              </w:rPr>
              <w:t xml:space="preserve">Sunrise </w:t>
            </w:r>
            <w:r w:rsidRPr="00EC0028">
              <w:rPr>
                <w:rFonts w:ascii="Arial" w:hAnsi="Arial" w:cs="Arial"/>
                <w:color w:val="000000"/>
                <w:sz w:val="20"/>
                <w:szCs w:val="20"/>
              </w:rPr>
              <w:t>service applies only to “identical marks” so the value of the warning is limited.  The service does not notify based on broader matching requirements called for by the BC.</w:t>
            </w:r>
          </w:p>
          <w:p w14:paraId="5AC55462" w14:textId="77777777" w:rsidR="00E0740D" w:rsidRPr="00EC0028" w:rsidRDefault="00E0740D" w:rsidP="0077313B">
            <w:pPr>
              <w:rPr>
                <w:rFonts w:ascii="Arial" w:hAnsi="Arial" w:cs="Arial"/>
                <w:sz w:val="20"/>
                <w:szCs w:val="20"/>
              </w:rPr>
            </w:pPr>
          </w:p>
        </w:tc>
      </w:tr>
    </w:tbl>
    <w:p w14:paraId="2AAF567E" w14:textId="77777777" w:rsidR="00E0740D" w:rsidRDefault="00E0740D" w:rsidP="005A6CB5">
      <w:pPr>
        <w:rPr>
          <w:rFonts w:ascii="Arial" w:hAnsi="Arial" w:cs="Arial"/>
          <w:sz w:val="20"/>
          <w:szCs w:val="20"/>
        </w:rPr>
      </w:pPr>
    </w:p>
    <w:p w14:paraId="2395DEDD" w14:textId="77777777" w:rsidR="00E0740D" w:rsidRDefault="00E0740D" w:rsidP="005A6CB5">
      <w:pPr>
        <w:rPr>
          <w:rFonts w:ascii="Arial" w:hAnsi="Arial" w:cs="Arial"/>
          <w:sz w:val="20"/>
          <w:szCs w:val="20"/>
        </w:rPr>
      </w:pPr>
    </w:p>
    <w:p w14:paraId="47939BE0" w14:textId="77777777" w:rsidR="00E0740D" w:rsidRPr="004B63EC" w:rsidRDefault="00E0740D"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3218EB48" w14:textId="77777777" w:rsidTr="0077313B">
        <w:tc>
          <w:tcPr>
            <w:tcW w:w="8838" w:type="dxa"/>
            <w:gridSpan w:val="2"/>
            <w:shd w:val="clear" w:color="auto" w:fill="E0E0E0"/>
          </w:tcPr>
          <w:p w14:paraId="04CFC72E" w14:textId="77777777" w:rsidR="00E0740D" w:rsidRPr="004B63EC" w:rsidRDefault="00E0740D" w:rsidP="0077313B">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Module 5: Specification 10, Registry Performance Specifications: URS</w:t>
            </w:r>
          </w:p>
        </w:tc>
      </w:tr>
      <w:tr w:rsidR="00E0740D" w:rsidRPr="004B63EC" w14:paraId="26E90170" w14:textId="77777777" w:rsidTr="0077313B">
        <w:tc>
          <w:tcPr>
            <w:tcW w:w="4248" w:type="dxa"/>
          </w:tcPr>
          <w:p w14:paraId="0106EC25" w14:textId="77777777" w:rsidR="00E0740D" w:rsidRPr="004B63EC" w:rsidRDefault="00E0740D" w:rsidP="0077313B">
            <w:pPr>
              <w:rPr>
                <w:rFonts w:ascii="Arial" w:hAnsi="Arial" w:cs="Arial"/>
                <w:b/>
                <w:sz w:val="20"/>
                <w:szCs w:val="20"/>
              </w:rPr>
            </w:pPr>
            <w:r w:rsidRPr="004B63EC">
              <w:rPr>
                <w:rFonts w:ascii="Arial" w:hAnsi="Arial" w:cs="Arial"/>
                <w:b/>
                <w:sz w:val="20"/>
                <w:szCs w:val="20"/>
              </w:rPr>
              <w:t>Current Guidebook Approach:</w:t>
            </w:r>
          </w:p>
        </w:tc>
        <w:tc>
          <w:tcPr>
            <w:tcW w:w="4590" w:type="dxa"/>
          </w:tcPr>
          <w:p w14:paraId="019E09C2" w14:textId="77777777" w:rsidR="00E0740D" w:rsidRPr="004B63EC" w:rsidRDefault="00E0740D" w:rsidP="0077313B">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EC0028" w14:paraId="1B4CE818" w14:textId="77777777" w:rsidTr="0077313B">
        <w:tc>
          <w:tcPr>
            <w:tcW w:w="4248" w:type="dxa"/>
          </w:tcPr>
          <w:p w14:paraId="53E9003C" w14:textId="77777777" w:rsidR="00E0740D" w:rsidRPr="00EC0028" w:rsidRDefault="00E0740D" w:rsidP="0077313B">
            <w:pPr>
              <w:rPr>
                <w:rFonts w:ascii="Arial" w:hAnsi="Arial" w:cs="Arial"/>
                <w:sz w:val="20"/>
                <w:szCs w:val="20"/>
              </w:rPr>
            </w:pPr>
            <w:r w:rsidRPr="00EC0028">
              <w:rPr>
                <w:rFonts w:ascii="Arial" w:hAnsi="Arial" w:cs="Arial"/>
                <w:sz w:val="20"/>
                <w:szCs w:val="20"/>
              </w:rPr>
              <w:t>Uniform Rapid Suspension</w:t>
            </w:r>
          </w:p>
          <w:p w14:paraId="2CBAE77C" w14:textId="77777777" w:rsidR="00221149" w:rsidRPr="00EC0028" w:rsidRDefault="00221149" w:rsidP="00221149">
            <w:pPr>
              <w:rPr>
                <w:rFonts w:ascii="Arial" w:hAnsi="Arial" w:cs="Arial"/>
                <w:sz w:val="20"/>
                <w:szCs w:val="20"/>
              </w:rPr>
            </w:pPr>
            <w:r w:rsidRPr="00EC0028">
              <w:rPr>
                <w:rFonts w:ascii="Arial" w:hAnsi="Arial" w:cs="Arial"/>
                <w:sz w:val="20"/>
                <w:szCs w:val="20"/>
              </w:rPr>
              <w:t>2.2 A limited “loser pays” model has not been adopted for the URS. Complaints listing</w:t>
            </w:r>
          </w:p>
          <w:p w14:paraId="194F4E93" w14:textId="77777777" w:rsidR="00221149" w:rsidRPr="00EC0028" w:rsidRDefault="00221149" w:rsidP="00221149">
            <w:pPr>
              <w:rPr>
                <w:rFonts w:ascii="Arial" w:hAnsi="Arial" w:cs="Arial"/>
                <w:sz w:val="20"/>
                <w:szCs w:val="20"/>
              </w:rPr>
            </w:pPr>
            <w:proofErr w:type="gramStart"/>
            <w:r w:rsidRPr="00EC0028">
              <w:rPr>
                <w:rFonts w:ascii="Arial" w:hAnsi="Arial" w:cs="Arial"/>
                <w:sz w:val="20"/>
                <w:szCs w:val="20"/>
              </w:rPr>
              <w:t>twenty</w:t>
            </w:r>
            <w:proofErr w:type="gramEnd"/>
            <w:r w:rsidRPr="00EC0028">
              <w:rPr>
                <w:rFonts w:ascii="Arial" w:hAnsi="Arial" w:cs="Arial"/>
                <w:sz w:val="20"/>
                <w:szCs w:val="20"/>
              </w:rPr>
              <w:t>-six (26) or more disputed domain names will be subject to an Response Fee</w:t>
            </w:r>
          </w:p>
          <w:p w14:paraId="12861EAB" w14:textId="77777777" w:rsidR="00E0740D" w:rsidRPr="00EC0028" w:rsidRDefault="00221149" w:rsidP="00221149">
            <w:pPr>
              <w:rPr>
                <w:rFonts w:ascii="Arial" w:hAnsi="Arial" w:cs="Arial"/>
                <w:sz w:val="20"/>
                <w:szCs w:val="20"/>
              </w:rPr>
            </w:pPr>
            <w:proofErr w:type="gramStart"/>
            <w:r w:rsidRPr="00EC0028">
              <w:rPr>
                <w:rFonts w:ascii="Arial" w:hAnsi="Arial" w:cs="Arial"/>
                <w:sz w:val="20"/>
                <w:szCs w:val="20"/>
              </w:rPr>
              <w:t>which</w:t>
            </w:r>
            <w:proofErr w:type="gramEnd"/>
            <w:r w:rsidRPr="00EC0028">
              <w:rPr>
                <w:rFonts w:ascii="Arial" w:hAnsi="Arial" w:cs="Arial"/>
                <w:sz w:val="20"/>
                <w:szCs w:val="20"/>
              </w:rPr>
              <w:t xml:space="preserve"> will be refundable to the prevailing party.</w:t>
            </w:r>
          </w:p>
        </w:tc>
        <w:tc>
          <w:tcPr>
            <w:tcW w:w="4590" w:type="dxa"/>
          </w:tcPr>
          <w:p w14:paraId="3E53419D" w14:textId="77777777" w:rsidR="00221149" w:rsidRPr="00EC0028" w:rsidRDefault="00221149" w:rsidP="00221149">
            <w:pPr>
              <w:rPr>
                <w:rFonts w:ascii="Arial" w:hAnsi="Arial" w:cs="Arial"/>
                <w:sz w:val="20"/>
                <w:szCs w:val="20"/>
              </w:rPr>
            </w:pPr>
            <w:r w:rsidRPr="00EC0028">
              <w:rPr>
                <w:rFonts w:ascii="Arial" w:hAnsi="Arial" w:cs="Arial"/>
                <w:sz w:val="20"/>
                <w:szCs w:val="20"/>
              </w:rPr>
              <w:t>2.2 A limited “loser pays” model has not been adopted for the URS. Complaints listing</w:t>
            </w:r>
          </w:p>
          <w:p w14:paraId="1B09066B" w14:textId="77777777" w:rsidR="00221149" w:rsidRPr="00EC0028" w:rsidRDefault="00221149" w:rsidP="00221149">
            <w:pPr>
              <w:rPr>
                <w:rFonts w:ascii="Arial" w:hAnsi="Arial" w:cs="Arial"/>
                <w:sz w:val="20"/>
                <w:szCs w:val="20"/>
              </w:rPr>
            </w:pPr>
            <w:proofErr w:type="gramStart"/>
            <w:r w:rsidRPr="00EC0028">
              <w:rPr>
                <w:rFonts w:ascii="Arial" w:hAnsi="Arial" w:cs="Arial"/>
                <w:b/>
                <w:sz w:val="20"/>
                <w:szCs w:val="20"/>
              </w:rPr>
              <w:t>fifteen</w:t>
            </w:r>
            <w:proofErr w:type="gramEnd"/>
            <w:r w:rsidRPr="00EC0028">
              <w:rPr>
                <w:rFonts w:ascii="Arial" w:hAnsi="Arial" w:cs="Arial"/>
                <w:b/>
                <w:sz w:val="20"/>
                <w:szCs w:val="20"/>
              </w:rPr>
              <w:t xml:space="preserve"> (15) or more</w:t>
            </w:r>
            <w:r w:rsidRPr="00EC0028">
              <w:rPr>
                <w:rFonts w:ascii="Arial" w:hAnsi="Arial" w:cs="Arial"/>
                <w:sz w:val="20"/>
                <w:szCs w:val="20"/>
              </w:rPr>
              <w:t xml:space="preserve"> disputed domain names will be subject to an Response Fee</w:t>
            </w:r>
          </w:p>
          <w:p w14:paraId="4447FD4E" w14:textId="77777777" w:rsidR="00E0740D" w:rsidRPr="00EC0028" w:rsidRDefault="00221149" w:rsidP="00221149">
            <w:pPr>
              <w:rPr>
                <w:rFonts w:ascii="Arial" w:hAnsi="Arial" w:cs="Arial"/>
                <w:sz w:val="20"/>
                <w:szCs w:val="20"/>
              </w:rPr>
            </w:pPr>
            <w:proofErr w:type="gramStart"/>
            <w:r w:rsidRPr="00EC0028">
              <w:rPr>
                <w:rFonts w:ascii="Arial" w:hAnsi="Arial" w:cs="Arial"/>
                <w:sz w:val="20"/>
                <w:szCs w:val="20"/>
              </w:rPr>
              <w:t>which</w:t>
            </w:r>
            <w:proofErr w:type="gramEnd"/>
            <w:r w:rsidRPr="00EC0028">
              <w:rPr>
                <w:rFonts w:ascii="Arial" w:hAnsi="Arial" w:cs="Arial"/>
                <w:sz w:val="20"/>
                <w:szCs w:val="20"/>
              </w:rPr>
              <w:t xml:space="preserve"> will be refundable to the prevailing party.</w:t>
            </w:r>
          </w:p>
          <w:p w14:paraId="18CD694A" w14:textId="77777777" w:rsidR="00E0740D" w:rsidRPr="00EC0028" w:rsidRDefault="00E0740D" w:rsidP="00221149">
            <w:pPr>
              <w:rPr>
                <w:rFonts w:ascii="Arial" w:hAnsi="Arial" w:cs="Arial"/>
                <w:b/>
                <w:sz w:val="20"/>
                <w:szCs w:val="20"/>
              </w:rPr>
            </w:pPr>
          </w:p>
        </w:tc>
      </w:tr>
      <w:tr w:rsidR="00E0740D" w:rsidRPr="004B63EC" w14:paraId="4125C341" w14:textId="77777777" w:rsidTr="0077313B">
        <w:trPr>
          <w:trHeight w:val="1052"/>
        </w:trPr>
        <w:tc>
          <w:tcPr>
            <w:tcW w:w="8838" w:type="dxa"/>
            <w:gridSpan w:val="2"/>
          </w:tcPr>
          <w:p w14:paraId="70709AA3" w14:textId="77777777" w:rsidR="00E0740D" w:rsidRPr="00EC0028" w:rsidRDefault="00E0740D" w:rsidP="0077313B">
            <w:pPr>
              <w:rPr>
                <w:rFonts w:ascii="Arial" w:hAnsi="Arial" w:cs="Arial"/>
                <w:b/>
                <w:sz w:val="20"/>
                <w:szCs w:val="20"/>
              </w:rPr>
            </w:pPr>
            <w:r w:rsidRPr="00EC0028">
              <w:rPr>
                <w:rFonts w:ascii="Arial" w:hAnsi="Arial" w:cs="Arial"/>
                <w:b/>
                <w:sz w:val="20"/>
                <w:szCs w:val="20"/>
              </w:rPr>
              <w:t>Rationale for BC Recommendation:</w:t>
            </w:r>
          </w:p>
          <w:p w14:paraId="2AE948B7" w14:textId="77777777" w:rsidR="00E0740D" w:rsidRPr="00EC0028" w:rsidRDefault="00E0740D" w:rsidP="0077313B">
            <w:pPr>
              <w:rPr>
                <w:rFonts w:ascii="Arial" w:hAnsi="Arial" w:cs="Arial"/>
                <w:sz w:val="20"/>
                <w:szCs w:val="20"/>
              </w:rPr>
            </w:pPr>
          </w:p>
          <w:p w14:paraId="529764BA" w14:textId="77777777" w:rsidR="00E0740D" w:rsidRPr="00EC0028" w:rsidRDefault="00221149" w:rsidP="0077313B">
            <w:pPr>
              <w:rPr>
                <w:rFonts w:ascii="Arial" w:hAnsi="Arial" w:cs="Arial"/>
                <w:color w:val="000000"/>
                <w:sz w:val="20"/>
                <w:szCs w:val="20"/>
              </w:rPr>
            </w:pPr>
            <w:r w:rsidRPr="00EC0028">
              <w:rPr>
                <w:rFonts w:ascii="Arial" w:hAnsi="Arial" w:cs="Arial"/>
                <w:color w:val="000000"/>
                <w:sz w:val="20"/>
                <w:szCs w:val="20"/>
              </w:rPr>
              <w:t xml:space="preserve">The 26 </w:t>
            </w:r>
            <w:proofErr w:type="gramStart"/>
            <w:r w:rsidRPr="00EC0028">
              <w:rPr>
                <w:rFonts w:ascii="Arial" w:hAnsi="Arial" w:cs="Arial"/>
                <w:color w:val="000000"/>
                <w:sz w:val="20"/>
                <w:szCs w:val="20"/>
              </w:rPr>
              <w:t>threshold</w:t>
            </w:r>
            <w:proofErr w:type="gramEnd"/>
            <w:r w:rsidRPr="00EC0028">
              <w:rPr>
                <w:rFonts w:ascii="Arial" w:hAnsi="Arial" w:cs="Arial"/>
                <w:color w:val="000000"/>
                <w:sz w:val="20"/>
                <w:szCs w:val="20"/>
              </w:rPr>
              <w:t xml:space="preserve"> is arbitrary and too high. BC </w:t>
            </w:r>
            <w:proofErr w:type="gramStart"/>
            <w:r w:rsidRPr="00EC0028">
              <w:rPr>
                <w:rFonts w:ascii="Arial" w:hAnsi="Arial" w:cs="Arial"/>
                <w:color w:val="000000"/>
                <w:sz w:val="20"/>
                <w:szCs w:val="20"/>
              </w:rPr>
              <w:t>members</w:t>
            </w:r>
            <w:proofErr w:type="gramEnd"/>
            <w:r w:rsidRPr="00EC0028">
              <w:rPr>
                <w:rFonts w:ascii="Arial" w:hAnsi="Arial" w:cs="Arial"/>
                <w:color w:val="000000"/>
                <w:sz w:val="20"/>
                <w:szCs w:val="20"/>
              </w:rPr>
              <w:t xml:space="preserve"> real world experience suggests a more practical figure would be 15.</w:t>
            </w:r>
          </w:p>
          <w:p w14:paraId="15002204" w14:textId="77777777" w:rsidR="00E0740D" w:rsidRPr="00EC0028" w:rsidRDefault="00E0740D" w:rsidP="0077313B">
            <w:pPr>
              <w:rPr>
                <w:rFonts w:ascii="Arial" w:hAnsi="Arial" w:cs="Arial"/>
                <w:sz w:val="20"/>
                <w:szCs w:val="20"/>
              </w:rPr>
            </w:pPr>
          </w:p>
        </w:tc>
      </w:tr>
    </w:tbl>
    <w:p w14:paraId="60C0593F" w14:textId="77777777" w:rsidR="00E0740D" w:rsidRPr="004B63EC" w:rsidRDefault="00E0740D" w:rsidP="005A6CB5">
      <w:pPr>
        <w:rPr>
          <w:rFonts w:ascii="Arial" w:hAnsi="Arial" w:cs="Arial"/>
          <w:sz w:val="20"/>
          <w:szCs w:val="20"/>
        </w:rPr>
      </w:pPr>
    </w:p>
    <w:p w14:paraId="4E2CAE69" w14:textId="77777777" w:rsidR="00E0740D" w:rsidRPr="004B63EC" w:rsidRDefault="00E0740D" w:rsidP="005A6CB5">
      <w:pPr>
        <w:rPr>
          <w:rFonts w:ascii="Arial" w:hAnsi="Arial" w:cs="Arial"/>
          <w:sz w:val="20"/>
          <w:szCs w:val="20"/>
        </w:rPr>
      </w:pPr>
    </w:p>
    <w:p w14:paraId="232BDAE5" w14:textId="77777777" w:rsidR="00E0740D" w:rsidRPr="004B63EC" w:rsidRDefault="00E0740D" w:rsidP="005A6CB5">
      <w:pPr>
        <w:rPr>
          <w:rFonts w:ascii="Arial" w:hAnsi="Arial" w:cs="Arial"/>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E0740D" w:rsidRPr="004B63EC" w14:paraId="1E9111FA" w14:textId="77777777" w:rsidTr="00903C96">
        <w:tc>
          <w:tcPr>
            <w:tcW w:w="8838" w:type="dxa"/>
            <w:gridSpan w:val="2"/>
            <w:shd w:val="clear" w:color="auto" w:fill="E0E0E0"/>
          </w:tcPr>
          <w:p w14:paraId="64795A7B" w14:textId="77777777" w:rsidR="00E0740D" w:rsidRPr="004B63EC" w:rsidRDefault="00E0740D" w:rsidP="00903C96">
            <w:pPr>
              <w:rPr>
                <w:rFonts w:ascii="Arial" w:hAnsi="Arial" w:cs="Arial"/>
                <w:sz w:val="20"/>
                <w:szCs w:val="20"/>
              </w:rPr>
            </w:pPr>
            <w:r w:rsidRPr="004B63EC">
              <w:rPr>
                <w:rFonts w:ascii="Arial" w:hAnsi="Arial" w:cs="Arial"/>
                <w:b/>
                <w:sz w:val="20"/>
                <w:szCs w:val="20"/>
              </w:rPr>
              <w:t>Module 5: Specification 10, Registry Performance Specifications: TM PDDRP</w:t>
            </w:r>
          </w:p>
        </w:tc>
      </w:tr>
      <w:tr w:rsidR="00E0740D" w:rsidRPr="004B63EC" w14:paraId="7F7ADFAE" w14:textId="77777777" w:rsidTr="00903C96">
        <w:tc>
          <w:tcPr>
            <w:tcW w:w="4248" w:type="dxa"/>
          </w:tcPr>
          <w:p w14:paraId="3E6B6FDF" w14:textId="77777777" w:rsidR="00E0740D" w:rsidRPr="004B63EC" w:rsidRDefault="00E0740D" w:rsidP="00903C96">
            <w:pPr>
              <w:rPr>
                <w:rFonts w:ascii="Arial" w:hAnsi="Arial" w:cs="Arial"/>
                <w:b/>
                <w:sz w:val="20"/>
                <w:szCs w:val="20"/>
              </w:rPr>
            </w:pPr>
            <w:r w:rsidRPr="004B63EC">
              <w:rPr>
                <w:rFonts w:ascii="Arial" w:hAnsi="Arial" w:cs="Arial"/>
                <w:b/>
                <w:sz w:val="20"/>
                <w:szCs w:val="20"/>
              </w:rPr>
              <w:t>Current Guidebook Approach:</w:t>
            </w:r>
          </w:p>
        </w:tc>
        <w:tc>
          <w:tcPr>
            <w:tcW w:w="4590" w:type="dxa"/>
          </w:tcPr>
          <w:p w14:paraId="3AAFA5DD" w14:textId="77777777" w:rsidR="00E0740D" w:rsidRPr="004B63EC" w:rsidRDefault="00E0740D" w:rsidP="00903C96">
            <w:pPr>
              <w:rPr>
                <w:rFonts w:ascii="Arial" w:hAnsi="Arial" w:cs="Arial"/>
                <w:b/>
                <w:sz w:val="20"/>
                <w:szCs w:val="20"/>
              </w:rPr>
            </w:pPr>
            <w:r w:rsidRPr="004B63EC">
              <w:rPr>
                <w:rFonts w:ascii="Arial" w:hAnsi="Arial" w:cs="Arial"/>
                <w:b/>
                <w:sz w:val="20"/>
                <w:szCs w:val="20"/>
              </w:rPr>
              <w:t xml:space="preserve">BC Recommended Change/Question: </w:t>
            </w:r>
          </w:p>
        </w:tc>
      </w:tr>
      <w:tr w:rsidR="00E0740D" w:rsidRPr="004B63EC" w14:paraId="62340CB0" w14:textId="77777777" w:rsidTr="00903C96">
        <w:tc>
          <w:tcPr>
            <w:tcW w:w="4248" w:type="dxa"/>
          </w:tcPr>
          <w:p w14:paraId="27E41298" w14:textId="77777777" w:rsidR="00BF3047" w:rsidRDefault="00BF3047" w:rsidP="00903C96">
            <w:pPr>
              <w:rPr>
                <w:rFonts w:ascii="Arial" w:hAnsi="Arial" w:cs="Arial"/>
                <w:sz w:val="20"/>
                <w:szCs w:val="20"/>
              </w:rPr>
            </w:pPr>
          </w:p>
          <w:p w14:paraId="73AA18C6" w14:textId="77777777" w:rsidR="00E0740D" w:rsidRPr="00BF3047" w:rsidRDefault="00E0740D" w:rsidP="00903C96">
            <w:pPr>
              <w:rPr>
                <w:rFonts w:ascii="Arial" w:hAnsi="Arial" w:cs="Arial"/>
                <w:sz w:val="20"/>
                <w:szCs w:val="20"/>
              </w:rPr>
            </w:pPr>
            <w:r w:rsidRPr="00BF3047">
              <w:rPr>
                <w:rFonts w:ascii="Arial" w:hAnsi="Arial" w:cs="Arial"/>
                <w:sz w:val="20"/>
                <w:szCs w:val="20"/>
              </w:rPr>
              <w:t>Trademark Post-Delegation Dispute Resolution Procedure (Trademark PDDRP)</w:t>
            </w:r>
          </w:p>
        </w:tc>
        <w:tc>
          <w:tcPr>
            <w:tcW w:w="4590" w:type="dxa"/>
          </w:tcPr>
          <w:p w14:paraId="5F854FAD" w14:textId="77777777" w:rsidR="00E0740D" w:rsidRPr="00BF3047" w:rsidRDefault="00E0740D" w:rsidP="00903C96">
            <w:pPr>
              <w:rPr>
                <w:rFonts w:ascii="Arial" w:hAnsi="Arial" w:cs="Arial"/>
                <w:sz w:val="20"/>
                <w:szCs w:val="20"/>
              </w:rPr>
            </w:pPr>
          </w:p>
          <w:p w14:paraId="184E817B" w14:textId="77777777" w:rsidR="00BF3047" w:rsidRPr="00BF3047" w:rsidRDefault="00BF3047" w:rsidP="00BF3047">
            <w:pPr>
              <w:rPr>
                <w:rFonts w:ascii="Arial" w:hAnsi="Arial" w:cs="Arial"/>
                <w:sz w:val="20"/>
                <w:szCs w:val="20"/>
              </w:rPr>
            </w:pPr>
            <w:r>
              <w:rPr>
                <w:rFonts w:ascii="Arial" w:hAnsi="Arial" w:cs="Arial"/>
                <w:sz w:val="20"/>
                <w:szCs w:val="20"/>
              </w:rPr>
              <w:t>Comment:  t</w:t>
            </w:r>
            <w:r w:rsidRPr="00BF3047">
              <w:rPr>
                <w:rFonts w:ascii="Arial" w:hAnsi="Arial" w:cs="Arial"/>
                <w:sz w:val="20"/>
                <w:szCs w:val="20"/>
              </w:rPr>
              <w:t xml:space="preserve">he Trademark Post Delegation Dispute Procedure contains unrealistically high burdens of proof at both the first and second level.  </w:t>
            </w:r>
          </w:p>
          <w:p w14:paraId="16CA192A" w14:textId="77777777" w:rsidR="00E0740D" w:rsidRPr="00BF3047" w:rsidRDefault="00E0740D" w:rsidP="00903C96">
            <w:pPr>
              <w:rPr>
                <w:rFonts w:ascii="Arial" w:hAnsi="Arial" w:cs="Arial"/>
                <w:b/>
                <w:sz w:val="20"/>
                <w:szCs w:val="20"/>
              </w:rPr>
            </w:pPr>
          </w:p>
        </w:tc>
      </w:tr>
      <w:tr w:rsidR="00E0740D" w:rsidRPr="004B63EC" w14:paraId="19BE3125" w14:textId="77777777" w:rsidTr="00903C96">
        <w:trPr>
          <w:trHeight w:val="1052"/>
        </w:trPr>
        <w:tc>
          <w:tcPr>
            <w:tcW w:w="8838" w:type="dxa"/>
            <w:gridSpan w:val="2"/>
          </w:tcPr>
          <w:p w14:paraId="01D7B121" w14:textId="77777777" w:rsidR="00E0740D" w:rsidRPr="00BF3047" w:rsidRDefault="00E0740D" w:rsidP="00903C96">
            <w:pPr>
              <w:rPr>
                <w:rFonts w:ascii="Arial" w:hAnsi="Arial" w:cs="Arial"/>
                <w:b/>
                <w:sz w:val="20"/>
                <w:szCs w:val="20"/>
              </w:rPr>
            </w:pPr>
            <w:r w:rsidRPr="00BF3047">
              <w:rPr>
                <w:rFonts w:ascii="Arial" w:hAnsi="Arial" w:cs="Arial"/>
                <w:b/>
                <w:sz w:val="20"/>
                <w:szCs w:val="20"/>
              </w:rPr>
              <w:t>Rationale for BC Recommendation:</w:t>
            </w:r>
          </w:p>
          <w:p w14:paraId="4AB2F5C3" w14:textId="77777777" w:rsidR="00E0740D" w:rsidRPr="00BF3047" w:rsidRDefault="00E0740D" w:rsidP="00903C96">
            <w:pPr>
              <w:rPr>
                <w:rFonts w:ascii="Arial" w:hAnsi="Arial" w:cs="Arial"/>
                <w:sz w:val="20"/>
                <w:szCs w:val="20"/>
              </w:rPr>
            </w:pPr>
          </w:p>
          <w:p w14:paraId="4E8B0B37" w14:textId="77777777" w:rsidR="00E0740D" w:rsidRPr="00BF3047" w:rsidRDefault="00E0740D" w:rsidP="00903C96">
            <w:pPr>
              <w:rPr>
                <w:rFonts w:ascii="Arial" w:hAnsi="Arial" w:cs="Arial"/>
                <w:sz w:val="20"/>
                <w:szCs w:val="20"/>
              </w:rPr>
            </w:pPr>
            <w:r w:rsidRPr="00BF3047">
              <w:rPr>
                <w:rFonts w:ascii="Arial" w:hAnsi="Arial" w:cs="Arial"/>
                <w:sz w:val="20"/>
                <w:szCs w:val="20"/>
              </w:rPr>
              <w:t>The levels of proof exceed showing bad faith (must show “specific bad faith”) and a pattern or practice of bad faith (must prove “substantial pattern and practice” by clear and convincing evidence.  Even if a complainant wins, there are no sanctions against a registry and no corresponding duty by ICANN to investigate or sanction the Registry.</w:t>
            </w:r>
          </w:p>
          <w:p w14:paraId="473A1180" w14:textId="77777777" w:rsidR="00E0740D" w:rsidRPr="00BF3047" w:rsidRDefault="00E0740D" w:rsidP="00903C96">
            <w:pPr>
              <w:rPr>
                <w:rFonts w:ascii="Arial" w:hAnsi="Arial" w:cs="Arial"/>
                <w:sz w:val="20"/>
                <w:szCs w:val="20"/>
              </w:rPr>
            </w:pPr>
          </w:p>
        </w:tc>
      </w:tr>
    </w:tbl>
    <w:p w14:paraId="30702385" w14:textId="77777777" w:rsidR="00E0740D" w:rsidRPr="004B63EC" w:rsidRDefault="00E0740D" w:rsidP="005A6CB5">
      <w:pPr>
        <w:rPr>
          <w:rFonts w:ascii="Arial" w:hAnsi="Arial" w:cs="Arial"/>
          <w:sz w:val="20"/>
          <w:szCs w:val="20"/>
        </w:rPr>
      </w:pPr>
    </w:p>
    <w:p w14:paraId="590F7F4E" w14:textId="77777777" w:rsidR="00E0740D" w:rsidRPr="004B63EC" w:rsidRDefault="00E0740D" w:rsidP="005A6CB5">
      <w:pPr>
        <w:ind w:left="360"/>
        <w:rPr>
          <w:rFonts w:ascii="Arial" w:hAnsi="Arial" w:cs="Arial"/>
          <w:sz w:val="20"/>
          <w:szCs w:val="20"/>
        </w:rPr>
      </w:pPr>
    </w:p>
    <w:p w14:paraId="4293B2F2" w14:textId="77777777" w:rsidR="00E0740D" w:rsidRPr="004B63EC" w:rsidRDefault="00E0740D" w:rsidP="005A6CB5">
      <w:pPr>
        <w:ind w:left="360"/>
        <w:rPr>
          <w:rFonts w:ascii="Arial" w:hAnsi="Arial" w:cs="Arial"/>
          <w:sz w:val="20"/>
          <w:szCs w:val="20"/>
        </w:rPr>
      </w:pPr>
    </w:p>
    <w:p w14:paraId="3744BF10" w14:textId="77777777" w:rsidR="00E0740D" w:rsidRPr="004B63EC" w:rsidRDefault="00E0740D" w:rsidP="005A6CB5">
      <w:pPr>
        <w:rPr>
          <w:rFonts w:ascii="Arial" w:hAnsi="Arial" w:cs="Arial"/>
          <w:sz w:val="20"/>
          <w:szCs w:val="20"/>
        </w:rPr>
      </w:pPr>
    </w:p>
    <w:p w14:paraId="636297C9" w14:textId="77777777" w:rsidR="00E0740D" w:rsidRDefault="00E0740D">
      <w:pPr>
        <w:rPr>
          <w:rFonts w:ascii="Arial" w:hAnsi="Arial" w:cs="Arial"/>
          <w:sz w:val="20"/>
          <w:szCs w:val="20"/>
        </w:rPr>
      </w:pPr>
    </w:p>
    <w:p w14:paraId="5865E517" w14:textId="77777777" w:rsidR="00E0740D" w:rsidRPr="004B63EC" w:rsidRDefault="00E0740D">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E0740D" w:rsidRPr="004B63EC" w14:paraId="5B987376" w14:textId="77777777">
        <w:trPr>
          <w:tblHeader/>
        </w:trPr>
        <w:tc>
          <w:tcPr>
            <w:tcW w:w="8856" w:type="dxa"/>
            <w:gridSpan w:val="2"/>
            <w:shd w:val="clear" w:color="auto" w:fill="E0E0E0"/>
          </w:tcPr>
          <w:p w14:paraId="581292D9"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Module 5: Specification 10: qualification for TM Clearinghouse, URS, sunrise, and objections </w:t>
            </w:r>
          </w:p>
        </w:tc>
      </w:tr>
      <w:tr w:rsidR="00E0740D" w:rsidRPr="004B63EC" w14:paraId="629EC429" w14:textId="77777777">
        <w:trPr>
          <w:tblHeader/>
        </w:trPr>
        <w:tc>
          <w:tcPr>
            <w:tcW w:w="4428" w:type="dxa"/>
          </w:tcPr>
          <w:p w14:paraId="02924D8A" w14:textId="77777777" w:rsidR="00E0740D" w:rsidRPr="004B63EC" w:rsidRDefault="00E0740D">
            <w:pPr>
              <w:rPr>
                <w:rFonts w:ascii="Arial" w:hAnsi="Arial" w:cs="Arial"/>
                <w:b/>
                <w:sz w:val="20"/>
                <w:szCs w:val="20"/>
              </w:rPr>
            </w:pPr>
            <w:r w:rsidRPr="004B63EC">
              <w:rPr>
                <w:rFonts w:ascii="Arial" w:hAnsi="Arial" w:cs="Arial"/>
                <w:b/>
                <w:sz w:val="20"/>
                <w:szCs w:val="20"/>
              </w:rPr>
              <w:t>Current Guidebook Approach:</w:t>
            </w:r>
          </w:p>
        </w:tc>
        <w:tc>
          <w:tcPr>
            <w:tcW w:w="4428" w:type="dxa"/>
          </w:tcPr>
          <w:p w14:paraId="41B5482D" w14:textId="77777777" w:rsidR="00E0740D" w:rsidRPr="004B63EC" w:rsidRDefault="00E0740D" w:rsidP="00EA2994">
            <w:pPr>
              <w:rPr>
                <w:rFonts w:ascii="Arial" w:hAnsi="Arial" w:cs="Arial"/>
                <w:b/>
                <w:sz w:val="20"/>
                <w:szCs w:val="20"/>
              </w:rPr>
            </w:pPr>
            <w:r w:rsidRPr="004B63EC">
              <w:rPr>
                <w:rFonts w:ascii="Arial" w:hAnsi="Arial" w:cs="Arial"/>
                <w:b/>
                <w:sz w:val="20"/>
                <w:szCs w:val="20"/>
              </w:rPr>
              <w:t xml:space="preserve">BC Recommended Changes: </w:t>
            </w:r>
          </w:p>
        </w:tc>
      </w:tr>
      <w:tr w:rsidR="00E0740D" w:rsidRPr="004B63EC" w14:paraId="3E5F0F7E" w14:textId="77777777">
        <w:tc>
          <w:tcPr>
            <w:tcW w:w="4428" w:type="dxa"/>
          </w:tcPr>
          <w:p w14:paraId="7FD83341" w14:textId="77777777" w:rsidR="00E0740D" w:rsidRPr="00EC0028" w:rsidRDefault="00E0740D" w:rsidP="00EA2994">
            <w:pPr>
              <w:rPr>
                <w:rFonts w:ascii="Arial" w:hAnsi="Arial" w:cs="Arial"/>
                <w:sz w:val="20"/>
                <w:szCs w:val="20"/>
              </w:rPr>
            </w:pPr>
            <w:r w:rsidRPr="00EC0028">
              <w:rPr>
                <w:rFonts w:ascii="Arial" w:hAnsi="Arial" w:cs="Arial"/>
                <w:sz w:val="20"/>
                <w:szCs w:val="20"/>
              </w:rPr>
              <w:t>Sunrise</w:t>
            </w:r>
          </w:p>
          <w:p w14:paraId="24334711" w14:textId="77777777" w:rsidR="009340DD" w:rsidRPr="00EC0028" w:rsidRDefault="00E0740D" w:rsidP="009340DD">
            <w:pPr>
              <w:rPr>
                <w:rFonts w:ascii="Arial" w:hAnsi="Arial" w:cs="Arial"/>
                <w:sz w:val="20"/>
                <w:szCs w:val="20"/>
              </w:rPr>
            </w:pPr>
            <w:r w:rsidRPr="00EC0028">
              <w:rPr>
                <w:rFonts w:ascii="Arial" w:hAnsi="Arial" w:cs="Arial"/>
                <w:sz w:val="20"/>
                <w:szCs w:val="20"/>
              </w:rPr>
              <w:t>7.</w:t>
            </w:r>
            <w:r w:rsidR="009340DD" w:rsidRPr="00EC0028">
              <w:rPr>
                <w:rFonts w:ascii="Arial" w:hAnsi="Arial" w:cs="Arial"/>
                <w:sz w:val="20"/>
                <w:szCs w:val="20"/>
              </w:rPr>
              <w:t>2</w:t>
            </w:r>
            <w:r w:rsidRPr="00EC0028">
              <w:rPr>
                <w:rFonts w:ascii="Arial" w:hAnsi="Arial" w:cs="Arial"/>
                <w:sz w:val="20"/>
                <w:szCs w:val="20"/>
              </w:rPr>
              <w:t xml:space="preserve"> </w:t>
            </w:r>
            <w:r w:rsidR="009340DD" w:rsidRPr="00EC0028">
              <w:rPr>
                <w:rFonts w:ascii="Arial" w:hAnsi="Arial" w:cs="Arial"/>
                <w:sz w:val="20"/>
                <w:szCs w:val="20"/>
              </w:rPr>
              <w:t>For Sunrise services - Registries must recognize and honor all word marks: (i) nationally or multi-nationally registered and for which proof of use – which can be a declaration and a single specimen of current use – was submitted to, and validated by, the</w:t>
            </w:r>
          </w:p>
          <w:p w14:paraId="5E3A13CB" w14:textId="77777777" w:rsidR="009340DD" w:rsidRPr="00EC0028" w:rsidRDefault="009340DD" w:rsidP="009340DD">
            <w:pPr>
              <w:rPr>
                <w:rFonts w:ascii="Arial" w:hAnsi="Arial" w:cs="Arial"/>
                <w:sz w:val="20"/>
                <w:szCs w:val="20"/>
              </w:rPr>
            </w:pPr>
            <w:r w:rsidRPr="00EC0028">
              <w:rPr>
                <w:rFonts w:ascii="Arial" w:hAnsi="Arial" w:cs="Arial"/>
                <w:sz w:val="20"/>
                <w:szCs w:val="20"/>
              </w:rPr>
              <w:t>Trademark Clearinghouse; or (ii) that have been court-validated; or (iii) that are</w:t>
            </w:r>
          </w:p>
          <w:p w14:paraId="75162A8F" w14:textId="77777777" w:rsidR="009340DD" w:rsidRPr="00EC0028" w:rsidRDefault="009340DD" w:rsidP="009340DD">
            <w:pPr>
              <w:rPr>
                <w:rFonts w:ascii="Arial" w:hAnsi="Arial" w:cs="Arial"/>
                <w:sz w:val="20"/>
                <w:szCs w:val="20"/>
              </w:rPr>
            </w:pPr>
            <w:proofErr w:type="gramStart"/>
            <w:r w:rsidRPr="00EC0028">
              <w:rPr>
                <w:rFonts w:ascii="Arial" w:hAnsi="Arial" w:cs="Arial"/>
                <w:sz w:val="20"/>
                <w:szCs w:val="20"/>
              </w:rPr>
              <w:t>specifically</w:t>
            </w:r>
            <w:proofErr w:type="gramEnd"/>
            <w:r w:rsidRPr="00EC0028">
              <w:rPr>
                <w:rFonts w:ascii="Arial" w:hAnsi="Arial" w:cs="Arial"/>
                <w:sz w:val="20"/>
                <w:szCs w:val="20"/>
              </w:rPr>
              <w:t xml:space="preserve"> protected by a statute or treaty currently in effect and that was in effect on</w:t>
            </w:r>
          </w:p>
          <w:p w14:paraId="6E6BABA7" w14:textId="77777777" w:rsidR="00E0740D" w:rsidRPr="00EC0028" w:rsidRDefault="009340DD" w:rsidP="009340DD">
            <w:pPr>
              <w:rPr>
                <w:rFonts w:ascii="Arial" w:hAnsi="Arial" w:cs="Arial"/>
                <w:b/>
                <w:sz w:val="20"/>
                <w:szCs w:val="20"/>
              </w:rPr>
            </w:pPr>
            <w:proofErr w:type="gramStart"/>
            <w:r w:rsidRPr="00EC0028">
              <w:rPr>
                <w:rFonts w:ascii="Arial" w:hAnsi="Arial" w:cs="Arial"/>
                <w:sz w:val="20"/>
                <w:szCs w:val="20"/>
              </w:rPr>
              <w:t>or</w:t>
            </w:r>
            <w:proofErr w:type="gramEnd"/>
            <w:r w:rsidRPr="00EC0028">
              <w:rPr>
                <w:rFonts w:ascii="Arial" w:hAnsi="Arial" w:cs="Arial"/>
                <w:sz w:val="20"/>
                <w:szCs w:val="20"/>
              </w:rPr>
              <w:t xml:space="preserve"> before 26 June 2008.</w:t>
            </w:r>
          </w:p>
        </w:tc>
        <w:tc>
          <w:tcPr>
            <w:tcW w:w="4428" w:type="dxa"/>
          </w:tcPr>
          <w:p w14:paraId="33A521AD" w14:textId="77777777" w:rsidR="00AC32F0" w:rsidRPr="00EC0028" w:rsidRDefault="00AC32F0" w:rsidP="00EA2994">
            <w:pPr>
              <w:rPr>
                <w:rFonts w:ascii="Arial" w:hAnsi="Arial" w:cs="Arial"/>
                <w:color w:val="000000"/>
                <w:sz w:val="20"/>
                <w:szCs w:val="20"/>
              </w:rPr>
            </w:pPr>
          </w:p>
          <w:p w14:paraId="6109B500" w14:textId="77777777" w:rsidR="00EC0028" w:rsidRDefault="00EC0028" w:rsidP="00AC32F0">
            <w:pPr>
              <w:rPr>
                <w:rFonts w:ascii="Arial" w:hAnsi="Arial" w:cs="Arial"/>
                <w:color w:val="000000"/>
                <w:sz w:val="20"/>
                <w:szCs w:val="20"/>
              </w:rPr>
            </w:pPr>
          </w:p>
          <w:p w14:paraId="4C71A1F5" w14:textId="77777777" w:rsidR="00E0740D" w:rsidRPr="004B63EC" w:rsidRDefault="00EC0028" w:rsidP="00AC32F0">
            <w:pPr>
              <w:rPr>
                <w:rFonts w:ascii="Arial" w:hAnsi="Arial" w:cs="Arial"/>
                <w:b/>
                <w:sz w:val="20"/>
                <w:szCs w:val="20"/>
              </w:rPr>
            </w:pPr>
            <w:r>
              <w:rPr>
                <w:rFonts w:ascii="Arial" w:hAnsi="Arial" w:cs="Arial"/>
                <w:color w:val="000000"/>
                <w:sz w:val="20"/>
                <w:szCs w:val="20"/>
              </w:rPr>
              <w:t xml:space="preserve">Question: </w:t>
            </w:r>
            <w:r w:rsidR="00AC32F0" w:rsidRPr="00EC0028">
              <w:rPr>
                <w:rFonts w:ascii="Arial" w:hAnsi="Arial" w:cs="Arial"/>
                <w:color w:val="000000"/>
                <w:sz w:val="20"/>
                <w:szCs w:val="20"/>
              </w:rPr>
              <w:t>T</w:t>
            </w:r>
            <w:r w:rsidR="009340DD" w:rsidRPr="00EC0028">
              <w:rPr>
                <w:rFonts w:ascii="Arial" w:hAnsi="Arial" w:cs="Arial"/>
                <w:color w:val="000000"/>
                <w:sz w:val="20"/>
                <w:szCs w:val="20"/>
              </w:rPr>
              <w:t xml:space="preserve">he date 26 June 2008 has been deleted elsewhere in </w:t>
            </w:r>
            <w:r w:rsidR="00AC32F0" w:rsidRPr="00EC0028">
              <w:rPr>
                <w:rFonts w:ascii="Arial" w:hAnsi="Arial" w:cs="Arial"/>
                <w:color w:val="000000"/>
                <w:sz w:val="20"/>
                <w:szCs w:val="20"/>
              </w:rPr>
              <w:t>the 15-Apr Guidebook, so why is this date retained for 7.2 Sunrise services?</w:t>
            </w:r>
            <w:r w:rsidR="00AC32F0" w:rsidRPr="004B63EC">
              <w:rPr>
                <w:rFonts w:ascii="Arial" w:hAnsi="Arial" w:cs="Arial"/>
                <w:b/>
                <w:sz w:val="20"/>
                <w:szCs w:val="20"/>
              </w:rPr>
              <w:t xml:space="preserve"> </w:t>
            </w:r>
          </w:p>
        </w:tc>
      </w:tr>
      <w:tr w:rsidR="00E0740D" w:rsidRPr="004B63EC" w14:paraId="01E3FD11" w14:textId="77777777">
        <w:tc>
          <w:tcPr>
            <w:tcW w:w="8856" w:type="dxa"/>
            <w:gridSpan w:val="2"/>
          </w:tcPr>
          <w:p w14:paraId="5FE2264B" w14:textId="77777777" w:rsidR="00E0740D" w:rsidRPr="004B63EC" w:rsidRDefault="00E0740D" w:rsidP="007B4F2E">
            <w:pPr>
              <w:rPr>
                <w:rFonts w:ascii="Arial" w:hAnsi="Arial" w:cs="Arial"/>
                <w:sz w:val="20"/>
                <w:szCs w:val="20"/>
              </w:rPr>
            </w:pPr>
          </w:p>
        </w:tc>
      </w:tr>
    </w:tbl>
    <w:p w14:paraId="22702548" w14:textId="77777777" w:rsidR="00E0740D" w:rsidRPr="004B63EC" w:rsidRDefault="00E0740D" w:rsidP="00EA2994">
      <w:pPr>
        <w:rPr>
          <w:rFonts w:ascii="Arial" w:hAnsi="Arial" w:cs="Arial"/>
          <w:sz w:val="20"/>
          <w:szCs w:val="20"/>
        </w:rPr>
      </w:pPr>
    </w:p>
    <w:p w14:paraId="43530629" w14:textId="77777777" w:rsidR="00E0740D" w:rsidRPr="004B63EC" w:rsidRDefault="00E0740D" w:rsidP="00EA2994">
      <w:pPr>
        <w:rPr>
          <w:rFonts w:ascii="Arial" w:hAnsi="Arial" w:cs="Arial"/>
          <w:sz w:val="20"/>
          <w:szCs w:val="20"/>
        </w:rPr>
      </w:pPr>
    </w:p>
    <w:p w14:paraId="63203CEB" w14:textId="77777777" w:rsidR="00E0740D" w:rsidRPr="004B63EC" w:rsidRDefault="00E0740D" w:rsidP="00EA2994">
      <w:pPr>
        <w:rPr>
          <w:rFonts w:ascii="Arial" w:hAnsi="Arial" w:cs="Arial"/>
          <w:sz w:val="20"/>
          <w:szCs w:val="20"/>
        </w:rPr>
      </w:pPr>
    </w:p>
    <w:p w14:paraId="23E1FDEA" w14:textId="77777777" w:rsidR="003B6898" w:rsidRDefault="003B6898" w:rsidP="003B6898">
      <w:pPr>
        <w:rPr>
          <w:rFonts w:ascii="Arial" w:hAnsi="Arial" w:cs="Arial"/>
          <w:b/>
          <w:sz w:val="20"/>
          <w:szCs w:val="20"/>
        </w:rPr>
      </w:pPr>
    </w:p>
    <w:p w14:paraId="4C01A9F2" w14:textId="77777777" w:rsidR="003B6898" w:rsidRPr="003B6898" w:rsidRDefault="003B6898" w:rsidP="003B6898">
      <w:pPr>
        <w:rPr>
          <w:rFonts w:ascii="Arial" w:hAnsi="Arial" w:cs="Arial"/>
          <w:b/>
          <w:sz w:val="20"/>
          <w:szCs w:val="20"/>
        </w:rPr>
      </w:pPr>
      <w:r w:rsidRPr="003B6898">
        <w:rPr>
          <w:rFonts w:ascii="Arial" w:hAnsi="Arial" w:cs="Arial"/>
          <w:b/>
          <w:sz w:val="20"/>
          <w:szCs w:val="20"/>
        </w:rPr>
        <w:t xml:space="preserve">Level of Support of Active Members: </w:t>
      </w:r>
    </w:p>
    <w:p w14:paraId="2FD6CF21" w14:textId="77777777" w:rsidR="003B6898" w:rsidRDefault="003B6898" w:rsidP="003B6898">
      <w:pPr>
        <w:rPr>
          <w:rFonts w:ascii="Arial" w:hAnsi="Arial" w:cs="Arial"/>
          <w:sz w:val="20"/>
          <w:szCs w:val="20"/>
        </w:rPr>
      </w:pPr>
    </w:p>
    <w:p w14:paraId="59EBC62C" w14:textId="77777777" w:rsidR="002C3188" w:rsidRDefault="003B6898" w:rsidP="003B6898">
      <w:pPr>
        <w:rPr>
          <w:rFonts w:ascii="Arial" w:hAnsi="Arial" w:cs="Arial"/>
          <w:sz w:val="20"/>
          <w:szCs w:val="20"/>
        </w:rPr>
      </w:pPr>
      <w:r w:rsidRPr="003B6898">
        <w:rPr>
          <w:rFonts w:ascii="Arial" w:hAnsi="Arial" w:cs="Arial"/>
          <w:sz w:val="20"/>
          <w:szCs w:val="20"/>
        </w:rPr>
        <w:t>This document was posted to BC memb</w:t>
      </w:r>
      <w:r>
        <w:rPr>
          <w:rFonts w:ascii="Arial" w:hAnsi="Arial" w:cs="Arial"/>
          <w:sz w:val="20"/>
          <w:szCs w:val="20"/>
        </w:rPr>
        <w:t>ers for review and comment on 27-Apr</w:t>
      </w:r>
      <w:r w:rsidRPr="003B6898">
        <w:rPr>
          <w:rFonts w:ascii="Arial" w:hAnsi="Arial" w:cs="Arial"/>
          <w:sz w:val="20"/>
          <w:szCs w:val="20"/>
        </w:rPr>
        <w:t xml:space="preserve">-2011.  </w:t>
      </w:r>
    </w:p>
    <w:p w14:paraId="3B8AF997" w14:textId="77777777" w:rsidR="002C3188" w:rsidRDefault="002C3188" w:rsidP="003B6898">
      <w:pPr>
        <w:rPr>
          <w:rFonts w:ascii="Arial" w:hAnsi="Arial" w:cs="Arial"/>
          <w:sz w:val="20"/>
          <w:szCs w:val="20"/>
        </w:rPr>
      </w:pPr>
    </w:p>
    <w:p w14:paraId="5D95E0C8" w14:textId="77777777" w:rsidR="002C3188" w:rsidRDefault="003B6898" w:rsidP="003B6898">
      <w:pPr>
        <w:rPr>
          <w:rFonts w:ascii="Arial" w:hAnsi="Arial" w:cs="Arial"/>
          <w:sz w:val="20"/>
          <w:szCs w:val="20"/>
        </w:rPr>
      </w:pPr>
      <w:r>
        <w:rPr>
          <w:rFonts w:ascii="Arial" w:hAnsi="Arial" w:cs="Arial"/>
          <w:sz w:val="20"/>
          <w:szCs w:val="20"/>
        </w:rPr>
        <w:t xml:space="preserve">Several members provided comments and suggestions that were incorporated in a second draft circulated on 11-May.  </w:t>
      </w:r>
    </w:p>
    <w:p w14:paraId="1995D964" w14:textId="77777777" w:rsidR="002C3188" w:rsidRDefault="002C3188" w:rsidP="003B6898">
      <w:pPr>
        <w:rPr>
          <w:rFonts w:ascii="Arial" w:hAnsi="Arial" w:cs="Arial"/>
          <w:sz w:val="20"/>
          <w:szCs w:val="20"/>
        </w:rPr>
      </w:pPr>
    </w:p>
    <w:p w14:paraId="76E17A78" w14:textId="59DD4B12" w:rsidR="003B6898" w:rsidRPr="003B6898" w:rsidRDefault="003B6898" w:rsidP="003B6898">
      <w:pPr>
        <w:rPr>
          <w:rFonts w:ascii="Arial" w:hAnsi="Arial" w:cs="Arial"/>
          <w:sz w:val="20"/>
          <w:szCs w:val="20"/>
        </w:rPr>
      </w:pPr>
      <w:r w:rsidRPr="003B6898">
        <w:rPr>
          <w:rFonts w:ascii="Arial" w:hAnsi="Arial" w:cs="Arial"/>
          <w:sz w:val="20"/>
          <w:szCs w:val="20"/>
        </w:rPr>
        <w:t>Pursuant to our section 7.2 of the BC Charter, t</w:t>
      </w:r>
      <w:r>
        <w:rPr>
          <w:rFonts w:ascii="Arial" w:hAnsi="Arial" w:cs="Arial"/>
          <w:sz w:val="20"/>
          <w:szCs w:val="20"/>
        </w:rPr>
        <w:t>his document is deemed approved.</w:t>
      </w:r>
    </w:p>
    <w:p w14:paraId="4324561D" w14:textId="77777777" w:rsidR="003B6898" w:rsidRPr="003B6898" w:rsidRDefault="003B6898" w:rsidP="003B6898">
      <w:pPr>
        <w:rPr>
          <w:rFonts w:ascii="Arial" w:hAnsi="Arial" w:cs="Arial"/>
          <w:sz w:val="20"/>
          <w:szCs w:val="20"/>
        </w:rPr>
      </w:pPr>
    </w:p>
    <w:p w14:paraId="64086E93" w14:textId="743CF4EE" w:rsidR="003B6898" w:rsidRPr="003B6898" w:rsidRDefault="009965BE" w:rsidP="003B6898">
      <w:pPr>
        <w:rPr>
          <w:rFonts w:ascii="Arial" w:hAnsi="Arial" w:cs="Arial"/>
          <w:b/>
          <w:sz w:val="20"/>
          <w:szCs w:val="20"/>
        </w:rPr>
      </w:pPr>
      <w:r>
        <w:rPr>
          <w:rFonts w:ascii="Arial" w:hAnsi="Arial" w:cs="Arial"/>
          <w:sz w:val="20"/>
          <w:szCs w:val="20"/>
        </w:rPr>
        <w:t xml:space="preserve">Rapporteur and </w:t>
      </w:r>
      <w:r w:rsidR="003B6898" w:rsidRPr="003B6898">
        <w:rPr>
          <w:rFonts w:ascii="Arial" w:hAnsi="Arial" w:cs="Arial"/>
          <w:sz w:val="20"/>
          <w:szCs w:val="20"/>
        </w:rPr>
        <w:t>Attesting BC Officer: Steve DelBianco, vice chair for policy coordination</w:t>
      </w:r>
    </w:p>
    <w:p w14:paraId="66CDDE08" w14:textId="77777777" w:rsidR="00E0740D" w:rsidRPr="004B63EC" w:rsidRDefault="00E0740D" w:rsidP="00EA2994">
      <w:pPr>
        <w:rPr>
          <w:rFonts w:ascii="Arial" w:hAnsi="Arial" w:cs="Arial"/>
          <w:sz w:val="20"/>
          <w:szCs w:val="20"/>
        </w:rPr>
      </w:pPr>
    </w:p>
    <w:sectPr w:rsidR="00E0740D" w:rsidRPr="004B63EC" w:rsidSect="009D18C0">
      <w:headerReference w:type="default" r:id="rId15"/>
      <w:footerReference w:type="default" r:id="rId16"/>
      <w:type w:val="continuous"/>
      <w:pgSz w:w="12240" w:h="15840"/>
      <w:pgMar w:top="1440" w:right="1800" w:bottom="1440" w:left="1800" w:header="720" w:footer="720" w:gutter="0"/>
      <w:pgNumType w:start="1"/>
      <w:cols w:space="72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C043" w14:textId="77777777" w:rsidR="003B6898" w:rsidRDefault="003B6898" w:rsidP="00EA2994">
      <w:r>
        <w:separator/>
      </w:r>
    </w:p>
  </w:endnote>
  <w:endnote w:type="continuationSeparator" w:id="0">
    <w:p w14:paraId="3F47993D" w14:textId="77777777" w:rsidR="003B6898" w:rsidRDefault="003B6898" w:rsidP="00EA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AC72" w14:textId="77777777" w:rsidR="00502186" w:rsidRDefault="00502186" w:rsidP="002D4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95A2B" w14:textId="77777777" w:rsidR="00502186" w:rsidRDefault="00502186" w:rsidP="00EA2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ADB8" w14:textId="3B34894D" w:rsidR="00502186" w:rsidRPr="008F12AC" w:rsidRDefault="00502186" w:rsidP="00EA2994">
    <w:pPr>
      <w:pStyle w:val="Footer"/>
      <w:ind w:right="360"/>
      <w:rPr>
        <w:rFonts w:ascii="Arial" w:hAnsi="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F715" w14:textId="77777777" w:rsidR="002D4E5B" w:rsidRDefault="002D4E5B" w:rsidP="009D18C0">
    <w:pPr>
      <w:pStyle w:val="Footer"/>
      <w:framePr w:wrap="around" w:vAnchor="text" w:hAnchor="page" w:x="10441" w:y="-489"/>
      <w:rPr>
        <w:rStyle w:val="PageNumber"/>
      </w:rPr>
    </w:pPr>
    <w:r>
      <w:rPr>
        <w:rStyle w:val="PageNumber"/>
      </w:rPr>
      <w:fldChar w:fldCharType="begin"/>
    </w:r>
    <w:r>
      <w:rPr>
        <w:rStyle w:val="PageNumber"/>
      </w:rPr>
      <w:instrText xml:space="preserve">PAGE  </w:instrText>
    </w:r>
    <w:r>
      <w:rPr>
        <w:rStyle w:val="PageNumber"/>
      </w:rPr>
      <w:fldChar w:fldCharType="separate"/>
    </w:r>
    <w:r w:rsidR="00AB2667">
      <w:rPr>
        <w:rStyle w:val="PageNumber"/>
        <w:noProof/>
      </w:rPr>
      <w:t>1</w:t>
    </w:r>
    <w:r>
      <w:rPr>
        <w:rStyle w:val="PageNumber"/>
      </w:rPr>
      <w:fldChar w:fldCharType="end"/>
    </w:r>
  </w:p>
  <w:p w14:paraId="2D95942E" w14:textId="77777777" w:rsidR="002D4E5B" w:rsidRPr="008F12AC" w:rsidRDefault="002D4E5B" w:rsidP="00EA2994">
    <w:pPr>
      <w:pStyle w:val="Footer"/>
      <w:ind w:right="360"/>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D0DF" w14:textId="77777777" w:rsidR="003B6898" w:rsidRDefault="003B6898" w:rsidP="00EA2994">
      <w:r>
        <w:separator/>
      </w:r>
    </w:p>
  </w:footnote>
  <w:footnote w:type="continuationSeparator" w:id="0">
    <w:p w14:paraId="2CCE2FE4" w14:textId="77777777" w:rsidR="003B6898" w:rsidRDefault="003B6898" w:rsidP="00EA2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799D" w14:textId="77777777" w:rsidR="002D4E5B" w:rsidRPr="008F12AC" w:rsidRDefault="002D4E5B">
    <w:pPr>
      <w:pStyle w:val="Header"/>
      <w:rPr>
        <w:rFonts w:ascii="Arial" w:hAnsi="Arial"/>
      </w:rPr>
    </w:pPr>
    <w:r w:rsidRPr="008F12AC">
      <w:rPr>
        <w:rFonts w:ascii="Arial" w:hAnsi="Arial"/>
      </w:rPr>
      <w:t xml:space="preserve">Business Constituency Comments on </w:t>
    </w:r>
    <w:r>
      <w:rPr>
        <w:rFonts w:ascii="Arial" w:hAnsi="Arial"/>
      </w:rPr>
      <w:t xml:space="preserve">April-2011 </w:t>
    </w:r>
    <w:r w:rsidRPr="008F12AC">
      <w:rPr>
        <w:rFonts w:ascii="Arial" w:hAnsi="Arial"/>
      </w:rPr>
      <w:t>Applicant Guidebook</w:t>
    </w:r>
    <w:r>
      <w:rPr>
        <w:rFonts w:ascii="Arial" w:hAnsi="Arial"/>
      </w:rPr>
      <w:t xml:space="preserve">           </w:t>
    </w:r>
    <w:r>
      <w:rPr>
        <w:rFonts w:ascii="Arial" w:hAnsi="Arial"/>
      </w:rPr>
      <w:tab/>
      <w:t>v3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98"/>
    <w:multiLevelType w:val="hybridMultilevel"/>
    <w:tmpl w:val="1FF2E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2A77A8"/>
    <w:multiLevelType w:val="hybridMultilevel"/>
    <w:tmpl w:val="E9920B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491A35"/>
    <w:multiLevelType w:val="hybridMultilevel"/>
    <w:tmpl w:val="680A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35170"/>
    <w:multiLevelType w:val="hybridMultilevel"/>
    <w:tmpl w:val="11C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203B1"/>
    <w:multiLevelType w:val="hybridMultilevel"/>
    <w:tmpl w:val="822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D584B"/>
    <w:multiLevelType w:val="hybridMultilevel"/>
    <w:tmpl w:val="0836723E"/>
    <w:lvl w:ilvl="0" w:tplc="6734B8B4">
      <w:start w:val="1"/>
      <w:numFmt w:val="bullet"/>
      <w:pStyle w:val="Bullettreport1"/>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F514E6"/>
    <w:multiLevelType w:val="hybridMultilevel"/>
    <w:tmpl w:val="FA8A4C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BD15A2F"/>
    <w:multiLevelType w:val="hybridMultilevel"/>
    <w:tmpl w:val="194837E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89A1D23"/>
    <w:multiLevelType w:val="hybridMultilevel"/>
    <w:tmpl w:val="DEBC89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DC757F"/>
    <w:multiLevelType w:val="hybridMultilevel"/>
    <w:tmpl w:val="E2F679FE"/>
    <w:lvl w:ilvl="0" w:tplc="99A8706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0"/>
  </w:num>
  <w:num w:numId="4">
    <w:abstractNumId w:val="9"/>
  </w:num>
  <w:num w:numId="5">
    <w:abstractNumId w:val="6"/>
  </w:num>
  <w:num w:numId="6">
    <w:abstractNumId w:val="4"/>
  </w:num>
  <w:num w:numId="7">
    <w:abstractNumId w:val="1"/>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DF"/>
    <w:rsid w:val="00075D67"/>
    <w:rsid w:val="00095C6E"/>
    <w:rsid w:val="001218B7"/>
    <w:rsid w:val="001B41AE"/>
    <w:rsid w:val="001F7379"/>
    <w:rsid w:val="00221149"/>
    <w:rsid w:val="002220EC"/>
    <w:rsid w:val="0022656A"/>
    <w:rsid w:val="0024002E"/>
    <w:rsid w:val="002424A8"/>
    <w:rsid w:val="00251013"/>
    <w:rsid w:val="00281B89"/>
    <w:rsid w:val="00290530"/>
    <w:rsid w:val="002C3188"/>
    <w:rsid w:val="002C3F69"/>
    <w:rsid w:val="002D4E5B"/>
    <w:rsid w:val="002D5739"/>
    <w:rsid w:val="00337BA8"/>
    <w:rsid w:val="003B6898"/>
    <w:rsid w:val="003B6CD5"/>
    <w:rsid w:val="003C13A5"/>
    <w:rsid w:val="003D42C1"/>
    <w:rsid w:val="003F748B"/>
    <w:rsid w:val="004045CC"/>
    <w:rsid w:val="00434CC3"/>
    <w:rsid w:val="00440561"/>
    <w:rsid w:val="00490205"/>
    <w:rsid w:val="004B63EC"/>
    <w:rsid w:val="004C69A1"/>
    <w:rsid w:val="00502186"/>
    <w:rsid w:val="005217E8"/>
    <w:rsid w:val="00531E4A"/>
    <w:rsid w:val="00585DAD"/>
    <w:rsid w:val="0059578F"/>
    <w:rsid w:val="005A2589"/>
    <w:rsid w:val="005A6CB5"/>
    <w:rsid w:val="00605BD0"/>
    <w:rsid w:val="006401E0"/>
    <w:rsid w:val="00647527"/>
    <w:rsid w:val="006717ED"/>
    <w:rsid w:val="00685C28"/>
    <w:rsid w:val="00687B2D"/>
    <w:rsid w:val="00687D54"/>
    <w:rsid w:val="006D0F23"/>
    <w:rsid w:val="006D12C3"/>
    <w:rsid w:val="007322C1"/>
    <w:rsid w:val="00744DC8"/>
    <w:rsid w:val="0077313B"/>
    <w:rsid w:val="00775367"/>
    <w:rsid w:val="007B2366"/>
    <w:rsid w:val="007B4F2E"/>
    <w:rsid w:val="007F2636"/>
    <w:rsid w:val="00820E0E"/>
    <w:rsid w:val="008846BA"/>
    <w:rsid w:val="008877FA"/>
    <w:rsid w:val="008A152D"/>
    <w:rsid w:val="008B7407"/>
    <w:rsid w:val="008C44A0"/>
    <w:rsid w:val="008F0C9D"/>
    <w:rsid w:val="008F12AC"/>
    <w:rsid w:val="008F4FF9"/>
    <w:rsid w:val="008F513C"/>
    <w:rsid w:val="00903C96"/>
    <w:rsid w:val="009264C8"/>
    <w:rsid w:val="0092675E"/>
    <w:rsid w:val="009340DD"/>
    <w:rsid w:val="00970128"/>
    <w:rsid w:val="00983B4D"/>
    <w:rsid w:val="00984859"/>
    <w:rsid w:val="009965BE"/>
    <w:rsid w:val="009B04EF"/>
    <w:rsid w:val="009C5626"/>
    <w:rsid w:val="009D18C0"/>
    <w:rsid w:val="009D4EAA"/>
    <w:rsid w:val="009E4CB6"/>
    <w:rsid w:val="009F3B0D"/>
    <w:rsid w:val="00A06E12"/>
    <w:rsid w:val="00A34ED9"/>
    <w:rsid w:val="00A52B71"/>
    <w:rsid w:val="00A70488"/>
    <w:rsid w:val="00A76837"/>
    <w:rsid w:val="00A8119E"/>
    <w:rsid w:val="00AB2667"/>
    <w:rsid w:val="00AC32F0"/>
    <w:rsid w:val="00AE459A"/>
    <w:rsid w:val="00B060E3"/>
    <w:rsid w:val="00B41040"/>
    <w:rsid w:val="00B47AEF"/>
    <w:rsid w:val="00B66409"/>
    <w:rsid w:val="00B726CC"/>
    <w:rsid w:val="00B93036"/>
    <w:rsid w:val="00BA1237"/>
    <w:rsid w:val="00BA65FA"/>
    <w:rsid w:val="00BE1017"/>
    <w:rsid w:val="00BF3047"/>
    <w:rsid w:val="00C07ACC"/>
    <w:rsid w:val="00C32032"/>
    <w:rsid w:val="00C52564"/>
    <w:rsid w:val="00C92073"/>
    <w:rsid w:val="00C950BA"/>
    <w:rsid w:val="00CA087F"/>
    <w:rsid w:val="00CA23F0"/>
    <w:rsid w:val="00CD59F6"/>
    <w:rsid w:val="00D05C90"/>
    <w:rsid w:val="00D770DE"/>
    <w:rsid w:val="00D7733A"/>
    <w:rsid w:val="00D96CF2"/>
    <w:rsid w:val="00DC4607"/>
    <w:rsid w:val="00E06B04"/>
    <w:rsid w:val="00E0740D"/>
    <w:rsid w:val="00E56D97"/>
    <w:rsid w:val="00E60FDF"/>
    <w:rsid w:val="00E62BF0"/>
    <w:rsid w:val="00E63D19"/>
    <w:rsid w:val="00EA2994"/>
    <w:rsid w:val="00EB0D6A"/>
    <w:rsid w:val="00EC0028"/>
    <w:rsid w:val="00F234D5"/>
    <w:rsid w:val="00FA7903"/>
    <w:rsid w:val="00FB2563"/>
    <w:rsid w:val="00FC3FE3"/>
    <w:rsid w:val="00FD251E"/>
    <w:rsid w:val="00FD29FF"/>
    <w:rsid w:val="00FD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DCB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07"/>
    <w:rPr>
      <w:sz w:val="24"/>
      <w:szCs w:val="24"/>
    </w:rPr>
  </w:style>
  <w:style w:type="paragraph" w:styleId="Heading2">
    <w:name w:val="heading 2"/>
    <w:basedOn w:val="Normal"/>
    <w:next w:val="Normal"/>
    <w:link w:val="Heading2Char"/>
    <w:qFormat/>
    <w:pPr>
      <w:keepNext/>
      <w:keepLines/>
      <w:spacing w:before="200"/>
      <w:outlineLvl w:val="1"/>
    </w:pPr>
    <w:rPr>
      <w:rFonts w:ascii="Calibri" w:eastAsia="Times New Roman" w:hAnsi="Calibri"/>
      <w:b/>
      <w:bCs/>
      <w:color w:val="4F81BD"/>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0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rPr>
      <w:rFonts w:eastAsia="Times New Roman"/>
      <w:sz w:val="20"/>
      <w:szCs w:val="20"/>
      <w:lang w:eastAsia="en-GB"/>
    </w:rPr>
  </w:style>
  <w:style w:type="character" w:customStyle="1" w:styleId="FooterChar">
    <w:name w:val="Footer Char"/>
    <w:link w:val="Footer"/>
    <w:lock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eastAsia="Times New Roman"/>
      <w:sz w:val="20"/>
      <w:szCs w:val="20"/>
      <w:lang w:eastAsia="en-GB"/>
    </w:rPr>
  </w:style>
  <w:style w:type="character" w:customStyle="1" w:styleId="HeaderChar">
    <w:name w:val="Header Char"/>
    <w:link w:val="Header"/>
    <w:locked/>
  </w:style>
  <w:style w:type="paragraph" w:styleId="ListParagraph">
    <w:name w:val="List Paragraph"/>
    <w:basedOn w:val="Normal"/>
    <w:uiPriority w:val="72"/>
    <w:qFormat/>
    <w:pPr>
      <w:ind w:left="720"/>
      <w:contextualSpacing/>
    </w:pPr>
  </w:style>
  <w:style w:type="character" w:customStyle="1" w:styleId="Heading2Char">
    <w:name w:val="Heading 2 Char"/>
    <w:link w:val="Heading2"/>
    <w:locked/>
    <w:rPr>
      <w:rFonts w:ascii="Calibri" w:hAnsi="Calibri"/>
      <w:b/>
      <w:color w:val="4F81BD"/>
      <w:sz w:val="26"/>
    </w:rPr>
  </w:style>
  <w:style w:type="paragraph" w:styleId="BalloonText">
    <w:name w:val="Balloon Text"/>
    <w:basedOn w:val="Normal"/>
    <w:semiHidden/>
    <w:rPr>
      <w:rFonts w:ascii="Tahoma" w:hAnsi="Tahoma" w:cs="Tahoma"/>
      <w:sz w:val="16"/>
      <w:szCs w:val="16"/>
    </w:rPr>
  </w:style>
  <w:style w:type="paragraph" w:customStyle="1" w:styleId="Bullettreport1">
    <w:name w:val="Bullett report 1"/>
    <w:basedOn w:val="Normal"/>
    <w:pPr>
      <w:numPr>
        <w:numId w:val="5"/>
      </w:numPr>
    </w:pPr>
  </w:style>
  <w:style w:type="character" w:styleId="Hyperlink">
    <w:name w:val="Hyperlink"/>
    <w:rsid w:val="00BE1017"/>
    <w:rPr>
      <w:color w:val="0000FF"/>
      <w:u w:val="single"/>
    </w:rPr>
  </w:style>
  <w:style w:type="character" w:styleId="FollowedHyperlink">
    <w:name w:val="FollowedHyperlink"/>
    <w:rsid w:val="002220E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07"/>
    <w:rPr>
      <w:sz w:val="24"/>
      <w:szCs w:val="24"/>
    </w:rPr>
  </w:style>
  <w:style w:type="paragraph" w:styleId="Heading2">
    <w:name w:val="heading 2"/>
    <w:basedOn w:val="Normal"/>
    <w:next w:val="Normal"/>
    <w:link w:val="Heading2Char"/>
    <w:qFormat/>
    <w:pPr>
      <w:keepNext/>
      <w:keepLines/>
      <w:spacing w:before="200"/>
      <w:outlineLvl w:val="1"/>
    </w:pPr>
    <w:rPr>
      <w:rFonts w:ascii="Calibri" w:eastAsia="Times New Roman" w:hAnsi="Calibri"/>
      <w:b/>
      <w:bCs/>
      <w:color w:val="4F81BD"/>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0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rPr>
      <w:rFonts w:eastAsia="Times New Roman"/>
      <w:sz w:val="20"/>
      <w:szCs w:val="20"/>
      <w:lang w:eastAsia="en-GB"/>
    </w:rPr>
  </w:style>
  <w:style w:type="character" w:customStyle="1" w:styleId="FooterChar">
    <w:name w:val="Footer Char"/>
    <w:link w:val="Footer"/>
    <w:lock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eastAsia="Times New Roman"/>
      <w:sz w:val="20"/>
      <w:szCs w:val="20"/>
      <w:lang w:eastAsia="en-GB"/>
    </w:rPr>
  </w:style>
  <w:style w:type="character" w:customStyle="1" w:styleId="HeaderChar">
    <w:name w:val="Header Char"/>
    <w:link w:val="Header"/>
    <w:locked/>
  </w:style>
  <w:style w:type="paragraph" w:styleId="ListParagraph">
    <w:name w:val="List Paragraph"/>
    <w:basedOn w:val="Normal"/>
    <w:uiPriority w:val="72"/>
    <w:qFormat/>
    <w:pPr>
      <w:ind w:left="720"/>
      <w:contextualSpacing/>
    </w:pPr>
  </w:style>
  <w:style w:type="character" w:customStyle="1" w:styleId="Heading2Char">
    <w:name w:val="Heading 2 Char"/>
    <w:link w:val="Heading2"/>
    <w:locked/>
    <w:rPr>
      <w:rFonts w:ascii="Calibri" w:hAnsi="Calibri"/>
      <w:b/>
      <w:color w:val="4F81BD"/>
      <w:sz w:val="26"/>
    </w:rPr>
  </w:style>
  <w:style w:type="paragraph" w:styleId="BalloonText">
    <w:name w:val="Balloon Text"/>
    <w:basedOn w:val="Normal"/>
    <w:semiHidden/>
    <w:rPr>
      <w:rFonts w:ascii="Tahoma" w:hAnsi="Tahoma" w:cs="Tahoma"/>
      <w:sz w:val="16"/>
      <w:szCs w:val="16"/>
    </w:rPr>
  </w:style>
  <w:style w:type="paragraph" w:customStyle="1" w:styleId="Bullettreport1">
    <w:name w:val="Bullett report 1"/>
    <w:basedOn w:val="Normal"/>
    <w:pPr>
      <w:numPr>
        <w:numId w:val="5"/>
      </w:numPr>
    </w:pPr>
  </w:style>
  <w:style w:type="character" w:styleId="Hyperlink">
    <w:name w:val="Hyperlink"/>
    <w:rsid w:val="00BE1017"/>
    <w:rPr>
      <w:color w:val="0000FF"/>
      <w:u w:val="single"/>
    </w:rPr>
  </w:style>
  <w:style w:type="character" w:styleId="FollowedHyperlink">
    <w:name w:val="FollowedHyperlink"/>
    <w:rsid w:val="002220E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forum.icann.org/lists/bc-gnso/pdf7bS90kfqkn.pdf" TargetMode="External"/><Relationship Id="rId13" Type="http://schemas.openxmlformats.org/officeDocument/2006/relationships/hyperlink" Target="http://forum.icann.org/lists/bc-gnso/pdfSBXE8faU4Z.pdf" TargetMode="External"/><Relationship Id="rId14" Type="http://schemas.openxmlformats.org/officeDocument/2006/relationships/hyperlink" Target="http://forum.icann.org/lists/5gtld-guide/pdfpWA9bxOgob.pdf" TargetMode="Externa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D4CF-B9D3-4540-B22A-AFA728ED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4538</Words>
  <Characters>26235</Characters>
  <Application>Microsoft Macintosh Word</Application>
  <DocSecurity>0</DocSecurity>
  <Lines>795</Lines>
  <Paragraphs>290</Paragraphs>
  <ScaleCrop>false</ScaleCrop>
  <HeadingPairs>
    <vt:vector size="2" baseType="variant">
      <vt:variant>
        <vt:lpstr>Title</vt:lpstr>
      </vt:variant>
      <vt:variant>
        <vt:i4>1</vt:i4>
      </vt:variant>
    </vt:vector>
  </HeadingPairs>
  <TitlesOfParts>
    <vt:vector size="1" baseType="lpstr">
      <vt:lpstr>Summary </vt:lpstr>
    </vt:vector>
  </TitlesOfParts>
  <Manager/>
  <Company/>
  <LinksUpToDate>false</LinksUpToDate>
  <CharactersWithSpaces>30483</CharactersWithSpaces>
  <SharedDoc>false</SharedDoc>
  <HyperlinkBase/>
  <HLinks>
    <vt:vector size="30" baseType="variant">
      <vt:variant>
        <vt:i4>6750330</vt:i4>
      </vt:variant>
      <vt:variant>
        <vt:i4>12</vt:i4>
      </vt:variant>
      <vt:variant>
        <vt:i4>0</vt:i4>
      </vt:variant>
      <vt:variant>
        <vt:i4>5</vt:i4>
      </vt:variant>
      <vt:variant>
        <vt:lpwstr>http://forum.icann.org/lists/bc-gnso/pdfoF21ENSQ61.pdf</vt:lpwstr>
      </vt:variant>
      <vt:variant>
        <vt:lpwstr/>
      </vt:variant>
      <vt:variant>
        <vt:i4>3211390</vt:i4>
      </vt:variant>
      <vt:variant>
        <vt:i4>9</vt:i4>
      </vt:variant>
      <vt:variant>
        <vt:i4>0</vt:i4>
      </vt:variant>
      <vt:variant>
        <vt:i4>5</vt:i4>
      </vt:variant>
      <vt:variant>
        <vt:lpwstr>http://forum.icann.org/lists/bc-gnso/pdf7bS90kfqkn.pdf</vt:lpwstr>
      </vt:variant>
      <vt:variant>
        <vt:lpwstr/>
      </vt:variant>
      <vt:variant>
        <vt:i4>2949172</vt:i4>
      </vt:variant>
      <vt:variant>
        <vt:i4>6</vt:i4>
      </vt:variant>
      <vt:variant>
        <vt:i4>0</vt:i4>
      </vt:variant>
      <vt:variant>
        <vt:i4>5</vt:i4>
      </vt:variant>
      <vt:variant>
        <vt:lpwstr>http://forum.icann.org/lists/5gtld-guide/pdfpWA9bxOgob.pdf</vt:lpwstr>
      </vt:variant>
      <vt:variant>
        <vt:lpwstr/>
      </vt:variant>
      <vt:variant>
        <vt:i4>7340129</vt:i4>
      </vt:variant>
      <vt:variant>
        <vt:i4>3</vt:i4>
      </vt:variant>
      <vt:variant>
        <vt:i4>0</vt:i4>
      </vt:variant>
      <vt:variant>
        <vt:i4>5</vt:i4>
      </vt:variant>
      <vt:variant>
        <vt:lpwstr>http://forum.icann.org/lists/bc-gnso/pdfSBXE8faU4Z.pdf</vt:lpwstr>
      </vt:variant>
      <vt:variant>
        <vt:lpwstr/>
      </vt:variant>
      <vt:variant>
        <vt:i4>3211390</vt:i4>
      </vt:variant>
      <vt:variant>
        <vt:i4>0</vt:i4>
      </vt:variant>
      <vt:variant>
        <vt:i4>0</vt:i4>
      </vt:variant>
      <vt:variant>
        <vt:i4>5</vt:i4>
      </vt:variant>
      <vt:variant>
        <vt:lpwstr>http://forum.icann.org/lists/bc-gnso/pdf7bS90kfqkn.pdf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4</cp:revision>
  <cp:lastPrinted>2011-05-15T18:09:00Z</cp:lastPrinted>
  <dcterms:created xsi:type="dcterms:W3CDTF">2011-05-15T18:09:00Z</dcterms:created>
  <dcterms:modified xsi:type="dcterms:W3CDTF">2011-05-15T18:14:00Z</dcterms:modified>
  <cp:category/>
</cp:coreProperties>
</file>