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43C46DFB" w:rsidR="003B3E2A" w:rsidRDefault="003B3E2A" w:rsidP="00D00805">
      <w:pPr>
        <w:widowControl w:val="0"/>
        <w:autoSpaceDE w:val="0"/>
        <w:autoSpaceDN w:val="0"/>
        <w:adjustRightInd w:val="0"/>
        <w:rPr>
          <w:rFonts w:ascii="Calibri" w:hAnsi="Calibri" w:cs="Calibri"/>
          <w:sz w:val="22"/>
          <w:szCs w:val="22"/>
        </w:rPr>
      </w:pPr>
      <w:r>
        <w:rPr>
          <w:rFonts w:ascii="Calibri" w:hAnsi="Calibri" w:cs="Calibri"/>
          <w:sz w:val="22"/>
          <w:szCs w:val="22"/>
        </w:rPr>
        <w:t>D R A F T  [</w:t>
      </w:r>
      <w:r w:rsidR="00072753">
        <w:rPr>
          <w:rFonts w:ascii="Calibri" w:hAnsi="Calibri" w:cs="Calibri"/>
          <w:sz w:val="22"/>
          <w:szCs w:val="22"/>
        </w:rPr>
        <w:t>v</w:t>
      </w:r>
      <w:r w:rsidR="00301602">
        <w:rPr>
          <w:rFonts w:ascii="Calibri" w:hAnsi="Calibri" w:cs="Calibri"/>
          <w:sz w:val="22"/>
          <w:szCs w:val="22"/>
        </w:rPr>
        <w:t>4</w:t>
      </w:r>
      <w:r>
        <w:rPr>
          <w:rFonts w:ascii="Calibri" w:hAnsi="Calibri" w:cs="Calibri"/>
          <w:sz w:val="22"/>
          <w:szCs w:val="22"/>
        </w:rPr>
        <w:t>]</w:t>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301602">
        <w:rPr>
          <w:rFonts w:ascii="Calibri" w:hAnsi="Calibri" w:cs="Calibri"/>
          <w:sz w:val="22"/>
          <w:szCs w:val="22"/>
        </w:rPr>
        <w:t>5</w:t>
      </w:r>
      <w:r w:rsidR="00D76D2B">
        <w:rPr>
          <w:rFonts w:ascii="Calibri" w:hAnsi="Calibri" w:cs="Calibri"/>
          <w:sz w:val="22"/>
          <w:szCs w:val="22"/>
        </w:rPr>
        <w:t>-</w:t>
      </w:r>
      <w:r w:rsidR="00301602">
        <w:rPr>
          <w:rFonts w:ascii="Calibri" w:hAnsi="Calibri" w:cs="Calibri"/>
          <w:sz w:val="22"/>
          <w:szCs w:val="22"/>
        </w:rPr>
        <w:t>February</w:t>
      </w:r>
      <w:r w:rsidR="00D76D2B">
        <w:rPr>
          <w:rFonts w:ascii="Calibri" w:hAnsi="Calibri" w:cs="Calibri"/>
          <w:sz w:val="22"/>
          <w:szCs w:val="22"/>
        </w:rPr>
        <w:t>-2012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rPr>
        <w:t xml:space="preserve">regarding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lang w:val="en-GB"/>
        </w:rPr>
        <w:t xml:space="preserve">for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77777777"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567EBF5C" w:rsidR="003B3E2A"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for consideration of </w:t>
      </w:r>
      <w:r w:rsidR="003B3E2A">
        <w:rPr>
          <w:rFonts w:ascii="Calibri" w:hAnsi="Calibri" w:cs="Calibri"/>
          <w:sz w:val="22"/>
          <w:szCs w:val="22"/>
        </w:rPr>
        <w:t>ALAC, ccNSO, and GNSO</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335D513C"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Affirmation of Commitments.</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10253C2F"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request advice from the ALAC, GAC, GNSO and ccNSO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2569BF">
        <w:rPr>
          <w:rFonts w:ascii="Calibri" w:hAnsi="Calibri" w:cs="Calibri"/>
          <w:sz w:val="22"/>
          <w:szCs w:val="22"/>
          <w:lang w:val="en-GB"/>
        </w:rPr>
        <w:t xml:space="preserve">  The resolution reads: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ccNSO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4E159460"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oard resolution, community members in the GNSO, ccNSO and ALAC began to organize a joint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0BA5FBC3" w14:textId="08D9865E" w:rsidR="00BE1189" w:rsidRDefault="0070200A" w:rsidP="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r w:rsidR="00503D46">
        <w:rPr>
          <w:rFonts w:ascii="Calibri" w:hAnsi="Calibri" w:cs="Calibri"/>
          <w:sz w:val="22"/>
          <w:szCs w:val="22"/>
        </w:rPr>
        <w:t xml:space="preserve">was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A11FD0">
        <w:rPr>
          <w:rFonts w:ascii="Calibri" w:hAnsi="Calibri" w:cs="Calibri"/>
          <w:sz w:val="22"/>
          <w:szCs w:val="22"/>
        </w:rPr>
        <w:t>[date]</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could also be formally endorsed by ALAC and ccNSO, but their endorsement was not a requirement for participation in the Working Group. </w:t>
      </w:r>
    </w:p>
    <w:p w14:paraId="4C1B9EEC" w14:textId="77777777" w:rsidR="00BE1189" w:rsidRDefault="00BE1189" w:rsidP="0070200A">
      <w:pPr>
        <w:widowControl w:val="0"/>
        <w:autoSpaceDE w:val="0"/>
        <w:autoSpaceDN w:val="0"/>
        <w:adjustRightInd w:val="0"/>
        <w:rPr>
          <w:rFonts w:ascii="Calibri" w:hAnsi="Calibri" w:cs="Calibri"/>
          <w:sz w:val="22"/>
          <w:szCs w:val="22"/>
        </w:rPr>
      </w:pPr>
    </w:p>
    <w:p w14:paraId="2806011A" w14:textId="7D02497E" w:rsidR="00BE1189" w:rsidRPr="00BE1189" w:rsidRDefault="00A11FD0" w:rsidP="005526A1">
      <w:pPr>
        <w:widowControl w:val="0"/>
        <w:autoSpaceDE w:val="0"/>
        <w:autoSpaceDN w:val="0"/>
        <w:adjustRightInd w:val="0"/>
        <w:rPr>
          <w:rFonts w:ascii="Calibri" w:hAnsi="Calibri" w:cs="Calibri"/>
          <w:sz w:val="22"/>
          <w:szCs w:val="22"/>
        </w:rPr>
      </w:pPr>
      <w:r>
        <w:rPr>
          <w:rFonts w:ascii="Calibri" w:hAnsi="Calibri" w:cs="Calibri"/>
          <w:sz w:val="22"/>
          <w:szCs w:val="22"/>
        </w:rPr>
        <w:t xml:space="preserve">In drafting its charter, the Working Group </w:t>
      </w:r>
      <w:r w:rsidR="000812DC">
        <w:rPr>
          <w:rFonts w:ascii="Calibri" w:hAnsi="Calibri" w:cs="Calibri"/>
          <w:sz w:val="22"/>
          <w:szCs w:val="22"/>
        </w:rPr>
        <w:t xml:space="preserve">understood that its work was to produce </w:t>
      </w:r>
      <w:r w:rsidRPr="00A11FD0">
        <w:rPr>
          <w:rFonts w:ascii="Calibri" w:hAnsi="Calibri" w:cs="Calibri"/>
          <w:sz w:val="22"/>
          <w:szCs w:val="22"/>
        </w:rPr>
        <w:t>advice</w:t>
      </w:r>
      <w:r w:rsidR="00BE1189" w:rsidRPr="00A11FD0">
        <w:rPr>
          <w:rFonts w:ascii="Calibri" w:hAnsi="Calibri" w:cs="Calibri"/>
          <w:sz w:val="22"/>
          <w:szCs w:val="22"/>
        </w:rPr>
        <w:t xml:space="preserve"> </w:t>
      </w:r>
      <w:r w:rsidRPr="00A11FD0">
        <w:rPr>
          <w:rFonts w:ascii="Calibri" w:hAnsi="Calibri" w:cs="Calibri"/>
          <w:sz w:val="22"/>
          <w:szCs w:val="22"/>
        </w:rPr>
        <w:t>for consideration by</w:t>
      </w:r>
      <w:r>
        <w:rPr>
          <w:rFonts w:ascii="Calibri" w:hAnsi="Calibri" w:cs="Calibri"/>
          <w:sz w:val="22"/>
          <w:szCs w:val="22"/>
        </w:rPr>
        <w:t xml:space="preserve"> </w:t>
      </w:r>
      <w:r w:rsidR="00BE1189" w:rsidRPr="00A11FD0">
        <w:rPr>
          <w:rFonts w:ascii="Calibri" w:hAnsi="Calibri" w:cs="Calibri"/>
          <w:sz w:val="22"/>
          <w:szCs w:val="22"/>
        </w:rPr>
        <w:t>GNSO, ccNSO,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0D6C7357" w14:textId="63575544" w:rsidR="000118A8" w:rsidRPr="00BE1189" w:rsidRDefault="00A11FD0" w:rsidP="000118A8">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 xml:space="preserve">definitions, measures, and targets that could be useful to the AOC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 xml:space="preserve">future AOC </w:t>
      </w:r>
      <w:r w:rsidR="000118A8" w:rsidRPr="00BE1189">
        <w:rPr>
          <w:rFonts w:ascii="Calibri" w:hAnsi="Calibri" w:cs="Calibri"/>
          <w:sz w:val="22"/>
          <w:szCs w:val="22"/>
        </w:rPr>
        <w:t>review</w:t>
      </w:r>
      <w:r w:rsidR="000118A8">
        <w:rPr>
          <w:rFonts w:ascii="Calibri" w:hAnsi="Calibri" w:cs="Calibri"/>
          <w:sz w:val="22"/>
          <w:szCs w:val="22"/>
        </w:rPr>
        <w:t xml:space="preserve"> team.</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09973F4" w14:textId="24079447" w:rsidR="002E6740"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will establish </w:t>
      </w:r>
      <w:r w:rsidR="002E6740">
        <w:rPr>
          <w:rFonts w:ascii="Calibri" w:hAnsi="Calibri" w:cs="Calibri"/>
          <w:sz w:val="22"/>
          <w:szCs w:val="22"/>
        </w:rPr>
        <w:t xml:space="preserve">definitions, measures, and targets </w:t>
      </w:r>
      <w:r w:rsidR="00E267B5">
        <w:rPr>
          <w:rFonts w:ascii="Calibri" w:hAnsi="Calibri" w:cs="Calibri"/>
          <w:sz w:val="22"/>
          <w:szCs w:val="22"/>
        </w:rPr>
        <w:t xml:space="preserve">early enough to become </w:t>
      </w:r>
      <w:r w:rsidR="005526A1">
        <w:rPr>
          <w:rFonts w:ascii="Calibri" w:hAnsi="Calibri" w:cs="Calibri"/>
          <w:sz w:val="22"/>
          <w:szCs w:val="22"/>
        </w:rPr>
        <w:t xml:space="preserve">part of ICANN’s management objectives </w:t>
      </w:r>
      <w:r w:rsidR="00E267B5">
        <w:rPr>
          <w:rFonts w:ascii="Calibri" w:hAnsi="Calibri" w:cs="Calibri"/>
          <w:sz w:val="22"/>
          <w:szCs w:val="22"/>
        </w:rPr>
        <w:t xml:space="preserve">as it evaluates and delegates </w:t>
      </w:r>
      <w:r w:rsidR="005526A1">
        <w:rPr>
          <w:rFonts w:ascii="Calibri" w:hAnsi="Calibri" w:cs="Calibri"/>
          <w:sz w:val="22"/>
          <w:szCs w:val="22"/>
        </w:rPr>
        <w:t>new gTLDs</w:t>
      </w:r>
      <w:r w:rsidR="00E267B5">
        <w:rPr>
          <w:rFonts w:ascii="Calibri" w:hAnsi="Calibri" w:cs="Calibri"/>
          <w:sz w:val="22"/>
          <w:szCs w:val="22"/>
        </w:rPr>
        <w:t xml:space="preserve"> in 2012 and 2013</w:t>
      </w:r>
      <w:r w:rsidR="005526A1">
        <w:rPr>
          <w:rFonts w:ascii="Calibri" w:hAnsi="Calibri" w:cs="Calibri"/>
          <w:sz w:val="22"/>
          <w:szCs w:val="22"/>
        </w:rPr>
        <w:t xml:space="preserve">. </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77777777" w:rsidR="001E58BB" w:rsidRDefault="001E58BB" w:rsidP="00D00805">
      <w:pPr>
        <w:widowControl w:val="0"/>
        <w:autoSpaceDE w:val="0"/>
        <w:autoSpaceDN w:val="0"/>
        <w:adjustRightInd w:val="0"/>
        <w:rPr>
          <w:rFonts w:ascii="Calibri" w:hAnsi="Calibri" w:cs="Calibri"/>
          <w:sz w:val="22"/>
          <w:szCs w:val="22"/>
        </w:rPr>
      </w:pPr>
    </w:p>
    <w:p w14:paraId="18B29E82" w14:textId="242D42E5"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Community represent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3A111452"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4D6037F1"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r w:rsidR="005526A1">
        <w:rPr>
          <w:rFonts w:ascii="Calibri" w:hAnsi="Calibri" w:cs="Calibri"/>
          <w:b/>
          <w:sz w:val="22"/>
          <w:szCs w:val="22"/>
        </w:rPr>
        <w:t xml:space="preserve">Draft </w:t>
      </w:r>
      <w:r w:rsidR="0070200A" w:rsidRPr="00AC4FF1">
        <w:rPr>
          <w:rFonts w:ascii="Calibri" w:hAnsi="Calibri" w:cs="Calibri"/>
          <w:b/>
          <w:sz w:val="22"/>
          <w:szCs w:val="22"/>
        </w:rPr>
        <w:t>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77777777"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The Working Group began regular meetings after the Singapore meeting in June 2011.  Working Group members drafted a charter for consideration by any and all community groups form whom the board solicited advice.   The Charter was approved by the GNSO on [date] and is available at [link]</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77777777"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inary results.   In Dakar, the W</w:t>
      </w:r>
      <w:r>
        <w:rPr>
          <w:rFonts w:ascii="Calibri" w:hAnsi="Calibri" w:cs="Calibri"/>
          <w:sz w:val="22"/>
          <w:szCs w:val="22"/>
        </w:rPr>
        <w:t xml:space="preserve">orking Group </w:t>
      </w:r>
      <w:r w:rsidR="005026D1">
        <w:rPr>
          <w:rFonts w:ascii="Calibri" w:hAnsi="Calibri" w:cs="Calibri"/>
          <w:sz w:val="22"/>
          <w:szCs w:val="22"/>
        </w:rPr>
        <w:t xml:space="preserve">gave </w:t>
      </w:r>
      <w:r>
        <w:rPr>
          <w:rFonts w:ascii="Calibri" w:hAnsi="Calibri" w:cs="Calibri"/>
          <w:sz w:val="22"/>
          <w:szCs w:val="22"/>
        </w:rPr>
        <w:t>brief</w:t>
      </w:r>
      <w:r w:rsidR="005026D1">
        <w:rPr>
          <w:rFonts w:ascii="Calibri" w:hAnsi="Calibri" w:cs="Calibri"/>
          <w:sz w:val="22"/>
          <w:szCs w:val="22"/>
        </w:rPr>
        <w:t xml:space="preserve">ings to GNSO Council during its weekend sessions.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77115DB6"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is being posted for </w:t>
      </w:r>
      <w:r w:rsidR="0070200A" w:rsidRPr="00D00805">
        <w:rPr>
          <w:rFonts w:ascii="Calibri" w:hAnsi="Calibri" w:cs="Calibri"/>
          <w:sz w:val="22"/>
          <w:szCs w:val="22"/>
        </w:rPr>
        <w:t xml:space="preserve">public comment </w:t>
      </w:r>
      <w:r>
        <w:rPr>
          <w:rFonts w:ascii="Calibri" w:hAnsi="Calibri" w:cs="Calibri"/>
          <w:sz w:val="22"/>
          <w:szCs w:val="22"/>
        </w:rPr>
        <w:t xml:space="preserve">on [date].  The Working Group will assess comments received and expects to offer draft advice to ALAC, ccNSO, GAC, and GNSO </w:t>
      </w:r>
      <w:r w:rsidR="0059570B">
        <w:rPr>
          <w:rFonts w:ascii="Calibri" w:hAnsi="Calibri" w:cs="Calibri"/>
          <w:sz w:val="22"/>
          <w:szCs w:val="22"/>
        </w:rPr>
        <w:t xml:space="preserve">soon after closing of the public comment period.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7D6BD942"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E42913">
        <w:rPr>
          <w:rFonts w:ascii="Calibri" w:hAnsi="Calibri"/>
          <w:color w:val="000000"/>
          <w:sz w:val="22"/>
          <w:szCs w:val="22"/>
        </w:rPr>
        <w:t>:</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1DB99D4D"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05E441E6" w14:textId="32F688E3" w:rsidR="0070200A" w:rsidRPr="00503D46"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4B4383">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sidR="007D0AF0">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3FAD028A"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3759B7FE"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301602">
        <w:rPr>
          <w:rFonts w:ascii="Calibri" w:hAnsi="Calibri" w:cs="Calibri"/>
          <w:sz w:val="22"/>
          <w:szCs w:val="22"/>
        </w:rPr>
        <w:t xml:space="preserve">for 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gTLDs,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3CCC4D95" w14:textId="77777777" w:rsidR="006B0EC9" w:rsidRDefault="006B0EC9">
      <w:pPr>
        <w:rPr>
          <w:rFonts w:ascii="Calibri" w:hAnsi="Calibri" w:cs="Calibri"/>
          <w:i/>
          <w:iCs/>
          <w:sz w:val="22"/>
          <w:szCs w:val="22"/>
        </w:rPr>
      </w:pPr>
      <w:r>
        <w:rPr>
          <w:rFonts w:ascii="Calibri" w:hAnsi="Calibri" w:cs="Calibri"/>
          <w:i/>
          <w:iCs/>
          <w:sz w:val="22"/>
          <w:szCs w:val="22"/>
        </w:rPr>
        <w:br w:type="page"/>
      </w: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59BB02D6" w14:textId="77777777" w:rsidR="00A015A9" w:rsidRDefault="007C7314" w:rsidP="00ED0485">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The Consumer Trust definition has two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64352059" w14:textId="77777777" w:rsidR="007C7314" w:rsidRDefault="007C7314" w:rsidP="00ED0485">
      <w:pPr>
        <w:widowControl w:val="0"/>
        <w:autoSpaceDE w:val="0"/>
        <w:autoSpaceDN w:val="0"/>
        <w:adjustRightInd w:val="0"/>
        <w:ind w:left="720"/>
        <w:rPr>
          <w:rFonts w:ascii="Calibri" w:hAnsi="Calibri" w:cs="Calibri"/>
          <w:i/>
          <w:iCs/>
          <w:sz w:val="22"/>
          <w:szCs w:val="22"/>
        </w:rPr>
      </w:pPr>
    </w:p>
    <w:p w14:paraId="30C61ECA" w14:textId="73CC773A" w:rsidR="00166DCD" w:rsidRDefault="002E7E35" w:rsidP="00ED0485">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7C7314">
        <w:rPr>
          <w:rFonts w:ascii="Calibri" w:hAnsi="Calibri" w:cs="Calibri"/>
          <w:i/>
          <w:iCs/>
          <w:sz w:val="22"/>
          <w:szCs w:val="22"/>
        </w:rPr>
        <w:t>2</w:t>
      </w:r>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r w:rsidR="00166DCD" w:rsidRPr="00166DCD">
        <w:rPr>
          <w:rFonts w:ascii="Calibri" w:hAnsi="Calibri" w:cs="Calibri"/>
          <w:i/>
          <w:iCs/>
          <w:sz w:val="22"/>
          <w:szCs w:val="22"/>
        </w:rPr>
        <w:t xml:space="preserve">.  All stakeholders </w:t>
      </w:r>
      <w:r w:rsidR="004B4383">
        <w:rPr>
          <w:rFonts w:ascii="Calibri" w:hAnsi="Calibri" w:cs="Calibri"/>
          <w:i/>
          <w:iCs/>
          <w:sz w:val="22"/>
          <w:szCs w:val="22"/>
        </w:rPr>
        <w:t xml:space="preserve">should </w:t>
      </w:r>
      <w:r w:rsidR="00166DCD" w:rsidRPr="00166DCD">
        <w:rPr>
          <w:rFonts w:ascii="Calibri" w:hAnsi="Calibri" w:cs="Calibri"/>
          <w:i/>
          <w:iCs/>
          <w:sz w:val="22"/>
          <w:szCs w:val="22"/>
        </w:rPr>
        <w:t>have an interest in providing choice and in avoiding monopoly in order to create an open and informed market for all participants.  </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6B5CA57E" w14:textId="25F6D379" w:rsidR="00BE1189" w:rsidRPr="002E7E35" w:rsidRDefault="007C7314"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14:paraId="5C45D4D9"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7E036F41"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64D01C6D"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EDF7FB4"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F32EAC3"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Bylaws: regarding ccTLDs: “provided that such policies do not conflict with the law applicable to the ccTLD manager”</w:t>
      </w:r>
    </w:p>
    <w:p w14:paraId="5F653AE4"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60921399" w14:textId="60CAF9FC" w:rsidR="00BE1189" w:rsidRPr="002E7E35"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working papers from the European Commission also cited the importance of national laws, indicate the political lens through which the new gTLD program will be judged by governments.</w:t>
      </w:r>
    </w:p>
    <w:p w14:paraId="1DCA0CE0" w14:textId="77777777" w:rsidR="00BE1189" w:rsidRDefault="00BE1189" w:rsidP="00D00805">
      <w:pPr>
        <w:widowControl w:val="0"/>
        <w:autoSpaceDE w:val="0"/>
        <w:autoSpaceDN w:val="0"/>
        <w:adjustRightInd w:val="0"/>
        <w:rPr>
          <w:rFonts w:ascii="Calibri" w:hAnsi="Calibri" w:cs="Calibri"/>
          <w:b/>
          <w:sz w:val="22"/>
          <w:szCs w:val="22"/>
        </w:rPr>
      </w:pPr>
    </w:p>
    <w:p w14:paraId="05518580" w14:textId="77777777" w:rsidR="004B35DE" w:rsidRDefault="004B35DE" w:rsidP="00D00805">
      <w:pPr>
        <w:widowControl w:val="0"/>
        <w:autoSpaceDE w:val="0"/>
        <w:autoSpaceDN w:val="0"/>
        <w:adjustRightInd w:val="0"/>
        <w:rPr>
          <w:rFonts w:ascii="Calibri" w:hAnsi="Calibri" w:cs="Calibri"/>
          <w:b/>
          <w:sz w:val="22"/>
          <w:szCs w:val="22"/>
        </w:rPr>
      </w:pPr>
    </w:p>
    <w:p w14:paraId="6977E283" w14:textId="77777777" w:rsidR="006B0EC9" w:rsidRDefault="006B0EC9">
      <w:pPr>
        <w:rPr>
          <w:rFonts w:ascii="Calibri" w:hAnsi="Calibri" w:cs="Calibri"/>
          <w:b/>
          <w:sz w:val="22"/>
          <w:szCs w:val="22"/>
        </w:rPr>
      </w:pPr>
      <w:r>
        <w:rPr>
          <w:rFonts w:ascii="Calibri" w:hAnsi="Calibri" w:cs="Calibri"/>
          <w:b/>
          <w:sz w:val="22"/>
          <w:szCs w:val="22"/>
        </w:rPr>
        <w:br w:type="page"/>
      </w:r>
    </w:p>
    <w:p w14:paraId="41260E3F" w14:textId="665BC3EA" w:rsidR="003B3E2A" w:rsidRPr="00AC4FF1" w:rsidRDefault="005026D1" w:rsidP="00D0080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69349C98"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mended measures, including columns indicating ICANN staff assessment of difficulty in obtaining and reporting each measure, along with the source of data.</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96A1EE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requested advice on 3-year targets for these measures.   For some measures, an appropriate target would be an improvement on performance in the pre-expansion gTLD space.   For other measures, such as URS complaints, there is no equivalent data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The Working Group asked ICANN staff to identify baseline values for any measure that applies to the pre-expansion gTLD space, so that future targets could be stated in terms of improvements 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468" w:type="dxa"/>
        <w:tblLook w:val="04A0" w:firstRow="1" w:lastRow="0" w:firstColumn="1" w:lastColumn="0" w:noHBand="0" w:noVBand="1"/>
      </w:tblPr>
      <w:tblGrid>
        <w:gridCol w:w="2700"/>
        <w:gridCol w:w="5688"/>
      </w:tblGrid>
      <w:tr w:rsidR="007516A3" w:rsidRPr="00A36343" w14:paraId="25416F53" w14:textId="77777777" w:rsidTr="00E267B5">
        <w:tc>
          <w:tcPr>
            <w:tcW w:w="2700" w:type="dxa"/>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tcPr>
          <w:p w14:paraId="70E53C26"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URS complaints for new gTLDs in 2015 should be less than 10% of the number of URS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5AF0EB1E" w:rsidR="007F4A74"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In the </w:t>
      </w:r>
      <w:r w:rsidR="004B4383">
        <w:rPr>
          <w:rFonts w:ascii="Calibri" w:hAnsi="Calibri" w:cs="Calibri"/>
          <w:sz w:val="22"/>
          <w:szCs w:val="22"/>
        </w:rPr>
        <w:t xml:space="preserve">last column of the </w:t>
      </w:r>
      <w:r>
        <w:rPr>
          <w:rFonts w:ascii="Calibri" w:hAnsi="Calibri" w:cs="Calibri"/>
          <w:sz w:val="22"/>
          <w:szCs w:val="22"/>
        </w:rPr>
        <w:t xml:space="preserve">table below, the working group recommends 3-year targets for measures where we had sufficient information to </w:t>
      </w:r>
      <w:r w:rsidR="004B4383">
        <w:rPr>
          <w:rFonts w:ascii="Calibri" w:hAnsi="Calibri" w:cs="Calibri"/>
          <w:sz w:val="22"/>
          <w:szCs w:val="22"/>
        </w:rPr>
        <w:t>suggest</w:t>
      </w:r>
      <w:r>
        <w:rPr>
          <w:rFonts w:ascii="Calibri" w:hAnsi="Calibri" w:cs="Calibri"/>
          <w:sz w:val="22"/>
          <w:szCs w:val="22"/>
        </w:rPr>
        <w:t xml:space="preserve"> a</w:t>
      </w:r>
      <w:r w:rsidR="004B4383">
        <w:rPr>
          <w:rFonts w:ascii="Calibri" w:hAnsi="Calibri" w:cs="Calibri"/>
          <w:sz w:val="22"/>
          <w:szCs w:val="22"/>
        </w:rPr>
        <w:t>pplicable</w:t>
      </w:r>
      <w:r>
        <w:rPr>
          <w:rFonts w:ascii="Calibri" w:hAnsi="Calibri" w:cs="Calibri"/>
          <w:sz w:val="22"/>
          <w:szCs w:val="22"/>
        </w:rPr>
        <w:t xml:space="preserve"> target</w:t>
      </w:r>
      <w:r w:rsidR="004B4383">
        <w:rPr>
          <w:rFonts w:ascii="Calibri" w:hAnsi="Calibri" w:cs="Calibri"/>
          <w:sz w:val="22"/>
          <w:szCs w:val="22"/>
        </w:rPr>
        <w:t>s</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6B152138" w14:textId="3FA6847A"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301602">
        <w:rPr>
          <w:rFonts w:ascii="Calibri" w:hAnsi="Calibri" w:cs="Calibri"/>
          <w:sz w:val="22"/>
          <w:szCs w:val="22"/>
        </w:rPr>
        <w:t>Obtaining</w:t>
      </w:r>
      <w:r>
        <w:rPr>
          <w:rFonts w:ascii="Calibri" w:hAnsi="Calibri" w:cs="Calibri"/>
          <w:sz w:val="22"/>
          <w:szCs w:val="22"/>
        </w:rPr>
        <w:t xml:space="preserve">” </w:t>
      </w:r>
      <w:r w:rsidR="00301602">
        <w:rPr>
          <w:rFonts w:ascii="Calibri" w:hAnsi="Calibri" w:cs="Calibri"/>
          <w:sz w:val="22"/>
          <w:szCs w:val="22"/>
        </w:rPr>
        <w:t xml:space="preserve">refers </w:t>
      </w:r>
      <w:r>
        <w:rPr>
          <w:rFonts w:ascii="Calibri" w:hAnsi="Calibri" w:cs="Calibri"/>
          <w:sz w:val="22"/>
          <w:szCs w:val="22"/>
        </w:rPr>
        <w:t xml:space="preserve">the </w:t>
      </w:r>
      <w:r w:rsidR="00301602">
        <w:rPr>
          <w:rFonts w:ascii="Calibri" w:hAnsi="Calibri" w:cs="Calibri"/>
          <w:sz w:val="22"/>
          <w:szCs w:val="22"/>
        </w:rPr>
        <w:t xml:space="preserve">availability and </w:t>
      </w:r>
      <w:r>
        <w:rPr>
          <w:rFonts w:ascii="Calibri" w:hAnsi="Calibri" w:cs="Calibri"/>
          <w:sz w:val="22"/>
          <w:szCs w:val="22"/>
        </w:rPr>
        <w:t xml:space="preserve">level of effort </w:t>
      </w:r>
      <w:r w:rsidR="00301602">
        <w:rPr>
          <w:rFonts w:ascii="Calibri" w:hAnsi="Calibri" w:cs="Calibri"/>
          <w:sz w:val="22"/>
          <w:szCs w:val="22"/>
        </w:rPr>
        <w:t>to gather</w:t>
      </w:r>
      <w:r>
        <w:rPr>
          <w:rFonts w:ascii="Calibri" w:hAnsi="Calibri" w:cs="Calibri"/>
          <w:sz w:val="22"/>
          <w:szCs w:val="22"/>
        </w:rPr>
        <w:t xml:space="preserve"> raw data needed for each measure in the table.</w:t>
      </w:r>
    </w:p>
    <w:p w14:paraId="05ED055D" w14:textId="1440045A" w:rsidR="006100B5"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347843">
        <w:rPr>
          <w:rFonts w:ascii="Calibri" w:hAnsi="Calibri" w:cs="Calibri"/>
          <w:sz w:val="22"/>
          <w:szCs w:val="22"/>
        </w:rPr>
        <w:t>Reporting</w:t>
      </w:r>
      <w:r>
        <w:rPr>
          <w:rFonts w:ascii="Calibri" w:hAnsi="Calibri" w:cs="Calibri"/>
          <w:sz w:val="22"/>
          <w:szCs w:val="22"/>
        </w:rPr>
        <w:t>”</w:t>
      </w:r>
      <w:r w:rsidRPr="006100B5">
        <w:rPr>
          <w:rFonts w:ascii="Calibri" w:hAnsi="Calibri" w:cs="Calibri"/>
          <w:sz w:val="22"/>
          <w:szCs w:val="22"/>
        </w:rPr>
        <w:t xml:space="preserve"> </w:t>
      </w:r>
      <w:r w:rsidR="00347843">
        <w:rPr>
          <w:rFonts w:ascii="Calibri" w:hAnsi="Calibri" w:cs="Calibri"/>
          <w:sz w:val="22"/>
          <w:szCs w:val="22"/>
        </w:rPr>
        <w:t xml:space="preserve">refers to </w:t>
      </w:r>
      <w:r>
        <w:rPr>
          <w:rFonts w:ascii="Calibri" w:hAnsi="Calibri" w:cs="Calibri"/>
          <w:sz w:val="22"/>
          <w:szCs w:val="22"/>
        </w:rPr>
        <w:t>any challenges in compiling and publicly disclosing each measure in the table.</w:t>
      </w:r>
    </w:p>
    <w:p w14:paraId="7730E034" w14:textId="0A770D54"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 “R</w:t>
      </w:r>
      <w:r w:rsidR="004B4383">
        <w:rPr>
          <w:rFonts w:ascii="Calibri" w:hAnsi="Calibri" w:cs="Calibri"/>
          <w:sz w:val="22"/>
          <w:szCs w:val="22"/>
        </w:rPr>
        <w:t xml:space="preserve">elative incidence” of a particular measure would divide the raw data by the total number of registrations in each gTLD zone evaluated.  This is intended to put small or new </w:t>
      </w:r>
      <w:r>
        <w:rPr>
          <w:rFonts w:ascii="Calibri" w:hAnsi="Calibri" w:cs="Calibri"/>
          <w:sz w:val="22"/>
          <w:szCs w:val="22"/>
        </w:rPr>
        <w:t>gTLDs</w:t>
      </w:r>
      <w:r w:rsidR="004B4383">
        <w:rPr>
          <w:rFonts w:ascii="Calibri" w:hAnsi="Calibri" w:cs="Calibri"/>
          <w:sz w:val="22"/>
          <w:szCs w:val="22"/>
        </w:rPr>
        <w:t xml:space="preserve"> on a comparable basis with experience in larger </w:t>
      </w:r>
      <w:r>
        <w:rPr>
          <w:rFonts w:ascii="Calibri" w:hAnsi="Calibri" w:cs="Calibri"/>
          <w:sz w:val="22"/>
          <w:szCs w:val="22"/>
        </w:rPr>
        <w:t>or</w:t>
      </w:r>
      <w:r w:rsidR="004B4383">
        <w:rPr>
          <w:rFonts w:ascii="Calibri" w:hAnsi="Calibri" w:cs="Calibri"/>
          <w:sz w:val="22"/>
          <w:szCs w:val="22"/>
        </w:rPr>
        <w:t xml:space="preserve"> more established </w:t>
      </w:r>
      <w:r>
        <w:rPr>
          <w:rFonts w:ascii="Calibri" w:hAnsi="Calibri" w:cs="Calibri"/>
          <w:sz w:val="22"/>
          <w:szCs w:val="22"/>
        </w:rPr>
        <w:t>gTLDs</w:t>
      </w:r>
      <w:r w:rsidR="004B4383">
        <w:rPr>
          <w:rFonts w:ascii="Calibri" w:hAnsi="Calibri" w:cs="Calibri"/>
          <w:sz w:val="22"/>
          <w:szCs w:val="22"/>
        </w:rPr>
        <w:t xml:space="preserve">.  </w:t>
      </w:r>
    </w:p>
    <w:p w14:paraId="3A48E95D" w14:textId="77777777" w:rsidR="007516A3" w:rsidRDefault="007516A3" w:rsidP="00D00805">
      <w:pPr>
        <w:widowControl w:val="0"/>
        <w:autoSpaceDE w:val="0"/>
        <w:autoSpaceDN w:val="0"/>
        <w:adjustRightInd w:val="0"/>
        <w:rPr>
          <w:rFonts w:ascii="Calibri" w:hAnsi="Calibri" w:cs="Calibri"/>
          <w:sz w:val="22"/>
          <w:szCs w:val="22"/>
        </w:rPr>
      </w:pPr>
    </w:p>
    <w:p w14:paraId="677A291D" w14:textId="77777777" w:rsidR="00DB3F97" w:rsidRDefault="00DB3F97">
      <w:pPr>
        <w:rPr>
          <w:rFonts w:ascii="Calibri" w:hAnsi="Calibri" w:cs="Calibri"/>
          <w:b/>
          <w:sz w:val="22"/>
          <w:szCs w:val="22"/>
        </w:rPr>
      </w:pPr>
      <w:r>
        <w:rPr>
          <w:rFonts w:ascii="Calibri" w:hAnsi="Calibri" w:cs="Calibri"/>
          <w:b/>
          <w:sz w:val="22"/>
          <w:szCs w:val="22"/>
        </w:rPr>
        <w:br w:type="page"/>
      </w:r>
    </w:p>
    <w:p w14:paraId="27F631BA" w14:textId="7C3A6679"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416655FA" w14:textId="77777777" w:rsidR="00EB40C9" w:rsidRDefault="00EB40C9" w:rsidP="00EB40C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0DFD241A" w14:textId="77777777" w:rsidR="00EB40C9" w:rsidRPr="00AC4FF1" w:rsidRDefault="00EB40C9" w:rsidP="00EB40C9">
      <w:pPr>
        <w:widowControl w:val="0"/>
        <w:autoSpaceDE w:val="0"/>
        <w:autoSpaceDN w:val="0"/>
        <w:adjustRightInd w:val="0"/>
        <w:rPr>
          <w:rFonts w:ascii="Calibri" w:hAnsi="Calibri" w:cs="Calibri"/>
          <w:b/>
          <w:sz w:val="22"/>
          <w:szCs w:val="22"/>
        </w:rPr>
      </w:pPr>
    </w:p>
    <w:p w14:paraId="435EA979" w14:textId="77777777"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14:paraId="3995D147" w14:textId="77777777" w:rsidTr="000F60A7">
        <w:trPr>
          <w:trHeight w:val="690"/>
          <w:tblHeader/>
        </w:trPr>
        <w:tc>
          <w:tcPr>
            <w:tcW w:w="3785" w:type="dxa"/>
            <w:shd w:val="clear" w:color="auto" w:fill="auto"/>
            <w:noWrap/>
            <w:vAlign w:val="center"/>
            <w:hideMark/>
          </w:tcPr>
          <w:p w14:paraId="3A130EFD" w14:textId="77777777"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hideMark/>
          </w:tcPr>
          <w:p w14:paraId="45929861" w14:textId="77777777"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79FF65AC" w14:textId="1DCD699D"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3EC9310" w14:textId="36C3361A"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45D28DC6" w14:textId="77777777"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14:paraId="6265E574" w14:textId="77777777" w:rsidTr="000F60A7">
        <w:tc>
          <w:tcPr>
            <w:tcW w:w="9185" w:type="dxa"/>
            <w:gridSpan w:val="4"/>
            <w:shd w:val="clear" w:color="auto" w:fill="auto"/>
            <w:noWrap/>
            <w:vAlign w:val="center"/>
          </w:tcPr>
          <w:p w14:paraId="2520478E" w14:textId="5F9378AB" w:rsidR="000F60A7" w:rsidRDefault="000F60A7"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0F60A7" w:rsidRPr="00AD5C36" w14:paraId="1B931847" w14:textId="77777777" w:rsidTr="000F60A7">
        <w:trPr>
          <w:trHeight w:val="690"/>
        </w:trPr>
        <w:tc>
          <w:tcPr>
            <w:tcW w:w="3785" w:type="dxa"/>
            <w:shd w:val="clear" w:color="auto" w:fill="auto"/>
            <w:noWrap/>
            <w:vAlign w:val="center"/>
            <w:hideMark/>
          </w:tcPr>
          <w:p w14:paraId="1A243F89"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080" w:type="dxa"/>
            <w:shd w:val="clear" w:color="auto" w:fill="auto"/>
            <w:noWrap/>
            <w:vAlign w:val="center"/>
            <w:hideMark/>
          </w:tcPr>
          <w:p w14:paraId="4FD11FB6"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60E2E38D"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4BA5672" w14:textId="799EEC79"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14:paraId="255668A0" w14:textId="77777777" w:rsidTr="000F60A7">
        <w:trPr>
          <w:trHeight w:val="690"/>
        </w:trPr>
        <w:tc>
          <w:tcPr>
            <w:tcW w:w="3785" w:type="dxa"/>
            <w:shd w:val="clear" w:color="auto" w:fill="auto"/>
            <w:noWrap/>
            <w:vAlign w:val="center"/>
            <w:hideMark/>
          </w:tcPr>
          <w:p w14:paraId="75170C7E"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Pr>
                <w:rFonts w:ascii="Calibri" w:eastAsia="Times New Roman" w:hAnsi="Calibri" w:cs="Times New Roman"/>
                <w:color w:val="000000"/>
                <w:sz w:val="20"/>
                <w:szCs w:val="22"/>
              </w:rPr>
              <w:t xml:space="preserve"> (RDDS).   (present SLA is 98%)</w:t>
            </w:r>
          </w:p>
        </w:tc>
        <w:tc>
          <w:tcPr>
            <w:tcW w:w="1080" w:type="dxa"/>
            <w:shd w:val="clear" w:color="auto" w:fill="auto"/>
            <w:noWrap/>
            <w:vAlign w:val="center"/>
            <w:hideMark/>
          </w:tcPr>
          <w:p w14:paraId="7B68B850"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7760E810"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B73D244" w14:textId="7B409354"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4EE14687" w14:textId="77777777" w:rsidTr="000F60A7">
        <w:trPr>
          <w:trHeight w:val="690"/>
        </w:trPr>
        <w:tc>
          <w:tcPr>
            <w:tcW w:w="3785" w:type="dxa"/>
            <w:shd w:val="clear" w:color="auto" w:fill="auto"/>
            <w:noWrap/>
            <w:vAlign w:val="center"/>
            <w:hideMark/>
          </w:tcPr>
          <w:p w14:paraId="7EF88794" w14:textId="77777777" w:rsidR="000F60A7" w:rsidRPr="000812DC" w:rsidRDefault="000F60A7" w:rsidP="005F63A9">
            <w:pPr>
              <w:spacing w:before="60" w:after="60"/>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sidRPr="008571FE">
              <w:rPr>
                <w:rFonts w:ascii="Calibri" w:eastAsia="Times New Roman" w:hAnsi="Calibri" w:cs="Times New Roman"/>
                <w:bCs/>
                <w:color w:val="000000"/>
                <w:sz w:val="20"/>
                <w:szCs w:val="22"/>
              </w:rPr>
              <w:t>Extensible Provisioning Protocol</w:t>
            </w:r>
            <w:r>
              <w:rPr>
                <w:rFonts w:ascii="Calibri" w:eastAsia="Times New Roman" w:hAnsi="Calibri" w:cs="Times New Roman"/>
                <w:bCs/>
                <w:color w:val="000000"/>
                <w:sz w:val="20"/>
                <w:szCs w:val="22"/>
              </w:rPr>
              <w:t xml:space="preserve"> (EPP).  (present SLA is 98%)</w:t>
            </w:r>
          </w:p>
        </w:tc>
        <w:tc>
          <w:tcPr>
            <w:tcW w:w="1080" w:type="dxa"/>
            <w:shd w:val="clear" w:color="auto" w:fill="auto"/>
            <w:noWrap/>
            <w:vAlign w:val="center"/>
            <w:hideMark/>
          </w:tcPr>
          <w:p w14:paraId="2A66C804"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131CCFC3"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441403C4" w14:textId="5BB3930A"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14:paraId="3B4875C7" w14:textId="77777777" w:rsidTr="000F60A7">
        <w:trPr>
          <w:trHeight w:val="690"/>
        </w:trPr>
        <w:tc>
          <w:tcPr>
            <w:tcW w:w="3785" w:type="dxa"/>
            <w:shd w:val="clear" w:color="auto" w:fill="auto"/>
            <w:noWrap/>
            <w:vAlign w:val="center"/>
            <w:hideMark/>
          </w:tcPr>
          <w:p w14:paraId="335B7818"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Survey</w:t>
            </w:r>
            <w:r>
              <w:rPr>
                <w:rFonts w:ascii="Calibri" w:eastAsia="Times New Roman" w:hAnsi="Calibri" w:cs="Times New Roman"/>
                <w:color w:val="000000"/>
                <w:sz w:val="20"/>
                <w:szCs w:val="22"/>
              </w:rPr>
              <w:t xml:space="preserve"> of perceived consumer trust in DNS, relative to experiences before the gTLD expansion.  Survey could measure experiences with malware and spam; c</w:t>
            </w:r>
            <w:r w:rsidRPr="009F24F1">
              <w:rPr>
                <w:rFonts w:ascii="Calibri" w:eastAsia="Times New Roman" w:hAnsi="Calibri" w:cs="Times New Roman"/>
                <w:color w:val="000000"/>
                <w:sz w:val="20"/>
                <w:szCs w:val="22"/>
              </w:rPr>
              <w:t>onfusion</w:t>
            </w:r>
            <w:r>
              <w:rPr>
                <w:rFonts w:ascii="Calibri" w:eastAsia="Times New Roman" w:hAnsi="Calibri" w:cs="Times New Roman"/>
                <w:color w:val="000000"/>
                <w:sz w:val="20"/>
                <w:szCs w:val="22"/>
              </w:rPr>
              <w:t xml:space="preserve"> about new gTLDs; </w:t>
            </w:r>
            <w:r w:rsidRPr="009F24F1">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72903CD0"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14:paraId="68E46292" w14:textId="1D29027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May be difficult to gain consensus on survey questions.  Survey will cost approx. $100K.</w:t>
            </w:r>
          </w:p>
        </w:tc>
        <w:tc>
          <w:tcPr>
            <w:tcW w:w="1530" w:type="dxa"/>
            <w:shd w:val="clear" w:color="auto" w:fill="auto"/>
            <w:vAlign w:val="center"/>
          </w:tcPr>
          <w:p w14:paraId="2279F213" w14:textId="6438AE0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14:paraId="49D4667B" w14:textId="77777777" w:rsidTr="000F60A7">
        <w:trPr>
          <w:trHeight w:val="690"/>
        </w:trPr>
        <w:tc>
          <w:tcPr>
            <w:tcW w:w="3785" w:type="dxa"/>
            <w:shd w:val="clear" w:color="auto" w:fill="auto"/>
            <w:noWrap/>
            <w:vAlign w:val="center"/>
          </w:tcPr>
          <w:p w14:paraId="65DB39F1"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080" w:type="dxa"/>
            <w:shd w:val="clear" w:color="auto" w:fill="auto"/>
            <w:noWrap/>
            <w:vAlign w:val="center"/>
          </w:tcPr>
          <w:p w14:paraId="0DB73FF1" w14:textId="77777777"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14:paraId="3809BFC2" w14:textId="4C60E3C0"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14:paraId="4A1CB18E" w14:textId="1CA66F55"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5F63A9" w:rsidRPr="00AD5C36" w14:paraId="3654843C" w14:textId="77777777" w:rsidTr="005F63A9">
        <w:tc>
          <w:tcPr>
            <w:tcW w:w="9185" w:type="dxa"/>
            <w:gridSpan w:val="4"/>
            <w:shd w:val="clear" w:color="auto" w:fill="auto"/>
            <w:noWrap/>
            <w:vAlign w:val="center"/>
          </w:tcPr>
          <w:p w14:paraId="1BA2243A" w14:textId="4446AA55" w:rsidR="005F63A9" w:rsidRDefault="005F63A9" w:rsidP="005F63A9">
            <w:pPr>
              <w:spacing w:before="60" w:after="60"/>
              <w:rPr>
                <w:rFonts w:ascii="Calibri" w:eastAsia="Times New Roman" w:hAnsi="Calibri" w:cs="Times New Roman"/>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confidence that TLD operators are fulfilling promises and complying with ICANN policies and applicable national laws:</w:t>
            </w:r>
          </w:p>
        </w:tc>
      </w:tr>
      <w:tr w:rsidR="000F60A7" w:rsidRPr="00AD5C36" w14:paraId="6C9172E2" w14:textId="77777777" w:rsidTr="000F60A7">
        <w:trPr>
          <w:trHeight w:val="690"/>
        </w:trPr>
        <w:tc>
          <w:tcPr>
            <w:tcW w:w="3785" w:type="dxa"/>
            <w:shd w:val="clear" w:color="auto" w:fill="auto"/>
            <w:noWrap/>
            <w:vAlign w:val="center"/>
            <w:hideMark/>
          </w:tcPr>
          <w:p w14:paraId="7FD6564F"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w:t>
            </w:r>
            <w:r w:rsidRPr="00AD5C36">
              <w:rPr>
                <w:rFonts w:ascii="Calibri" w:eastAsia="Times New Roman" w:hAnsi="Calibri" w:cs="Times New Roman"/>
                <w:color w:val="000000"/>
                <w:sz w:val="20"/>
                <w:szCs w:val="22"/>
              </w:rPr>
              <w:t xml:space="preserve"> 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operators, for contract or policy compliance matters</w:t>
            </w:r>
          </w:p>
        </w:tc>
        <w:tc>
          <w:tcPr>
            <w:tcW w:w="1080" w:type="dxa"/>
            <w:shd w:val="clear" w:color="auto" w:fill="auto"/>
            <w:noWrap/>
            <w:vAlign w:val="center"/>
            <w:hideMark/>
          </w:tcPr>
          <w:p w14:paraId="30E96A7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309E0748"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05A6D6F7" w14:textId="38AF1AA5"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34E91D01" w14:textId="77777777" w:rsidTr="000F60A7">
        <w:trPr>
          <w:trHeight w:val="690"/>
        </w:trPr>
        <w:tc>
          <w:tcPr>
            <w:tcW w:w="3785" w:type="dxa"/>
            <w:shd w:val="clear" w:color="auto" w:fill="auto"/>
            <w:noWrap/>
            <w:vAlign w:val="center"/>
            <w:hideMark/>
          </w:tcPr>
          <w:p w14:paraId="22F127F0"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w:t>
            </w:r>
          </w:p>
        </w:tc>
        <w:tc>
          <w:tcPr>
            <w:tcW w:w="1080" w:type="dxa"/>
            <w:shd w:val="clear" w:color="auto" w:fill="auto"/>
            <w:noWrap/>
            <w:vAlign w:val="center"/>
            <w:hideMark/>
          </w:tcPr>
          <w:p w14:paraId="2329A76C"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14:paraId="01E404B9"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1008992D" w14:textId="398A18BE"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2F09A0C6" w14:textId="77777777" w:rsidTr="000F60A7">
        <w:trPr>
          <w:trHeight w:val="690"/>
        </w:trPr>
        <w:tc>
          <w:tcPr>
            <w:tcW w:w="3785" w:type="dxa"/>
            <w:shd w:val="clear" w:color="auto" w:fill="auto"/>
            <w:noWrap/>
            <w:vAlign w:val="center"/>
            <w:hideMark/>
          </w:tcPr>
          <w:p w14:paraId="6E0A780B" w14:textId="7034B7A3"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&amp; relative incidence of </w:t>
            </w:r>
            <w:r w:rsidRPr="00AD5C36">
              <w:rPr>
                <w:rFonts w:ascii="Calibri" w:eastAsia="Times New Roman" w:hAnsi="Calibri" w:cs="Times New Roman"/>
                <w:color w:val="000000"/>
                <w:sz w:val="20"/>
                <w:szCs w:val="22"/>
              </w:rPr>
              <w:t xml:space="preserve">UDRP </w:t>
            </w:r>
            <w:r w:rsidRPr="008571FE">
              <w:rPr>
                <w:rFonts w:ascii="Calibri" w:eastAsia="Times New Roman" w:hAnsi="Calibri" w:cs="Times New Roman"/>
                <w:i/>
                <w:color w:val="000000"/>
                <w:sz w:val="20"/>
                <w:szCs w:val="22"/>
              </w:rPr>
              <w:t>Complaints</w:t>
            </w:r>
            <w:r>
              <w:rPr>
                <w:rFonts w:ascii="Calibri" w:eastAsia="Times New Roman" w:hAnsi="Calibri" w:cs="Times New Roman"/>
                <w:color w:val="000000"/>
                <w:sz w:val="20"/>
                <w:szCs w:val="22"/>
              </w:rPr>
              <w:t>, before and after expansion</w:t>
            </w:r>
          </w:p>
        </w:tc>
        <w:tc>
          <w:tcPr>
            <w:tcW w:w="1080" w:type="dxa"/>
            <w:shd w:val="clear" w:color="auto" w:fill="auto"/>
            <w:noWrap/>
            <w:vAlign w:val="center"/>
            <w:hideMark/>
          </w:tcPr>
          <w:p w14:paraId="4A2DAB0D"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473B525C" w14:textId="1E380352"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5508008A" w14:textId="2395DC90"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366D12B0" w14:textId="77777777" w:rsidTr="000F60A7">
        <w:trPr>
          <w:trHeight w:val="690"/>
        </w:trPr>
        <w:tc>
          <w:tcPr>
            <w:tcW w:w="3785" w:type="dxa"/>
            <w:shd w:val="clear" w:color="auto" w:fill="auto"/>
            <w:noWrap/>
            <w:vAlign w:val="center"/>
            <w:hideMark/>
          </w:tcPr>
          <w:p w14:paraId="1F69A253" w14:textId="78F3BAC1"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 xml:space="preserve">UDRP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w:t>
            </w:r>
            <w:r>
              <w:rPr>
                <w:rFonts w:ascii="Calibri" w:eastAsia="Times New Roman" w:hAnsi="Calibri" w:cs="Times New Roman"/>
                <w:color w:val="000000"/>
                <w:sz w:val="20"/>
                <w:szCs w:val="22"/>
              </w:rPr>
              <w:t>, before and after expansion</w:t>
            </w:r>
          </w:p>
        </w:tc>
        <w:tc>
          <w:tcPr>
            <w:tcW w:w="1080" w:type="dxa"/>
            <w:shd w:val="clear" w:color="auto" w:fill="auto"/>
            <w:noWrap/>
            <w:vAlign w:val="center"/>
            <w:hideMark/>
          </w:tcPr>
          <w:p w14:paraId="4267F71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51ED942A" w14:textId="6EEE232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14:paraId="2980348F" w14:textId="49D3804B"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462444FE" w14:textId="77777777" w:rsidTr="000F60A7">
        <w:trPr>
          <w:trHeight w:val="690"/>
        </w:trPr>
        <w:tc>
          <w:tcPr>
            <w:tcW w:w="3785" w:type="dxa"/>
            <w:shd w:val="clear" w:color="auto" w:fill="auto"/>
            <w:noWrap/>
            <w:vAlign w:val="center"/>
            <w:hideMark/>
          </w:tcPr>
          <w:p w14:paraId="1172C16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 xml:space="preserve">Restrictions Dispute Resolutions Procedure (RRDRP) </w:t>
            </w:r>
          </w:p>
        </w:tc>
        <w:tc>
          <w:tcPr>
            <w:tcW w:w="1080" w:type="dxa"/>
            <w:shd w:val="clear" w:color="auto" w:fill="auto"/>
            <w:noWrap/>
            <w:vAlign w:val="center"/>
            <w:hideMark/>
          </w:tcPr>
          <w:p w14:paraId="1DD98013"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14:paraId="6C9B4969"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3C13294D" w14:textId="757FD621"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Any adverse decisions</w:t>
            </w:r>
          </w:p>
        </w:tc>
      </w:tr>
      <w:tr w:rsidR="000F60A7" w:rsidRPr="00AD5C36" w14:paraId="160D7D17" w14:textId="77777777" w:rsidTr="000F60A7">
        <w:trPr>
          <w:trHeight w:val="690"/>
        </w:trPr>
        <w:tc>
          <w:tcPr>
            <w:tcW w:w="3785" w:type="dxa"/>
            <w:shd w:val="clear" w:color="auto" w:fill="auto"/>
            <w:noWrap/>
            <w:vAlign w:val="center"/>
            <w:hideMark/>
          </w:tcPr>
          <w:p w14:paraId="78778BD4"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Complaints</w:t>
            </w:r>
          </w:p>
        </w:tc>
        <w:tc>
          <w:tcPr>
            <w:tcW w:w="1080" w:type="dxa"/>
            <w:shd w:val="clear" w:color="auto" w:fill="auto"/>
            <w:noWrap/>
            <w:vAlign w:val="center"/>
            <w:hideMark/>
          </w:tcPr>
          <w:p w14:paraId="2D3A486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1655B259" w14:textId="3175CDAB"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 Cannot compare with legacy gTLDs.</w:t>
            </w:r>
          </w:p>
        </w:tc>
        <w:tc>
          <w:tcPr>
            <w:tcW w:w="1530" w:type="dxa"/>
            <w:shd w:val="clear" w:color="auto" w:fill="auto"/>
            <w:vAlign w:val="center"/>
          </w:tcPr>
          <w:p w14:paraId="2FF99D1F" w14:textId="2BE7A342"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12521C15" w14:textId="77777777" w:rsidTr="000F60A7">
        <w:trPr>
          <w:trHeight w:val="690"/>
        </w:trPr>
        <w:tc>
          <w:tcPr>
            <w:tcW w:w="3785" w:type="dxa"/>
            <w:shd w:val="clear" w:color="auto" w:fill="auto"/>
            <w:noWrap/>
            <w:vAlign w:val="center"/>
            <w:hideMark/>
          </w:tcPr>
          <w:p w14:paraId="1E849221" w14:textId="444695F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Decisions</w:t>
            </w:r>
            <w:r>
              <w:rPr>
                <w:rFonts w:ascii="Calibri" w:eastAsia="Times New Roman" w:hAnsi="Calibri" w:cs="Times New Roman"/>
                <w:i/>
                <w:color w:val="000000"/>
                <w:sz w:val="20"/>
                <w:szCs w:val="22"/>
              </w:rPr>
              <w:t xml:space="preserve"> against registrant</w:t>
            </w:r>
          </w:p>
        </w:tc>
        <w:tc>
          <w:tcPr>
            <w:tcW w:w="1080" w:type="dxa"/>
            <w:shd w:val="clear" w:color="auto" w:fill="auto"/>
            <w:noWrap/>
            <w:vAlign w:val="center"/>
            <w:hideMark/>
          </w:tcPr>
          <w:p w14:paraId="450736AF"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14:paraId="6B53CD42" w14:textId="054664CE"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 Cannot compare with legacy gTLDs.</w:t>
            </w:r>
          </w:p>
        </w:tc>
        <w:tc>
          <w:tcPr>
            <w:tcW w:w="1530" w:type="dxa"/>
            <w:shd w:val="clear" w:color="auto" w:fill="auto"/>
            <w:vAlign w:val="center"/>
          </w:tcPr>
          <w:p w14:paraId="40C9A1D4" w14:textId="29A87995"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1A7EF119" w14:textId="77777777" w:rsidTr="000F60A7">
        <w:trPr>
          <w:trHeight w:val="690"/>
        </w:trPr>
        <w:tc>
          <w:tcPr>
            <w:tcW w:w="3785" w:type="dxa"/>
            <w:shd w:val="clear" w:color="auto" w:fill="auto"/>
            <w:noWrap/>
            <w:vAlign w:val="center"/>
            <w:hideMark/>
          </w:tcPr>
          <w:p w14:paraId="730C11D7"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AD5C3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14:paraId="2354AF9A"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14:paraId="6D140E75" w14:textId="6DFE4E2A"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14:paraId="02E15B79" w14:textId="0A5DB723"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0F60A7" w:rsidRPr="00AD5C36" w14:paraId="3111A779" w14:textId="77777777" w:rsidTr="000F60A7">
        <w:trPr>
          <w:trHeight w:val="690"/>
        </w:trPr>
        <w:tc>
          <w:tcPr>
            <w:tcW w:w="3785" w:type="dxa"/>
            <w:shd w:val="clear" w:color="auto" w:fill="auto"/>
            <w:noWrap/>
            <w:vAlign w:val="center"/>
            <w:hideMark/>
          </w:tcPr>
          <w:p w14:paraId="12F41225" w14:textId="77777777" w:rsidR="000F60A7" w:rsidRPr="00AD5C36" w:rsidRDefault="000F60A7" w:rsidP="005F63A9">
            <w:pPr>
              <w:spacing w:before="60" w:after="60"/>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p>
        </w:tc>
        <w:tc>
          <w:tcPr>
            <w:tcW w:w="1080" w:type="dxa"/>
            <w:shd w:val="clear" w:color="auto" w:fill="auto"/>
            <w:noWrap/>
            <w:vAlign w:val="center"/>
            <w:hideMark/>
          </w:tcPr>
          <w:p w14:paraId="1BD4A01E" w14:textId="77777777"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2790" w:type="dxa"/>
            <w:vAlign w:val="center"/>
          </w:tcPr>
          <w:p w14:paraId="60651004" w14:textId="6B1BA418"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470F4D34" w14:textId="357B908C"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9F24F1" w14:paraId="3D63FF0D" w14:textId="77777777" w:rsidTr="000F60A7">
        <w:trPr>
          <w:trHeight w:val="690"/>
        </w:trPr>
        <w:tc>
          <w:tcPr>
            <w:tcW w:w="3785" w:type="dxa"/>
            <w:shd w:val="clear" w:color="auto" w:fill="auto"/>
            <w:noWrap/>
            <w:vAlign w:val="center"/>
            <w:hideMark/>
          </w:tcPr>
          <w:p w14:paraId="0D528FCC" w14:textId="77777777" w:rsidR="000F60A7" w:rsidRPr="009F24F1" w:rsidRDefault="000F60A7" w:rsidP="005F63A9">
            <w:pPr>
              <w:spacing w:before="60" w:after="60"/>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"honeypot" email address in each new gTLD</w:t>
            </w:r>
          </w:p>
        </w:tc>
        <w:tc>
          <w:tcPr>
            <w:tcW w:w="1080" w:type="dxa"/>
            <w:shd w:val="clear" w:color="auto" w:fill="auto"/>
            <w:noWrap/>
            <w:vAlign w:val="center"/>
            <w:hideMark/>
          </w:tcPr>
          <w:p w14:paraId="40B9AF56" w14:textId="77777777" w:rsidR="000F60A7" w:rsidRPr="009F24F1"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SpamHaus</w:t>
            </w:r>
          </w:p>
        </w:tc>
        <w:tc>
          <w:tcPr>
            <w:tcW w:w="2790" w:type="dxa"/>
            <w:vAlign w:val="center"/>
          </w:tcPr>
          <w:p w14:paraId="2DF95A98"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E8848F7" w14:textId="20245C65" w:rsidR="000F60A7" w:rsidRPr="009F24F1"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57EAE611" w14:textId="77777777" w:rsidTr="000F60A7">
        <w:trPr>
          <w:trHeight w:val="690"/>
        </w:trPr>
        <w:tc>
          <w:tcPr>
            <w:tcW w:w="3785" w:type="dxa"/>
            <w:shd w:val="clear" w:color="auto" w:fill="auto"/>
            <w:noWrap/>
            <w:vAlign w:val="center"/>
            <w:hideMark/>
          </w:tcPr>
          <w:p w14:paraId="403C6EF6"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14:paraId="67D167CA"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172317FF"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6787984E" w14:textId="52155322"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08B918A1" w14:textId="77777777" w:rsidTr="000F60A7">
        <w:trPr>
          <w:trHeight w:val="690"/>
        </w:trPr>
        <w:tc>
          <w:tcPr>
            <w:tcW w:w="3785" w:type="dxa"/>
            <w:shd w:val="clear" w:color="auto" w:fill="auto"/>
            <w:noWrap/>
            <w:vAlign w:val="center"/>
            <w:hideMark/>
          </w:tcPr>
          <w:p w14:paraId="6988EC12"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14:paraId="562FEA2F"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w:t>
            </w:r>
          </w:p>
        </w:tc>
        <w:tc>
          <w:tcPr>
            <w:tcW w:w="2790" w:type="dxa"/>
            <w:vAlign w:val="center"/>
          </w:tcPr>
          <w:p w14:paraId="4624E319"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0737F4DB" w14:textId="385C408B"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2A2BF84D" w14:textId="77777777" w:rsidTr="000F60A7">
        <w:trPr>
          <w:trHeight w:val="690"/>
        </w:trPr>
        <w:tc>
          <w:tcPr>
            <w:tcW w:w="3785" w:type="dxa"/>
            <w:shd w:val="clear" w:color="auto" w:fill="auto"/>
            <w:noWrap/>
            <w:vAlign w:val="center"/>
            <w:hideMark/>
          </w:tcPr>
          <w:p w14:paraId="3FF28C44" w14:textId="77777777"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complaints regarding i</w:t>
            </w:r>
            <w:r w:rsidRPr="009F24F1">
              <w:rPr>
                <w:rFonts w:ascii="Calibri" w:eastAsia="Times New Roman" w:hAnsi="Calibri" w:cs="Times New Roman"/>
                <w:color w:val="000000"/>
                <w:sz w:val="20"/>
                <w:szCs w:val="22"/>
              </w:rPr>
              <w:t>naccurate, invalid, or suspect WHOIS records in new gTLD</w:t>
            </w:r>
          </w:p>
        </w:tc>
        <w:tc>
          <w:tcPr>
            <w:tcW w:w="1080" w:type="dxa"/>
            <w:shd w:val="clear" w:color="auto" w:fill="auto"/>
            <w:noWrap/>
            <w:vAlign w:val="center"/>
          </w:tcPr>
          <w:p w14:paraId="1109303D"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0FB120CD" w14:textId="77777777" w:rsidR="000F60A7" w:rsidRDefault="000F60A7"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88C51D4" w14:textId="1028FE51"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0F60A7" w:rsidRPr="00AD5C36" w14:paraId="44613865" w14:textId="77777777" w:rsidTr="000F60A7">
        <w:trPr>
          <w:trHeight w:val="690"/>
        </w:trPr>
        <w:tc>
          <w:tcPr>
            <w:tcW w:w="3785" w:type="dxa"/>
            <w:shd w:val="clear" w:color="auto" w:fill="auto"/>
            <w:noWrap/>
            <w:vAlign w:val="center"/>
            <w:hideMark/>
          </w:tcPr>
          <w:p w14:paraId="73E163FB" w14:textId="5E7B8815" w:rsidR="000F60A7" w:rsidRPr="00AD5C36"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 errors in</w:t>
            </w:r>
            <w:r w:rsidRPr="009F24F1">
              <w:rPr>
                <w:rFonts w:ascii="Calibri" w:eastAsia="Times New Roman" w:hAnsi="Calibri" w:cs="Times New Roman"/>
                <w:color w:val="000000"/>
                <w:sz w:val="20"/>
                <w:szCs w:val="22"/>
              </w:rPr>
              <w:t xml:space="preserve"> new gTLD zones (such as commas instead of dots, </w:t>
            </w:r>
            <w:r w:rsidR="005F63A9">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14:paraId="75F3862E" w14:textId="77777777"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63E14B8F" w14:textId="43CB88B1"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14:paraId="1A6F8C2C" w14:textId="194414DE"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7777777" w:rsidR="0059570B" w:rsidRDefault="0059570B">
      <w:pPr>
        <w:rPr>
          <w:rFonts w:ascii="Calibri" w:hAnsi="Calibri" w:cs="Calibri"/>
          <w:sz w:val="22"/>
          <w:szCs w:val="22"/>
        </w:rPr>
      </w:pPr>
      <w:r>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63D8BEB5" w14:textId="77777777" w:rsidR="00EB40C9" w:rsidRDefault="00EB40C9" w:rsidP="00EB40C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19079E50" w14:textId="77777777" w:rsidR="00AE2198" w:rsidRDefault="00AE2198" w:rsidP="00553269">
      <w:pPr>
        <w:widowControl w:val="0"/>
        <w:autoSpaceDE w:val="0"/>
        <w:autoSpaceDN w:val="0"/>
        <w:adjustRightInd w:val="0"/>
        <w:ind w:left="720"/>
        <w:rPr>
          <w:rFonts w:ascii="Calibri" w:hAnsi="Calibri" w:cs="Calibri"/>
          <w:b/>
          <w:sz w:val="22"/>
          <w:szCs w:val="22"/>
        </w:rPr>
      </w:pPr>
    </w:p>
    <w:p w14:paraId="0297D2B7"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6EF31F82" w14:textId="77777777" w:rsidTr="005F63A9">
        <w:trPr>
          <w:trHeight w:val="690"/>
          <w:tblHeader/>
        </w:trPr>
        <w:tc>
          <w:tcPr>
            <w:tcW w:w="3785" w:type="dxa"/>
            <w:shd w:val="clear" w:color="auto" w:fill="auto"/>
            <w:noWrap/>
            <w:vAlign w:val="center"/>
            <w:hideMark/>
          </w:tcPr>
          <w:p w14:paraId="4757F395" w14:textId="49A986C2"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14:paraId="1428787E"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6FA339AF" w14:textId="6C5979CF"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63E8EC74"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79C3FDF9"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5F63A9" w:rsidRPr="00AD5C36" w14:paraId="72FB231C" w14:textId="77777777" w:rsidTr="005F63A9">
        <w:trPr>
          <w:trHeight w:val="690"/>
        </w:trPr>
        <w:tc>
          <w:tcPr>
            <w:tcW w:w="3785" w:type="dxa"/>
            <w:shd w:val="clear" w:color="auto" w:fill="auto"/>
            <w:noWrap/>
            <w:vAlign w:val="center"/>
            <w:hideMark/>
          </w:tcPr>
          <w:p w14:paraId="55CAC0CA" w14:textId="62E050A0" w:rsidR="005F63A9" w:rsidRPr="00AD5C36" w:rsidRDefault="005F63A9"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Transparency </w:t>
            </w:r>
            <w:r>
              <w:rPr>
                <w:rFonts w:ascii="Calibri" w:eastAsia="Times New Roman" w:hAnsi="Calibri" w:cs="Times New Roman"/>
                <w:color w:val="000000"/>
                <w:sz w:val="20"/>
                <w:szCs w:val="22"/>
              </w:rPr>
              <w:t xml:space="preserve">and clarity </w:t>
            </w:r>
            <w:r w:rsidRPr="0084344C">
              <w:rPr>
                <w:rFonts w:ascii="Calibri" w:eastAsia="Times New Roman" w:hAnsi="Calibri" w:cs="Times New Roman"/>
                <w:color w:val="000000"/>
                <w:sz w:val="20"/>
                <w:szCs w:val="22"/>
              </w:rPr>
              <w:t xml:space="preserve">of </w:t>
            </w:r>
            <w:r>
              <w:rPr>
                <w:rFonts w:ascii="Calibri" w:eastAsia="Times New Roman" w:hAnsi="Calibri" w:cs="Times New Roman"/>
                <w:color w:val="000000"/>
                <w:sz w:val="20"/>
                <w:szCs w:val="22"/>
              </w:rPr>
              <w:t>gTLD registry benefits and restrictions, so that r</w:t>
            </w:r>
            <w:r w:rsidRPr="0084344C">
              <w:rPr>
                <w:rFonts w:ascii="Calibri" w:eastAsia="Times New Roman" w:hAnsi="Calibri" w:cs="Times New Roman"/>
                <w:color w:val="000000"/>
                <w:sz w:val="20"/>
                <w:szCs w:val="22"/>
              </w:rPr>
              <w:t>egistrant</w:t>
            </w:r>
            <w:r>
              <w:rPr>
                <w:rFonts w:ascii="Calibri" w:eastAsia="Times New Roman" w:hAnsi="Calibri" w:cs="Times New Roman"/>
                <w:color w:val="000000"/>
                <w:sz w:val="20"/>
                <w:szCs w:val="22"/>
              </w:rPr>
              <w:t>s and users</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can make meaningful distinctions and informed choices</w:t>
            </w:r>
          </w:p>
        </w:tc>
        <w:tc>
          <w:tcPr>
            <w:tcW w:w="1080" w:type="dxa"/>
            <w:shd w:val="clear" w:color="auto" w:fill="auto"/>
            <w:noWrap/>
            <w:vAlign w:val="center"/>
            <w:hideMark/>
          </w:tcPr>
          <w:p w14:paraId="5E52DCD7" w14:textId="744767CC" w:rsidR="005F63A9"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proposal and marketing info</w:t>
            </w:r>
          </w:p>
        </w:tc>
        <w:tc>
          <w:tcPr>
            <w:tcW w:w="2790" w:type="dxa"/>
            <w:vAlign w:val="center"/>
          </w:tcPr>
          <w:p w14:paraId="2BEF15C6" w14:textId="4526BEAA" w:rsidR="005F63A9" w:rsidRDefault="005F63A9"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w:t>
            </w:r>
            <w:r w:rsidR="00FD30ED">
              <w:rPr>
                <w:rFonts w:ascii="Calibri" w:eastAsia="Times New Roman" w:hAnsi="Calibri" w:cs="Times New Roman"/>
                <w:color w:val="000000"/>
                <w:sz w:val="20"/>
                <w:szCs w:val="22"/>
              </w:rPr>
              <w:t xml:space="preserve"> to define and measure</w:t>
            </w:r>
          </w:p>
        </w:tc>
        <w:tc>
          <w:tcPr>
            <w:tcW w:w="1530" w:type="dxa"/>
            <w:shd w:val="clear" w:color="auto" w:fill="auto"/>
            <w:vAlign w:val="center"/>
          </w:tcPr>
          <w:p w14:paraId="0E231577" w14:textId="2A58395C" w:rsidR="005F63A9" w:rsidRPr="00AD5C36" w:rsidRDefault="005F63A9" w:rsidP="005F63A9">
            <w:pPr>
              <w:spacing w:before="60" w:after="60"/>
              <w:jc w:val="center"/>
              <w:rPr>
                <w:rFonts w:ascii="Calibri" w:eastAsia="Times New Roman" w:hAnsi="Calibri" w:cs="Times New Roman"/>
                <w:color w:val="000000"/>
                <w:sz w:val="20"/>
                <w:szCs w:val="22"/>
              </w:rPr>
            </w:pPr>
          </w:p>
        </w:tc>
      </w:tr>
      <w:tr w:rsidR="005F63A9" w:rsidRPr="00AD5C36" w14:paraId="33C26556" w14:textId="77777777" w:rsidTr="005F63A9">
        <w:trPr>
          <w:trHeight w:val="690"/>
        </w:trPr>
        <w:tc>
          <w:tcPr>
            <w:tcW w:w="3785" w:type="dxa"/>
            <w:shd w:val="clear" w:color="auto" w:fill="auto"/>
            <w:noWrap/>
            <w:vAlign w:val="center"/>
          </w:tcPr>
          <w:p w14:paraId="3755E5C4" w14:textId="7B5375ED" w:rsidR="005F63A9" w:rsidRPr="0084344C" w:rsidRDefault="005F63A9"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84344C">
              <w:rPr>
                <w:rFonts w:ascii="Calibri" w:eastAsia="Times New Roman" w:hAnsi="Calibri" w:cs="Times New Roman"/>
                <w:color w:val="000000"/>
                <w:sz w:val="20"/>
                <w:szCs w:val="22"/>
              </w:rPr>
              <w:t>New Registrants vs. Existing Registrants</w:t>
            </w:r>
          </w:p>
        </w:tc>
        <w:tc>
          <w:tcPr>
            <w:tcW w:w="1080" w:type="dxa"/>
            <w:shd w:val="clear" w:color="auto" w:fill="auto"/>
            <w:noWrap/>
            <w:vAlign w:val="center"/>
          </w:tcPr>
          <w:p w14:paraId="755C63F8" w14:textId="5C199F4C" w:rsidR="005F63A9" w:rsidRPr="00AD5C36" w:rsidRDefault="00FD30ED" w:rsidP="00FD30ED">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74742424" w14:textId="30E8793C" w:rsidR="005F63A9" w:rsidRDefault="00FD30ED"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Need</w:t>
            </w:r>
            <w:r w:rsidR="005F63A9">
              <w:rPr>
                <w:rFonts w:ascii="Calibri" w:eastAsia="Times New Roman" w:hAnsi="Calibri" w:cs="Times New Roman"/>
                <w:color w:val="000000"/>
                <w:sz w:val="20"/>
                <w:szCs w:val="22"/>
              </w:rPr>
              <w:t xml:space="preserve"> to determine whether a new gTLD registrant </w:t>
            </w:r>
            <w:r>
              <w:rPr>
                <w:rFonts w:ascii="Calibri" w:eastAsia="Times New Roman" w:hAnsi="Calibri" w:cs="Times New Roman"/>
                <w:color w:val="000000"/>
                <w:sz w:val="20"/>
                <w:szCs w:val="22"/>
              </w:rPr>
              <w:t xml:space="preserve">already </w:t>
            </w:r>
            <w:r w:rsidR="005F63A9">
              <w:rPr>
                <w:rFonts w:ascii="Calibri" w:eastAsia="Times New Roman" w:hAnsi="Calibri" w:cs="Times New Roman"/>
                <w:color w:val="000000"/>
                <w:sz w:val="20"/>
                <w:szCs w:val="22"/>
              </w:rPr>
              <w:t xml:space="preserve">had </w:t>
            </w:r>
            <w:r>
              <w:rPr>
                <w:rFonts w:ascii="Calibri" w:eastAsia="Times New Roman" w:hAnsi="Calibri" w:cs="Times New Roman"/>
                <w:color w:val="000000"/>
                <w:sz w:val="20"/>
                <w:szCs w:val="22"/>
              </w:rPr>
              <w:t xml:space="preserve">domains </w:t>
            </w:r>
            <w:r w:rsidR="005F63A9">
              <w:rPr>
                <w:rFonts w:ascii="Calibri" w:eastAsia="Times New Roman" w:hAnsi="Calibri" w:cs="Times New Roman"/>
                <w:color w:val="000000"/>
                <w:sz w:val="20"/>
                <w:szCs w:val="22"/>
              </w:rPr>
              <w:t xml:space="preserve">in </w:t>
            </w:r>
            <w:r>
              <w:rPr>
                <w:rFonts w:ascii="Calibri" w:eastAsia="Times New Roman" w:hAnsi="Calibri" w:cs="Times New Roman"/>
                <w:color w:val="000000"/>
                <w:sz w:val="20"/>
                <w:szCs w:val="22"/>
              </w:rPr>
              <w:t xml:space="preserve">legacy </w:t>
            </w:r>
            <w:r w:rsidR="005F63A9">
              <w:rPr>
                <w:rFonts w:ascii="Calibri" w:eastAsia="Times New Roman" w:hAnsi="Calibri" w:cs="Times New Roman"/>
                <w:color w:val="000000"/>
                <w:sz w:val="20"/>
                <w:szCs w:val="22"/>
              </w:rPr>
              <w:t>gTLD</w:t>
            </w:r>
            <w:r>
              <w:rPr>
                <w:rFonts w:ascii="Calibri" w:eastAsia="Times New Roman" w:hAnsi="Calibri" w:cs="Times New Roman"/>
                <w:color w:val="000000"/>
                <w:sz w:val="20"/>
                <w:szCs w:val="22"/>
              </w:rPr>
              <w:t>s.</w:t>
            </w:r>
          </w:p>
        </w:tc>
        <w:tc>
          <w:tcPr>
            <w:tcW w:w="1530" w:type="dxa"/>
            <w:shd w:val="clear" w:color="auto" w:fill="auto"/>
            <w:vAlign w:val="center"/>
          </w:tcPr>
          <w:p w14:paraId="269B6D72" w14:textId="30C716D0" w:rsidR="005F63A9" w:rsidRPr="00AD5C36" w:rsidRDefault="005F63A9"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FD30ED" w:rsidRPr="00AD5C36" w14:paraId="21F52884" w14:textId="77777777" w:rsidTr="005F63A9">
        <w:trPr>
          <w:trHeight w:val="690"/>
        </w:trPr>
        <w:tc>
          <w:tcPr>
            <w:tcW w:w="3785" w:type="dxa"/>
            <w:shd w:val="clear" w:color="auto" w:fill="auto"/>
            <w:noWrap/>
            <w:vAlign w:val="center"/>
          </w:tcPr>
          <w:p w14:paraId="1B2F8FF3" w14:textId="33246693" w:rsidR="00FD30ED" w:rsidRPr="0084344C" w:rsidRDefault="00FD30ED"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Defensive Registrations</w:t>
            </w:r>
            <w:r>
              <w:rPr>
                <w:rFonts w:ascii="Calibri" w:eastAsia="Times New Roman" w:hAnsi="Calibri" w:cs="Times New Roman"/>
                <w:color w:val="000000"/>
                <w:sz w:val="20"/>
                <w:szCs w:val="22"/>
              </w:rPr>
              <w:t xml:space="preserve"> in new gTLDs, where “defensive” registrations are those where the new registration points to an existing website in a legacy gTLD.</w:t>
            </w:r>
          </w:p>
        </w:tc>
        <w:tc>
          <w:tcPr>
            <w:tcW w:w="1080" w:type="dxa"/>
            <w:shd w:val="clear" w:color="auto" w:fill="auto"/>
            <w:noWrap/>
            <w:vAlign w:val="center"/>
          </w:tcPr>
          <w:p w14:paraId="0AB222E4" w14:textId="07D80EB3" w:rsidR="00FD30ED"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EF12E7C" w14:textId="37DA4A19" w:rsidR="00FD30ED" w:rsidRDefault="00FD30ED"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Need to determine whether a new gTLD registrant already had the same domain in legacy gTLDs.</w:t>
            </w:r>
          </w:p>
        </w:tc>
        <w:tc>
          <w:tcPr>
            <w:tcW w:w="1530" w:type="dxa"/>
            <w:shd w:val="clear" w:color="auto" w:fill="auto"/>
            <w:vAlign w:val="center"/>
          </w:tcPr>
          <w:p w14:paraId="35914AF3" w14:textId="2785F0A8" w:rsidR="00FD30ED"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FD30ED" w:rsidRPr="00AD5C36" w14:paraId="687AA3C8" w14:textId="77777777" w:rsidTr="005F63A9">
        <w:trPr>
          <w:trHeight w:val="690"/>
        </w:trPr>
        <w:tc>
          <w:tcPr>
            <w:tcW w:w="3785" w:type="dxa"/>
            <w:shd w:val="clear" w:color="auto" w:fill="auto"/>
            <w:noWrap/>
            <w:vAlign w:val="center"/>
          </w:tcPr>
          <w:p w14:paraId="55201A6E" w14:textId="55BC866F" w:rsidR="00FD30ED" w:rsidRPr="0084344C" w:rsidRDefault="00FD30ED"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Registrant Choice among registrars &amp; registries subject to differing national laws</w:t>
            </w:r>
          </w:p>
        </w:tc>
        <w:tc>
          <w:tcPr>
            <w:tcW w:w="1080" w:type="dxa"/>
            <w:shd w:val="clear" w:color="auto" w:fill="auto"/>
            <w:noWrap/>
            <w:vAlign w:val="center"/>
          </w:tcPr>
          <w:p w14:paraId="4BA2DCEE" w14:textId="77777777" w:rsidR="00FD30ED" w:rsidRPr="00AD5C36" w:rsidRDefault="00FD30ED" w:rsidP="005F63A9">
            <w:pPr>
              <w:spacing w:before="60" w:after="60"/>
              <w:jc w:val="center"/>
              <w:rPr>
                <w:rFonts w:ascii="Calibri" w:eastAsia="Times New Roman" w:hAnsi="Calibri" w:cs="Times New Roman"/>
                <w:color w:val="000000"/>
                <w:sz w:val="20"/>
                <w:szCs w:val="22"/>
              </w:rPr>
            </w:pPr>
          </w:p>
        </w:tc>
        <w:tc>
          <w:tcPr>
            <w:tcW w:w="2790" w:type="dxa"/>
            <w:vAlign w:val="center"/>
          </w:tcPr>
          <w:p w14:paraId="420270AD" w14:textId="69E22179" w:rsidR="00FD30ED" w:rsidRDefault="00FD30ED"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need to assess diversity of national laws where Rr/Ry is based</w:t>
            </w:r>
          </w:p>
        </w:tc>
        <w:tc>
          <w:tcPr>
            <w:tcW w:w="1530" w:type="dxa"/>
            <w:shd w:val="clear" w:color="auto" w:fill="auto"/>
            <w:vAlign w:val="center"/>
          </w:tcPr>
          <w:p w14:paraId="72A96AFF" w14:textId="1D75FD4B" w:rsidR="00FD30ED"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of choices presented by new gTLDs</w:t>
            </w:r>
          </w:p>
        </w:tc>
      </w:tr>
      <w:tr w:rsidR="00FD30ED" w:rsidRPr="00AD5C36" w14:paraId="04DB3614" w14:textId="77777777" w:rsidTr="005F63A9">
        <w:trPr>
          <w:trHeight w:val="690"/>
        </w:trPr>
        <w:tc>
          <w:tcPr>
            <w:tcW w:w="3785" w:type="dxa"/>
            <w:shd w:val="clear" w:color="auto" w:fill="auto"/>
            <w:noWrap/>
            <w:vAlign w:val="center"/>
          </w:tcPr>
          <w:p w14:paraId="43EA2645" w14:textId="51634510" w:rsidR="00FD30ED" w:rsidRPr="0084344C" w:rsidRDefault="00FD30ED"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Statistical Measure of </w:t>
            </w:r>
            <w:r>
              <w:rPr>
                <w:rFonts w:ascii="Calibri" w:eastAsia="Times New Roman" w:hAnsi="Calibri" w:cs="Times New Roman"/>
                <w:color w:val="000000"/>
                <w:sz w:val="20"/>
                <w:szCs w:val="22"/>
              </w:rPr>
              <w:t xml:space="preserve">Geographic </w:t>
            </w:r>
            <w:r w:rsidRPr="0084344C">
              <w:rPr>
                <w:rFonts w:ascii="Calibri" w:eastAsia="Times New Roman" w:hAnsi="Calibri" w:cs="Times New Roman"/>
                <w:color w:val="000000"/>
                <w:sz w:val="20"/>
                <w:szCs w:val="22"/>
              </w:rPr>
              <w:t>Diversity</w:t>
            </w:r>
            <w:r>
              <w:rPr>
                <w:rFonts w:ascii="Calibri" w:eastAsia="Times New Roman" w:hAnsi="Calibri" w:cs="Times New Roman"/>
                <w:color w:val="000000"/>
                <w:sz w:val="20"/>
                <w:szCs w:val="22"/>
              </w:rPr>
              <w:t xml:space="preserve"> of registrants in new gTLDs</w:t>
            </w:r>
          </w:p>
        </w:tc>
        <w:tc>
          <w:tcPr>
            <w:tcW w:w="1080" w:type="dxa"/>
            <w:shd w:val="clear" w:color="auto" w:fill="auto"/>
            <w:noWrap/>
            <w:vAlign w:val="center"/>
          </w:tcPr>
          <w:p w14:paraId="08CAED27" w14:textId="571475FB" w:rsidR="00FD30ED"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vAlign w:val="center"/>
          </w:tcPr>
          <w:p w14:paraId="6BF89A9A" w14:textId="78F66645" w:rsidR="00FD30ED" w:rsidRDefault="00FD30ED"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Need a measure of geographic diversity</w:t>
            </w:r>
          </w:p>
        </w:tc>
        <w:tc>
          <w:tcPr>
            <w:tcW w:w="1530" w:type="dxa"/>
            <w:shd w:val="clear" w:color="auto" w:fill="auto"/>
            <w:vAlign w:val="center"/>
          </w:tcPr>
          <w:p w14:paraId="3B4FF0F2" w14:textId="5282F0F3" w:rsidR="00FD30ED" w:rsidRPr="00AD5C36" w:rsidRDefault="00FD30ED"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tc>
      </w:tr>
    </w:tbl>
    <w:p w14:paraId="29BA06D9" w14:textId="77777777" w:rsidR="005F63A9" w:rsidRDefault="005F63A9" w:rsidP="007D0AF0">
      <w:pPr>
        <w:widowControl w:val="0"/>
        <w:autoSpaceDE w:val="0"/>
        <w:autoSpaceDN w:val="0"/>
        <w:adjustRightInd w:val="0"/>
        <w:ind w:left="720"/>
        <w:rPr>
          <w:rFonts w:ascii="Calibri" w:hAnsi="Calibri" w:cs="Calibri"/>
          <w:sz w:val="22"/>
          <w:szCs w:val="22"/>
        </w:rPr>
      </w:pPr>
    </w:p>
    <w:p w14:paraId="60A57A76" w14:textId="77777777" w:rsidR="005F63A9" w:rsidRDefault="005F63A9" w:rsidP="007D0AF0">
      <w:pPr>
        <w:widowControl w:val="0"/>
        <w:autoSpaceDE w:val="0"/>
        <w:autoSpaceDN w:val="0"/>
        <w:adjustRightInd w:val="0"/>
        <w:ind w:left="720"/>
        <w:rPr>
          <w:rFonts w:ascii="Calibri" w:hAnsi="Calibri" w:cs="Calibri"/>
          <w:sz w:val="22"/>
          <w:szCs w:val="22"/>
        </w:rPr>
      </w:pPr>
    </w:p>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707160B9"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 xml:space="preserve">potential </w:t>
      </w:r>
      <w:r w:rsidR="00301602">
        <w:rPr>
          <w:rFonts w:ascii="Calibri" w:hAnsi="Calibri" w:cs="Calibri"/>
          <w:sz w:val="22"/>
          <w:szCs w:val="22"/>
        </w:rPr>
        <w:t xml:space="preserve">for market rivalry of </w:t>
      </w:r>
      <w:r w:rsidRPr="003611B7">
        <w:rPr>
          <w:rFonts w:ascii="Calibri" w:hAnsi="Calibri" w:cs="Calibri"/>
          <w:sz w:val="22"/>
          <w:szCs w:val="22"/>
        </w:rPr>
        <w:t>gTLDs,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4A455564" w14:textId="77777777" w:rsidR="0084344C" w:rsidRDefault="0084344C" w:rsidP="00553269">
      <w:pPr>
        <w:widowControl w:val="0"/>
        <w:autoSpaceDE w:val="0"/>
        <w:autoSpaceDN w:val="0"/>
        <w:adjustRightInd w:val="0"/>
        <w:rPr>
          <w:rFonts w:ascii="Calibri" w:hAnsi="Calibri" w:cs="Calibri"/>
          <w:sz w:val="22"/>
          <w:szCs w:val="22"/>
        </w:rPr>
      </w:pPr>
    </w:p>
    <w:p w14:paraId="0419667C" w14:textId="77777777"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14:paraId="3C7DFF2B" w14:textId="77777777" w:rsidTr="005F63A9">
        <w:trPr>
          <w:trHeight w:val="690"/>
          <w:tblHeader/>
        </w:trPr>
        <w:tc>
          <w:tcPr>
            <w:tcW w:w="3785" w:type="dxa"/>
            <w:shd w:val="clear" w:color="auto" w:fill="auto"/>
            <w:noWrap/>
            <w:vAlign w:val="center"/>
            <w:hideMark/>
          </w:tcPr>
          <w:p w14:paraId="09A5C97F" w14:textId="000F835A"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14:paraId="382FC4BC" w14:textId="77777777"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14:paraId="1B9B3199" w14:textId="3FA2E8DE"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bookmarkStart w:id="0" w:name="_GoBack"/>
            <w:bookmarkEnd w:id="0"/>
            <w:r>
              <w:rPr>
                <w:rFonts w:ascii="Calibri" w:eastAsia="Times New Roman" w:hAnsi="Calibri" w:cs="Times New Roman"/>
                <w:b/>
                <w:color w:val="000000"/>
                <w:sz w:val="20"/>
                <w:szCs w:val="22"/>
              </w:rPr>
              <w:t xml:space="preserve"> Reporting </w:t>
            </w:r>
          </w:p>
        </w:tc>
        <w:tc>
          <w:tcPr>
            <w:tcW w:w="1530" w:type="dxa"/>
            <w:shd w:val="clear" w:color="auto" w:fill="auto"/>
            <w:vAlign w:val="center"/>
          </w:tcPr>
          <w:p w14:paraId="2BCA7122" w14:textId="77777777"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1062E1D2" w14:textId="77777777"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6270" w:rsidRPr="00AD5C36" w14:paraId="3989A398" w14:textId="77777777" w:rsidTr="005F63A9">
        <w:trPr>
          <w:trHeight w:val="690"/>
        </w:trPr>
        <w:tc>
          <w:tcPr>
            <w:tcW w:w="3785" w:type="dxa"/>
            <w:shd w:val="clear" w:color="auto" w:fill="auto"/>
            <w:noWrap/>
            <w:vAlign w:val="center"/>
            <w:hideMark/>
          </w:tcPr>
          <w:p w14:paraId="19C8F2FE" w14:textId="421CB5FF"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Pr="0084344C">
              <w:rPr>
                <w:rFonts w:ascii="Calibri" w:eastAsia="Times New Roman" w:hAnsi="Calibri" w:cs="Times New Roman"/>
                <w:color w:val="000000"/>
                <w:sz w:val="20"/>
                <w:szCs w:val="22"/>
              </w:rPr>
              <w:t xml:space="preserve">gTLDs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4D1EAEF3" w14:textId="627ECC1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2D2A6E5B"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4FD856E0" w14:textId="42578B04"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056270" w:rsidRPr="00AD5C36" w14:paraId="5B0B3AB8" w14:textId="77777777" w:rsidTr="005F63A9">
        <w:trPr>
          <w:trHeight w:val="690"/>
        </w:trPr>
        <w:tc>
          <w:tcPr>
            <w:tcW w:w="3785" w:type="dxa"/>
            <w:shd w:val="clear" w:color="auto" w:fill="auto"/>
            <w:noWrap/>
            <w:vAlign w:val="center"/>
            <w:hideMark/>
          </w:tcPr>
          <w:p w14:paraId="7055DE59" w14:textId="0BEF18C0"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w:t>
            </w:r>
            <w:r w:rsidRPr="0084344C">
              <w:rPr>
                <w:rFonts w:ascii="Calibri" w:eastAsia="Times New Roman" w:hAnsi="Calibri" w:cs="Times New Roman"/>
                <w:color w:val="000000"/>
                <w:sz w:val="20"/>
                <w:szCs w:val="22"/>
              </w:rPr>
              <w:t xml:space="preserve">Registry Operators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93FFE42" w14:textId="2B4E667A"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170A029F"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76133CAA" w14:textId="0E58EDF3"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056270" w:rsidRPr="00AD5C36" w14:paraId="0C160527" w14:textId="77777777" w:rsidTr="005F63A9">
        <w:trPr>
          <w:trHeight w:val="690"/>
        </w:trPr>
        <w:tc>
          <w:tcPr>
            <w:tcW w:w="3785" w:type="dxa"/>
            <w:shd w:val="clear" w:color="auto" w:fill="auto"/>
            <w:noWrap/>
            <w:vAlign w:val="center"/>
            <w:hideMark/>
          </w:tcPr>
          <w:p w14:paraId="58D89383" w14:textId="4C6087EE"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Registry Service Providers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079FED4C" w14:textId="2E4B9F69"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and Ry Operators</w:t>
            </w:r>
          </w:p>
        </w:tc>
        <w:tc>
          <w:tcPr>
            <w:tcW w:w="2790" w:type="dxa"/>
            <w:vAlign w:val="center"/>
          </w:tcPr>
          <w:p w14:paraId="1D5F34E2" w14:textId="2BE127E6" w:rsidR="00056270" w:rsidRDefault="0005627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w:t>
            </w:r>
          </w:p>
        </w:tc>
        <w:tc>
          <w:tcPr>
            <w:tcW w:w="1530" w:type="dxa"/>
            <w:shd w:val="clear" w:color="auto" w:fill="auto"/>
            <w:vAlign w:val="center"/>
          </w:tcPr>
          <w:p w14:paraId="687C8563" w14:textId="6D359D4B"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056270" w:rsidRPr="00AD5C36" w14:paraId="77812449" w14:textId="77777777" w:rsidTr="005F63A9">
        <w:trPr>
          <w:trHeight w:val="690"/>
        </w:trPr>
        <w:tc>
          <w:tcPr>
            <w:tcW w:w="3785" w:type="dxa"/>
            <w:shd w:val="clear" w:color="auto" w:fill="auto"/>
            <w:noWrap/>
            <w:vAlign w:val="center"/>
            <w:hideMark/>
          </w:tcPr>
          <w:p w14:paraId="43D06902" w14:textId="651B3589" w:rsidR="00056270" w:rsidRPr="00AD5C36" w:rsidRDefault="00056270"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Pr>
                <w:rFonts w:ascii="Calibri" w:eastAsia="Times New Roman" w:hAnsi="Calibri" w:cs="Times New Roman"/>
                <w:color w:val="000000"/>
                <w:sz w:val="20"/>
                <w:szCs w:val="22"/>
              </w:rPr>
              <w:t>before and after expansion</w:t>
            </w:r>
          </w:p>
        </w:tc>
        <w:tc>
          <w:tcPr>
            <w:tcW w:w="1080" w:type="dxa"/>
            <w:shd w:val="clear" w:color="auto" w:fill="auto"/>
            <w:noWrap/>
            <w:vAlign w:val="center"/>
            <w:hideMark/>
          </w:tcPr>
          <w:p w14:paraId="2D594247" w14:textId="5FE1A947"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14:paraId="54505B62" w14:textId="77777777" w:rsidR="00056270" w:rsidRDefault="00056270" w:rsidP="005F63A9">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29CEA448" w14:textId="327C9738"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DB3F97" w:rsidRPr="00AD5C36" w14:paraId="55ABA3E3" w14:textId="77777777" w:rsidTr="005F63A9">
        <w:trPr>
          <w:trHeight w:val="690"/>
        </w:trPr>
        <w:tc>
          <w:tcPr>
            <w:tcW w:w="3785" w:type="dxa"/>
            <w:shd w:val="clear" w:color="auto" w:fill="auto"/>
            <w:noWrap/>
            <w:vAlign w:val="center"/>
            <w:hideMark/>
          </w:tcPr>
          <w:p w14:paraId="305A0553" w14:textId="0CA0F6FA" w:rsidR="00DB3F97" w:rsidRPr="00AD5C36" w:rsidRDefault="00DB3F97" w:rsidP="00DB3F9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of </w:t>
            </w:r>
            <w:r w:rsidRPr="00DB3F97">
              <w:rPr>
                <w:rFonts w:ascii="Calibri" w:eastAsia="Times New Roman" w:hAnsi="Calibri" w:cs="Times New Roman"/>
                <w:i/>
                <w:color w:val="000000"/>
                <w:sz w:val="20"/>
                <w:szCs w:val="22"/>
              </w:rPr>
              <w:t>new</w:t>
            </w:r>
            <w:r>
              <w:rPr>
                <w:rFonts w:ascii="Calibri" w:eastAsia="Times New Roman" w:hAnsi="Calibri" w:cs="Times New Roman"/>
                <w:color w:val="000000"/>
                <w:sz w:val="20"/>
                <w:szCs w:val="22"/>
              </w:rPr>
              <w:t xml:space="preserve"> registrations (after 2011) that are in gTLDs operated by new e</w:t>
            </w:r>
            <w:r w:rsidRPr="0084344C">
              <w:rPr>
                <w:rFonts w:ascii="Calibri" w:eastAsia="Times New Roman" w:hAnsi="Calibri" w:cs="Times New Roman"/>
                <w:color w:val="000000"/>
                <w:sz w:val="20"/>
                <w:szCs w:val="22"/>
              </w:rPr>
              <w:t>ntr</w:t>
            </w:r>
            <w:r>
              <w:rPr>
                <w:rFonts w:ascii="Calibri" w:eastAsia="Times New Roman" w:hAnsi="Calibri" w:cs="Times New Roman"/>
                <w:color w:val="000000"/>
                <w:sz w:val="20"/>
                <w:szCs w:val="22"/>
              </w:rPr>
              <w:t xml:space="preserve">ants </w:t>
            </w:r>
          </w:p>
        </w:tc>
        <w:tc>
          <w:tcPr>
            <w:tcW w:w="1080" w:type="dxa"/>
            <w:shd w:val="clear" w:color="auto" w:fill="auto"/>
            <w:noWrap/>
            <w:vAlign w:val="center"/>
            <w:hideMark/>
          </w:tcPr>
          <w:p w14:paraId="088AFDEC" w14:textId="162F7D5C"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Registrars</w:t>
            </w:r>
          </w:p>
        </w:tc>
        <w:tc>
          <w:tcPr>
            <w:tcW w:w="2790" w:type="dxa"/>
            <w:vAlign w:val="center"/>
          </w:tcPr>
          <w:p w14:paraId="573C061F" w14:textId="0FB7F377"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Need to define and capture </w:t>
            </w:r>
            <w:r w:rsidRPr="00DB3F97">
              <w:rPr>
                <w:rFonts w:ascii="Calibri" w:eastAsia="Times New Roman" w:hAnsi="Calibri" w:cs="Times New Roman"/>
                <w:i/>
                <w:color w:val="000000"/>
                <w:sz w:val="20"/>
                <w:szCs w:val="22"/>
              </w:rPr>
              <w:t>new</w:t>
            </w:r>
            <w:r>
              <w:rPr>
                <w:rFonts w:ascii="Calibri" w:eastAsia="Times New Roman" w:hAnsi="Calibri" w:cs="Times New Roman"/>
                <w:color w:val="000000"/>
                <w:sz w:val="20"/>
                <w:szCs w:val="22"/>
              </w:rPr>
              <w:t xml:space="preserve"> registrations</w:t>
            </w:r>
          </w:p>
        </w:tc>
        <w:tc>
          <w:tcPr>
            <w:tcW w:w="1530" w:type="dxa"/>
            <w:shd w:val="clear" w:color="auto" w:fill="auto"/>
            <w:vAlign w:val="center"/>
          </w:tcPr>
          <w:p w14:paraId="34C3C6BA" w14:textId="64226E62"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&gt; X %</w:t>
            </w:r>
          </w:p>
        </w:tc>
      </w:tr>
      <w:tr w:rsidR="00DB3F97" w:rsidRPr="00AD5C36" w14:paraId="63CEC49B" w14:textId="77777777" w:rsidTr="005F63A9">
        <w:trPr>
          <w:trHeight w:val="690"/>
        </w:trPr>
        <w:tc>
          <w:tcPr>
            <w:tcW w:w="3785" w:type="dxa"/>
            <w:shd w:val="clear" w:color="auto" w:fill="auto"/>
            <w:noWrap/>
            <w:vAlign w:val="center"/>
            <w:hideMark/>
          </w:tcPr>
          <w:p w14:paraId="34BB1EE5" w14:textId="256430FC" w:rsidR="00DB3F97" w:rsidRPr="00AD5C36" w:rsidRDefault="00DB3F97" w:rsidP="00DB3F9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of </w:t>
            </w:r>
            <w:r w:rsidRPr="00DB3F97">
              <w:rPr>
                <w:rFonts w:ascii="Calibri" w:eastAsia="Times New Roman" w:hAnsi="Calibri" w:cs="Times New Roman"/>
                <w:i/>
                <w:color w:val="000000"/>
                <w:sz w:val="20"/>
                <w:szCs w:val="22"/>
              </w:rPr>
              <w:t>all</w:t>
            </w:r>
            <w:r>
              <w:rPr>
                <w:rFonts w:ascii="Calibri" w:eastAsia="Times New Roman" w:hAnsi="Calibri" w:cs="Times New Roman"/>
                <w:color w:val="000000"/>
                <w:sz w:val="20"/>
                <w:szCs w:val="22"/>
              </w:rPr>
              <w:t xml:space="preserve"> registrations (after 2011) that are in gTLDs operated by new e</w:t>
            </w:r>
            <w:r w:rsidRPr="0084344C">
              <w:rPr>
                <w:rFonts w:ascii="Calibri" w:eastAsia="Times New Roman" w:hAnsi="Calibri" w:cs="Times New Roman"/>
                <w:color w:val="000000"/>
                <w:sz w:val="20"/>
                <w:szCs w:val="22"/>
              </w:rPr>
              <w:t>ntr</w:t>
            </w:r>
            <w:r>
              <w:rPr>
                <w:rFonts w:ascii="Calibri" w:eastAsia="Times New Roman" w:hAnsi="Calibri" w:cs="Times New Roman"/>
                <w:color w:val="000000"/>
                <w:sz w:val="20"/>
                <w:szCs w:val="22"/>
              </w:rPr>
              <w:t xml:space="preserve">ants </w:t>
            </w:r>
          </w:p>
        </w:tc>
        <w:tc>
          <w:tcPr>
            <w:tcW w:w="1080" w:type="dxa"/>
            <w:shd w:val="clear" w:color="auto" w:fill="auto"/>
            <w:noWrap/>
            <w:vAlign w:val="center"/>
            <w:hideMark/>
          </w:tcPr>
          <w:p w14:paraId="099D1275" w14:textId="6037B03F"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Registrars</w:t>
            </w:r>
          </w:p>
        </w:tc>
        <w:tc>
          <w:tcPr>
            <w:tcW w:w="2790" w:type="dxa"/>
            <w:vAlign w:val="center"/>
          </w:tcPr>
          <w:p w14:paraId="69D9CF1E" w14:textId="6D25A1F1"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Need to define and capture </w:t>
            </w:r>
            <w:r w:rsidRPr="00DB3F97">
              <w:rPr>
                <w:rFonts w:ascii="Calibri" w:eastAsia="Times New Roman" w:hAnsi="Calibri" w:cs="Times New Roman"/>
                <w:i/>
                <w:color w:val="000000"/>
                <w:sz w:val="20"/>
                <w:szCs w:val="22"/>
              </w:rPr>
              <w:t>new</w:t>
            </w:r>
            <w:r>
              <w:rPr>
                <w:rFonts w:ascii="Calibri" w:eastAsia="Times New Roman" w:hAnsi="Calibri" w:cs="Times New Roman"/>
                <w:color w:val="000000"/>
                <w:sz w:val="20"/>
                <w:szCs w:val="22"/>
              </w:rPr>
              <w:t xml:space="preserve"> registrations</w:t>
            </w:r>
          </w:p>
        </w:tc>
        <w:tc>
          <w:tcPr>
            <w:tcW w:w="1530" w:type="dxa"/>
            <w:shd w:val="clear" w:color="auto" w:fill="auto"/>
            <w:vAlign w:val="center"/>
          </w:tcPr>
          <w:p w14:paraId="63EBB013" w14:textId="53B027AF"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&gt; X %</w:t>
            </w:r>
          </w:p>
        </w:tc>
      </w:tr>
      <w:tr w:rsidR="00DB3F97" w:rsidRPr="00AD5C36" w14:paraId="32DE489E" w14:textId="77777777" w:rsidTr="005F63A9">
        <w:trPr>
          <w:trHeight w:val="690"/>
        </w:trPr>
        <w:tc>
          <w:tcPr>
            <w:tcW w:w="3785" w:type="dxa"/>
            <w:shd w:val="clear" w:color="auto" w:fill="auto"/>
            <w:noWrap/>
            <w:vAlign w:val="center"/>
            <w:hideMark/>
          </w:tcPr>
          <w:p w14:paraId="0E596A3E" w14:textId="158A1E6B" w:rsidR="00DB3F97" w:rsidRPr="00AD5C36" w:rsidRDefault="00DB3F97"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Wholesale price of domains offered per Registry</w:t>
            </w:r>
          </w:p>
        </w:tc>
        <w:tc>
          <w:tcPr>
            <w:tcW w:w="1080" w:type="dxa"/>
            <w:shd w:val="clear" w:color="auto" w:fill="auto"/>
            <w:noWrap/>
            <w:vAlign w:val="center"/>
            <w:hideMark/>
          </w:tcPr>
          <w:p w14:paraId="174D90A3" w14:textId="6EBD9D66"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15B274F7" w14:textId="48654208"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w:t>
            </w:r>
          </w:p>
        </w:tc>
        <w:tc>
          <w:tcPr>
            <w:tcW w:w="1530" w:type="dxa"/>
            <w:shd w:val="clear" w:color="auto" w:fill="auto"/>
            <w:vAlign w:val="center"/>
          </w:tcPr>
          <w:p w14:paraId="7A3DE099" w14:textId="275F46D2"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Avg price lower than legacy gTLDs</w:t>
            </w:r>
          </w:p>
        </w:tc>
      </w:tr>
      <w:tr w:rsidR="00DB3F97" w:rsidRPr="00AD5C36" w14:paraId="27993A49" w14:textId="77777777" w:rsidTr="005F63A9">
        <w:trPr>
          <w:trHeight w:val="690"/>
        </w:trPr>
        <w:tc>
          <w:tcPr>
            <w:tcW w:w="3785" w:type="dxa"/>
            <w:shd w:val="clear" w:color="auto" w:fill="auto"/>
            <w:noWrap/>
            <w:vAlign w:val="center"/>
            <w:hideMark/>
          </w:tcPr>
          <w:p w14:paraId="149492C5" w14:textId="38BCF66A" w:rsidR="00DB3F97" w:rsidRPr="00AD5C36" w:rsidRDefault="00DB3F97"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Retail price of domains</w:t>
            </w:r>
          </w:p>
        </w:tc>
        <w:tc>
          <w:tcPr>
            <w:tcW w:w="1080" w:type="dxa"/>
            <w:shd w:val="clear" w:color="auto" w:fill="auto"/>
            <w:noWrap/>
            <w:vAlign w:val="center"/>
            <w:hideMark/>
          </w:tcPr>
          <w:p w14:paraId="22CF39FA" w14:textId="0D09E42E"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 and Registrars</w:t>
            </w:r>
          </w:p>
        </w:tc>
        <w:tc>
          <w:tcPr>
            <w:tcW w:w="2790" w:type="dxa"/>
            <w:vAlign w:val="center"/>
          </w:tcPr>
          <w:p w14:paraId="02EFFE52" w14:textId="3FEAA240"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w:t>
            </w:r>
          </w:p>
        </w:tc>
        <w:tc>
          <w:tcPr>
            <w:tcW w:w="1530" w:type="dxa"/>
            <w:shd w:val="clear" w:color="auto" w:fill="auto"/>
            <w:vAlign w:val="center"/>
          </w:tcPr>
          <w:p w14:paraId="4BFC42BD" w14:textId="0FA43B6B"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Avg price lower than legacy gTLDs</w:t>
            </w:r>
          </w:p>
        </w:tc>
      </w:tr>
      <w:tr w:rsidR="00DB3F97" w:rsidRPr="00AD5C36" w14:paraId="45C4BEF5" w14:textId="77777777" w:rsidTr="005F63A9">
        <w:trPr>
          <w:trHeight w:val="690"/>
        </w:trPr>
        <w:tc>
          <w:tcPr>
            <w:tcW w:w="3785" w:type="dxa"/>
            <w:shd w:val="clear" w:color="auto" w:fill="auto"/>
            <w:noWrap/>
            <w:vAlign w:val="center"/>
            <w:hideMark/>
          </w:tcPr>
          <w:p w14:paraId="3C5DC309" w14:textId="3140CC61" w:rsidR="00DB3F97" w:rsidRPr="00AD5C36" w:rsidRDefault="00DB3F97"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(Premium)</w:t>
            </w:r>
          </w:p>
        </w:tc>
        <w:tc>
          <w:tcPr>
            <w:tcW w:w="1080" w:type="dxa"/>
            <w:shd w:val="clear" w:color="auto" w:fill="auto"/>
            <w:noWrap/>
            <w:vAlign w:val="center"/>
            <w:hideMark/>
          </w:tcPr>
          <w:p w14:paraId="740FF2CE" w14:textId="4E9FB307" w:rsidR="00DB3F97" w:rsidRPr="00AD5C36" w:rsidRDefault="00DB3F9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22E2AE11" w14:textId="3BECABF5" w:rsidR="00DB3F97" w:rsidRDefault="00DB3F9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w:t>
            </w:r>
          </w:p>
        </w:tc>
        <w:tc>
          <w:tcPr>
            <w:tcW w:w="1530" w:type="dxa"/>
            <w:shd w:val="clear" w:color="auto" w:fill="auto"/>
            <w:vAlign w:val="center"/>
          </w:tcPr>
          <w:p w14:paraId="6D3C84EF" w14:textId="77777777" w:rsidR="00DB3F97" w:rsidRPr="00AD5C36" w:rsidRDefault="00DB3F97" w:rsidP="005F63A9">
            <w:pPr>
              <w:spacing w:before="60" w:after="60"/>
              <w:jc w:val="center"/>
              <w:rPr>
                <w:rFonts w:ascii="Calibri" w:eastAsia="Times New Roman" w:hAnsi="Calibri" w:cs="Times New Roman"/>
                <w:color w:val="000000"/>
                <w:sz w:val="20"/>
                <w:szCs w:val="22"/>
              </w:rPr>
            </w:pPr>
          </w:p>
        </w:tc>
      </w:tr>
      <w:tr w:rsidR="00DB3F97" w:rsidRPr="00AD5C36" w14:paraId="62F64F42" w14:textId="77777777" w:rsidTr="00DB3F97">
        <w:trPr>
          <w:trHeight w:val="690"/>
        </w:trPr>
        <w:tc>
          <w:tcPr>
            <w:tcW w:w="3785" w:type="dxa"/>
            <w:shd w:val="clear" w:color="auto" w:fill="auto"/>
            <w:noWrap/>
            <w:vAlign w:val="center"/>
            <w:hideMark/>
          </w:tcPr>
          <w:p w14:paraId="39F4225F" w14:textId="77777777" w:rsidR="00DB3F97" w:rsidRPr="00AD5C36" w:rsidRDefault="00DB3F97" w:rsidP="00DB3F97">
            <w:pPr>
              <w:spacing w:before="60" w:after="60"/>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(Non-Premium)</w:t>
            </w:r>
          </w:p>
        </w:tc>
        <w:tc>
          <w:tcPr>
            <w:tcW w:w="1080" w:type="dxa"/>
            <w:shd w:val="clear" w:color="auto" w:fill="auto"/>
            <w:noWrap/>
            <w:vAlign w:val="center"/>
            <w:hideMark/>
          </w:tcPr>
          <w:p w14:paraId="65D76419" w14:textId="20F8FF9D" w:rsidR="00DB3F97" w:rsidRPr="00AD5C36" w:rsidRDefault="00DB3F97" w:rsidP="00DB3F9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1328037A" w14:textId="4B926006" w:rsidR="00DB3F97" w:rsidRDefault="00DB3F97"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and report.  </w:t>
            </w:r>
          </w:p>
        </w:tc>
        <w:tc>
          <w:tcPr>
            <w:tcW w:w="1530" w:type="dxa"/>
            <w:shd w:val="clear" w:color="auto" w:fill="auto"/>
            <w:vAlign w:val="center"/>
          </w:tcPr>
          <w:p w14:paraId="011A247C" w14:textId="77777777" w:rsidR="00DB3F97" w:rsidRPr="00AD5C36" w:rsidRDefault="00DB3F97" w:rsidP="00DB3F97">
            <w:pPr>
              <w:spacing w:before="60" w:after="60"/>
              <w:jc w:val="center"/>
              <w:rPr>
                <w:rFonts w:ascii="Calibri" w:eastAsia="Times New Roman" w:hAnsi="Calibri" w:cs="Times New Roman"/>
                <w:color w:val="000000"/>
                <w:sz w:val="20"/>
                <w:szCs w:val="22"/>
              </w:rPr>
            </w:pPr>
          </w:p>
        </w:tc>
      </w:tr>
      <w:tr w:rsidR="00DB3F97" w:rsidRPr="00AD5C36" w14:paraId="0A6A6C62" w14:textId="77777777" w:rsidTr="00DB3F97">
        <w:trPr>
          <w:trHeight w:val="690"/>
        </w:trPr>
        <w:tc>
          <w:tcPr>
            <w:tcW w:w="3785" w:type="dxa"/>
            <w:shd w:val="clear" w:color="auto" w:fill="auto"/>
            <w:noWrap/>
            <w:vAlign w:val="center"/>
            <w:hideMark/>
          </w:tcPr>
          <w:p w14:paraId="6BC19FEA" w14:textId="7A6FDBB6" w:rsidR="00DB3F97" w:rsidRPr="00AD5C36" w:rsidRDefault="00DB3F97" w:rsidP="00DB3F9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Cost to permanently block registration of a domain (e.g. ICM Sunrise for .xxx)</w:t>
            </w:r>
          </w:p>
        </w:tc>
        <w:tc>
          <w:tcPr>
            <w:tcW w:w="1080" w:type="dxa"/>
            <w:shd w:val="clear" w:color="auto" w:fill="auto"/>
            <w:noWrap/>
            <w:vAlign w:val="center"/>
            <w:hideMark/>
          </w:tcPr>
          <w:p w14:paraId="7E20B51D" w14:textId="304CD40B" w:rsidR="00DB3F97" w:rsidRPr="00AD5C36" w:rsidRDefault="00DB3F97" w:rsidP="00DB3F9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Registries</w:t>
            </w:r>
          </w:p>
        </w:tc>
        <w:tc>
          <w:tcPr>
            <w:tcW w:w="2790" w:type="dxa"/>
            <w:vAlign w:val="center"/>
          </w:tcPr>
          <w:p w14:paraId="47D102F6" w14:textId="77777777" w:rsidR="00DB3F97" w:rsidRDefault="00DB3F97" w:rsidP="00DB3F97">
            <w:pPr>
              <w:spacing w:before="60" w:after="60"/>
              <w:rPr>
                <w:rFonts w:ascii="Calibri" w:eastAsia="Times New Roman" w:hAnsi="Calibri" w:cs="Times New Roman"/>
                <w:color w:val="000000"/>
                <w:sz w:val="20"/>
                <w:szCs w:val="22"/>
              </w:rPr>
            </w:pPr>
          </w:p>
        </w:tc>
        <w:tc>
          <w:tcPr>
            <w:tcW w:w="1530" w:type="dxa"/>
            <w:shd w:val="clear" w:color="auto" w:fill="auto"/>
            <w:vAlign w:val="center"/>
          </w:tcPr>
          <w:p w14:paraId="386B60B9" w14:textId="77777777" w:rsidR="00DB3F97" w:rsidRPr="00AD5C36" w:rsidRDefault="00DB3F97" w:rsidP="00DB3F97">
            <w:pPr>
              <w:spacing w:before="60" w:after="60"/>
              <w:jc w:val="center"/>
              <w:rPr>
                <w:rFonts w:ascii="Calibri" w:eastAsia="Times New Roman" w:hAnsi="Calibri" w:cs="Times New Roman"/>
                <w:color w:val="000000"/>
                <w:sz w:val="20"/>
                <w:szCs w:val="22"/>
              </w:rPr>
            </w:pPr>
          </w:p>
        </w:tc>
      </w:tr>
    </w:tbl>
    <w:p w14:paraId="5D7D59AB" w14:textId="77777777" w:rsidR="005F63A9" w:rsidRDefault="005F63A9" w:rsidP="00553269">
      <w:pPr>
        <w:widowControl w:val="0"/>
        <w:autoSpaceDE w:val="0"/>
        <w:autoSpaceDN w:val="0"/>
        <w:adjustRightInd w:val="0"/>
        <w:rPr>
          <w:rFonts w:ascii="Calibri" w:hAnsi="Calibri" w:cs="Calibri"/>
          <w:sz w:val="22"/>
          <w:szCs w:val="22"/>
        </w:rPr>
      </w:pPr>
    </w:p>
    <w:p w14:paraId="2CE5DEEC" w14:textId="77777777" w:rsidR="005F63A9" w:rsidRDefault="005F63A9" w:rsidP="00553269">
      <w:pPr>
        <w:widowControl w:val="0"/>
        <w:autoSpaceDE w:val="0"/>
        <w:autoSpaceDN w:val="0"/>
        <w:adjustRightInd w:val="0"/>
        <w:rPr>
          <w:rFonts w:ascii="Calibri" w:hAnsi="Calibri" w:cs="Calibri"/>
          <w:sz w:val="22"/>
          <w:szCs w:val="22"/>
        </w:rPr>
      </w:pPr>
    </w:p>
    <w:p w14:paraId="6F8D9015" w14:textId="77777777" w:rsidR="00ED0485" w:rsidRDefault="00ED0485" w:rsidP="00ED0485">
      <w:pPr>
        <w:widowControl w:val="0"/>
        <w:autoSpaceDE w:val="0"/>
        <w:autoSpaceDN w:val="0"/>
        <w:adjustRightInd w:val="0"/>
        <w:rPr>
          <w:rFonts w:ascii="Calibri" w:hAnsi="Calibri" w:cs="Calibri"/>
          <w:sz w:val="22"/>
          <w:szCs w:val="22"/>
        </w:rPr>
      </w:pPr>
    </w:p>
    <w:p w14:paraId="6DB9CE7A" w14:textId="77777777" w:rsidR="00ED0485" w:rsidRDefault="00ED0485" w:rsidP="00ED0485">
      <w:pPr>
        <w:widowControl w:val="0"/>
        <w:autoSpaceDE w:val="0"/>
        <w:autoSpaceDN w:val="0"/>
        <w:adjustRightInd w:val="0"/>
        <w:rPr>
          <w:rFonts w:ascii="Calibri" w:hAnsi="Calibri" w:cs="Calibri"/>
          <w:sz w:val="22"/>
          <w:szCs w:val="22"/>
        </w:rPr>
      </w:pPr>
    </w:p>
    <w:p w14:paraId="20439FAA" w14:textId="77777777" w:rsidR="00AB2B4B" w:rsidRDefault="00AB2B4B" w:rsidP="00ED0485">
      <w:pPr>
        <w:widowControl w:val="0"/>
        <w:autoSpaceDE w:val="0"/>
        <w:autoSpaceDN w:val="0"/>
        <w:adjustRightInd w:val="0"/>
        <w:rPr>
          <w:rFonts w:ascii="Calibri" w:hAnsi="Calibri" w:cs="Calibri"/>
          <w:sz w:val="22"/>
          <w:szCs w:val="22"/>
        </w:rPr>
      </w:pPr>
    </w:p>
    <w:p w14:paraId="31A95B7D" w14:textId="77777777" w:rsidR="00ED0485" w:rsidRDefault="00ED0485" w:rsidP="00D00805">
      <w:pPr>
        <w:widowControl w:val="0"/>
        <w:autoSpaceDE w:val="0"/>
        <w:autoSpaceDN w:val="0"/>
        <w:adjustRightInd w:val="0"/>
        <w:rPr>
          <w:rFonts w:ascii="Calibri" w:hAnsi="Calibri" w:cs="Calibri"/>
          <w:sz w:val="22"/>
          <w:szCs w:val="22"/>
        </w:rPr>
      </w:pPr>
    </w:p>
    <w:p w14:paraId="3C457291" w14:textId="401C2B52" w:rsidR="000812DC" w:rsidRDefault="000812DC" w:rsidP="000812DC">
      <w:pPr>
        <w:jc w:val="center"/>
        <w:rPr>
          <w:rFonts w:asciiTheme="majorHAnsi" w:hAnsiTheme="majorHAnsi"/>
          <w:sz w:val="22"/>
          <w:szCs w:val="22"/>
        </w:rPr>
      </w:pPr>
      <w:r>
        <w:rPr>
          <w:rFonts w:asciiTheme="majorHAnsi" w:hAnsiTheme="majorHAnsi"/>
          <w:sz w:val="22"/>
          <w:szCs w:val="22"/>
        </w:rPr>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p>
    <w:p w14:paraId="429DA4C5" w14:textId="7ACAED1F"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Berard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Olivier Crepin-</w:t>
      </w:r>
      <w:r w:rsidR="008C345B" w:rsidRPr="00AE2198">
        <w:rPr>
          <w:rFonts w:asciiTheme="majorHAnsi" w:hAnsiTheme="majorHAnsi"/>
          <w:sz w:val="22"/>
          <w:szCs w:val="22"/>
        </w:rPr>
        <w:t>Leblond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Carlos Dionisio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Steve DelBianco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Jonathan Zuck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Jonathan Robinson - RySG</w:t>
      </w:r>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Tim Ruiz - RrSG</w:t>
      </w:r>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Evan Leibovitch – ALAC</w:t>
      </w:r>
    </w:p>
    <w:p w14:paraId="60158512" w14:textId="08D40B48"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7DFBBDD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Margie Milam</w:t>
      </w:r>
      <w:r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Maguy Serad</w:t>
      </w:r>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77777777" w:rsidR="008C345B" w:rsidRPr="003611B7" w:rsidRDefault="008C345B">
      <w:pPr>
        <w:rPr>
          <w:sz w:val="22"/>
          <w:szCs w:val="22"/>
        </w:rPr>
      </w:pPr>
    </w:p>
    <w:sectPr w:rsidR="008C345B" w:rsidRPr="003611B7" w:rsidSect="00ED048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6298E" w14:textId="77777777" w:rsidR="00DB3F97" w:rsidRDefault="00DB3F97" w:rsidP="002E7E35">
      <w:r>
        <w:separator/>
      </w:r>
    </w:p>
  </w:endnote>
  <w:endnote w:type="continuationSeparator" w:id="0">
    <w:p w14:paraId="6F836FA0" w14:textId="77777777" w:rsidR="00DB3F97" w:rsidRDefault="00DB3F97" w:rsidP="002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DB3F97" w:rsidRDefault="00DB3F97"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DB3F97" w:rsidRDefault="00DB3F97"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DB3F97" w:rsidRDefault="00DB3F97"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897">
      <w:rPr>
        <w:rStyle w:val="PageNumber"/>
        <w:noProof/>
      </w:rPr>
      <w:t>1</w:t>
    </w:r>
    <w:r>
      <w:rPr>
        <w:rStyle w:val="PageNumber"/>
      </w:rPr>
      <w:fldChar w:fldCharType="end"/>
    </w:r>
  </w:p>
  <w:p w14:paraId="44C11008" w14:textId="77777777" w:rsidR="00DB3F97" w:rsidRDefault="00DB3F97"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B045D" w14:textId="77777777" w:rsidR="00DB3F97" w:rsidRDefault="00DB3F97" w:rsidP="002E7E35">
      <w:r>
        <w:separator/>
      </w:r>
    </w:p>
  </w:footnote>
  <w:footnote w:type="continuationSeparator" w:id="0">
    <w:p w14:paraId="06EA770C" w14:textId="77777777" w:rsidR="00DB3F97" w:rsidRDefault="00DB3F97" w:rsidP="002E7E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3">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4">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118A8"/>
    <w:rsid w:val="00056270"/>
    <w:rsid w:val="00072753"/>
    <w:rsid w:val="000812DC"/>
    <w:rsid w:val="000C650B"/>
    <w:rsid w:val="000F60A7"/>
    <w:rsid w:val="0011273B"/>
    <w:rsid w:val="00146A1B"/>
    <w:rsid w:val="00147451"/>
    <w:rsid w:val="00166DCD"/>
    <w:rsid w:val="001E58BB"/>
    <w:rsid w:val="00220444"/>
    <w:rsid w:val="002569BF"/>
    <w:rsid w:val="002E6740"/>
    <w:rsid w:val="002E7E35"/>
    <w:rsid w:val="002F121F"/>
    <w:rsid w:val="002F5CBA"/>
    <w:rsid w:val="00301602"/>
    <w:rsid w:val="00347843"/>
    <w:rsid w:val="003611B7"/>
    <w:rsid w:val="003A56C6"/>
    <w:rsid w:val="003B3E2A"/>
    <w:rsid w:val="0044303F"/>
    <w:rsid w:val="00495FF2"/>
    <w:rsid w:val="004B35DE"/>
    <w:rsid w:val="004B4383"/>
    <w:rsid w:val="004D4C12"/>
    <w:rsid w:val="005026D1"/>
    <w:rsid w:val="00503D46"/>
    <w:rsid w:val="00527500"/>
    <w:rsid w:val="00535897"/>
    <w:rsid w:val="005526A1"/>
    <w:rsid w:val="00553269"/>
    <w:rsid w:val="00561B2F"/>
    <w:rsid w:val="00584238"/>
    <w:rsid w:val="00587F68"/>
    <w:rsid w:val="0059570B"/>
    <w:rsid w:val="005F63A9"/>
    <w:rsid w:val="006100B5"/>
    <w:rsid w:val="00625E4B"/>
    <w:rsid w:val="00634185"/>
    <w:rsid w:val="00646CE3"/>
    <w:rsid w:val="00663C6B"/>
    <w:rsid w:val="006B0EC9"/>
    <w:rsid w:val="0070200A"/>
    <w:rsid w:val="007516A3"/>
    <w:rsid w:val="00767514"/>
    <w:rsid w:val="007B29A1"/>
    <w:rsid w:val="007C4285"/>
    <w:rsid w:val="007C7314"/>
    <w:rsid w:val="007D0AF0"/>
    <w:rsid w:val="007D6351"/>
    <w:rsid w:val="007F4A74"/>
    <w:rsid w:val="00825A9B"/>
    <w:rsid w:val="0084344C"/>
    <w:rsid w:val="008571FE"/>
    <w:rsid w:val="00890A94"/>
    <w:rsid w:val="008C345B"/>
    <w:rsid w:val="008F2D58"/>
    <w:rsid w:val="008F6438"/>
    <w:rsid w:val="009C2FD9"/>
    <w:rsid w:val="009D3566"/>
    <w:rsid w:val="009E078A"/>
    <w:rsid w:val="009F24F1"/>
    <w:rsid w:val="00A015A9"/>
    <w:rsid w:val="00A11FD0"/>
    <w:rsid w:val="00A30FCA"/>
    <w:rsid w:val="00A36343"/>
    <w:rsid w:val="00A64983"/>
    <w:rsid w:val="00AB2B4B"/>
    <w:rsid w:val="00AB5398"/>
    <w:rsid w:val="00AC4FF1"/>
    <w:rsid w:val="00AD5C36"/>
    <w:rsid w:val="00AE2198"/>
    <w:rsid w:val="00B34398"/>
    <w:rsid w:val="00BE1189"/>
    <w:rsid w:val="00C14F7F"/>
    <w:rsid w:val="00D00805"/>
    <w:rsid w:val="00D76D2B"/>
    <w:rsid w:val="00DB3F97"/>
    <w:rsid w:val="00E267B5"/>
    <w:rsid w:val="00E42913"/>
    <w:rsid w:val="00EB40C9"/>
    <w:rsid w:val="00EC515D"/>
    <w:rsid w:val="00EC5189"/>
    <w:rsid w:val="00ED0485"/>
    <w:rsid w:val="00F26140"/>
    <w:rsid w:val="00F92288"/>
    <w:rsid w:val="00FD0DD7"/>
    <w:rsid w:val="00FD3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247035022">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1448086780">
          <w:marLeft w:val="547"/>
          <w:marRight w:val="0"/>
          <w:marTop w:val="0"/>
          <w:marBottom w:val="240"/>
          <w:divBdr>
            <w:top w:val="none" w:sz="0" w:space="0" w:color="auto"/>
            <w:left w:val="none" w:sz="0" w:space="0" w:color="auto"/>
            <w:bottom w:val="none" w:sz="0" w:space="0" w:color="auto"/>
            <w:right w:val="none" w:sz="0" w:space="0" w:color="auto"/>
          </w:divBdr>
        </w:div>
        <w:div w:id="909659649">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3075</Words>
  <Characters>16765</Characters>
  <Application>Microsoft Macintosh Word</Application>
  <DocSecurity>0</DocSecurity>
  <Lines>620</Lines>
  <Paragraphs>283</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19557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7</cp:revision>
  <cp:lastPrinted>2012-02-05T16:47:00Z</cp:lastPrinted>
  <dcterms:created xsi:type="dcterms:W3CDTF">2012-02-02T18:53:00Z</dcterms:created>
  <dcterms:modified xsi:type="dcterms:W3CDTF">2012-02-05T16:54:00Z</dcterms:modified>
  <cp:category/>
</cp:coreProperties>
</file>