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rsidR="002C44DD" w:rsidRPr="00F0792C" w:rsidRDefault="002C44DD">
      <w:pPr>
        <w:rPr>
          <w:rFonts w:asciiTheme="majorHAnsi" w:hAnsiTheme="majorHAnsi"/>
          <w:sz w:val="22"/>
          <w:szCs w:val="22"/>
        </w:rPr>
      </w:pPr>
    </w:p>
    <w:p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rsidR="00BD6161" w:rsidRDefault="00BD6161">
      <w:pPr>
        <w:rPr>
          <w:rFonts w:asciiTheme="majorHAnsi" w:hAnsiTheme="majorHAnsi"/>
          <w:sz w:val="22"/>
          <w:szCs w:val="22"/>
        </w:rPr>
      </w:pPr>
    </w:p>
    <w:tbl>
      <w:tblPr>
        <w:tblStyle w:val="TableGrid"/>
        <w:tblW w:w="13320" w:type="dxa"/>
        <w:tblInd w:w="-252" w:type="dxa"/>
        <w:tblLayout w:type="fixed"/>
        <w:tblLook w:val="04A0" w:firstRow="1" w:lastRow="0" w:firstColumn="1" w:lastColumn="0" w:noHBand="0" w:noVBand="1"/>
      </w:tblPr>
      <w:tblGrid>
        <w:gridCol w:w="4230"/>
        <w:gridCol w:w="6210"/>
        <w:gridCol w:w="2880"/>
      </w:tblGrid>
      <w:tr w:rsidR="00BD6161" w:rsidRPr="00BD6161">
        <w:trPr>
          <w:tblHeader/>
        </w:trPr>
        <w:tc>
          <w:tcPr>
            <w:tcW w:w="423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tc>
          <w:tcPr>
            <w:tcW w:w="4230" w:type="dxa"/>
          </w:tcPr>
          <w:p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rsidR="00BD6161" w:rsidRDefault="00BD6161" w:rsidP="004F2A5C">
            <w:pPr>
              <w:rPr>
                <w:rFonts w:asciiTheme="majorHAnsi" w:hAnsiTheme="majorHAnsi"/>
                <w:sz w:val="20"/>
                <w:szCs w:val="22"/>
              </w:rPr>
            </w:pPr>
          </w:p>
          <w:p w:rsidR="00BD6161" w:rsidRPr="0078449E" w:rsidRDefault="00BD6161" w:rsidP="004F2A5C">
            <w:pPr>
              <w:rPr>
                <w:rFonts w:asciiTheme="majorHAnsi" w:hAnsiTheme="majorHAnsi"/>
                <w:sz w:val="20"/>
                <w:szCs w:val="22"/>
              </w:rPr>
            </w:pPr>
          </w:p>
          <w:p w:rsidR="00BD6161" w:rsidRPr="00F0792C" w:rsidRDefault="00BD6161" w:rsidP="004F2A5C">
            <w:pPr>
              <w:rPr>
                <w:rFonts w:asciiTheme="majorHAnsi" w:hAnsiTheme="majorHAnsi"/>
                <w:sz w:val="20"/>
                <w:szCs w:val="22"/>
              </w:rPr>
            </w:pPr>
          </w:p>
        </w:tc>
        <w:tc>
          <w:tcPr>
            <w:tcW w:w="6210" w:type="dxa"/>
          </w:tcPr>
          <w:p w:rsidR="00BD6161" w:rsidRDefault="002216D5"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rsidR="00BD6161" w:rsidRPr="00C10B53" w:rsidRDefault="00BD6161" w:rsidP="004F2A5C">
            <w:pPr>
              <w:rPr>
                <w:rFonts w:asciiTheme="majorHAnsi" w:hAnsiTheme="majorHAnsi"/>
                <w:sz w:val="20"/>
                <w:szCs w:val="22"/>
              </w:rPr>
            </w:pP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rsidR="00BD6161" w:rsidRPr="00C10B53" w:rsidRDefault="00BD6161" w:rsidP="004F2A5C">
            <w:pPr>
              <w:rPr>
                <w:rFonts w:asciiTheme="majorHAnsi" w:hAnsiTheme="majorHAnsi"/>
                <w:sz w:val="20"/>
                <w:szCs w:val="22"/>
              </w:rPr>
            </w:pPr>
          </w:p>
          <w:p w:rsidR="00BD6161" w:rsidRPr="00C10B53" w:rsidRDefault="002216D5" w:rsidP="004F2A5C">
            <w:pPr>
              <w:rPr>
                <w:rFonts w:asciiTheme="majorHAnsi" w:hAnsiTheme="majorHAnsi"/>
                <w:sz w:val="20"/>
                <w:szCs w:val="22"/>
              </w:rPr>
            </w:pPr>
            <w:hyperlink r:id="rId9"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rsidR="00BD6161" w:rsidRPr="00F0792C" w:rsidRDefault="00BD6161" w:rsidP="004F2A5C">
            <w:pPr>
              <w:rPr>
                <w:rFonts w:asciiTheme="majorHAnsi" w:hAnsiTheme="majorHAnsi"/>
                <w:sz w:val="20"/>
                <w:szCs w:val="22"/>
              </w:rPr>
            </w:pPr>
          </w:p>
        </w:tc>
        <w:tc>
          <w:tcPr>
            <w:tcW w:w="2880" w:type="dxa"/>
          </w:tcPr>
          <w:p w:rsidR="00BD6161" w:rsidRPr="00F0792C" w:rsidRDefault="009D4468" w:rsidP="004F2A5C">
            <w:pPr>
              <w:rPr>
                <w:rFonts w:asciiTheme="majorHAnsi" w:hAnsiTheme="majorHAnsi"/>
                <w:sz w:val="20"/>
                <w:szCs w:val="22"/>
              </w:rPr>
            </w:pPr>
            <w:r>
              <w:rPr>
                <w:rFonts w:asciiTheme="majorHAnsi" w:hAnsiTheme="majorHAnsi"/>
                <w:sz w:val="20"/>
                <w:szCs w:val="22"/>
              </w:rPr>
              <w:t>Agree</w:t>
            </w:r>
          </w:p>
        </w:tc>
      </w:tr>
      <w:tr w:rsidR="00BD6161" w:rsidRPr="00F0792C">
        <w:tc>
          <w:tcPr>
            <w:tcW w:w="4230" w:type="dxa"/>
          </w:tcPr>
          <w:p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rsidR="00BD6161" w:rsidRPr="00F0792C" w:rsidRDefault="00BD6161" w:rsidP="004F2A5C">
            <w:pPr>
              <w:rPr>
                <w:rFonts w:asciiTheme="majorHAnsi" w:hAnsiTheme="majorHAnsi"/>
                <w:sz w:val="20"/>
                <w:szCs w:val="22"/>
              </w:rPr>
            </w:pPr>
          </w:p>
        </w:tc>
        <w:tc>
          <w:tcPr>
            <w:tcW w:w="6210" w:type="dxa"/>
          </w:tcPr>
          <w:p w:rsidR="00BD6161" w:rsidRPr="00A32A10" w:rsidRDefault="002216D5"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rsidR="00BD6161" w:rsidRPr="00F0792C" w:rsidRDefault="00BD6161" w:rsidP="004F2A5C">
            <w:pPr>
              <w:rPr>
                <w:rFonts w:asciiTheme="majorHAnsi" w:hAnsiTheme="majorHAnsi"/>
                <w:sz w:val="20"/>
                <w:szCs w:val="22"/>
              </w:rPr>
            </w:pPr>
          </w:p>
        </w:tc>
        <w:tc>
          <w:tcPr>
            <w:tcW w:w="2880" w:type="dxa"/>
          </w:tcPr>
          <w:p w:rsidR="00BD6161" w:rsidRPr="00F0792C" w:rsidRDefault="00BD6161" w:rsidP="000E1FF1">
            <w:pPr>
              <w:rPr>
                <w:rFonts w:asciiTheme="majorHAnsi" w:hAnsiTheme="majorHAnsi"/>
                <w:sz w:val="20"/>
                <w:szCs w:val="22"/>
              </w:rPr>
            </w:pPr>
          </w:p>
        </w:tc>
      </w:tr>
      <w:tr w:rsidR="00BD6161" w:rsidRPr="00F0792C">
        <w:tc>
          <w:tcPr>
            <w:tcW w:w="4230" w:type="dxa"/>
            <w:tcBorders>
              <w:bottom w:val="single" w:sz="4" w:space="0" w:color="auto"/>
            </w:tcBorders>
          </w:tcPr>
          <w:p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rsidR="00BD6161" w:rsidRPr="00A32A10" w:rsidRDefault="002216D5" w:rsidP="004F2A5C">
            <w:pPr>
              <w:rPr>
                <w:rFonts w:asciiTheme="majorHAnsi" w:hAnsiTheme="majorHAnsi"/>
                <w:sz w:val="20"/>
                <w:szCs w:val="22"/>
              </w:rPr>
            </w:pPr>
            <w:hyperlink r:id="rId11"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w:t>
            </w:r>
            <w:r w:rsidR="00A56C08">
              <w:rPr>
                <w:rFonts w:asciiTheme="majorHAnsi" w:hAnsiTheme="majorHAnsi"/>
                <w:sz w:val="20"/>
                <w:szCs w:val="22"/>
              </w:rPr>
              <w:t>n</w:t>
            </w:r>
            <w:r w:rsidRPr="00A32A10">
              <w:rPr>
                <w:rFonts w:asciiTheme="majorHAnsi" w:hAnsiTheme="majorHAnsi"/>
                <w:sz w:val="20"/>
                <w:szCs w:val="22"/>
              </w:rPr>
              <w:t xml:space="preserve"> applicant seeking linguistic variations of the applicant's other applied-for string.”</w:t>
            </w:r>
          </w:p>
          <w:p w:rsidR="00BD6161" w:rsidRPr="00F0792C" w:rsidRDefault="00BD6161" w:rsidP="004F2A5C">
            <w:pPr>
              <w:rPr>
                <w:rFonts w:asciiTheme="majorHAnsi" w:hAnsiTheme="majorHAnsi"/>
                <w:sz w:val="20"/>
                <w:szCs w:val="22"/>
              </w:rPr>
            </w:pPr>
          </w:p>
        </w:tc>
        <w:tc>
          <w:tcPr>
            <w:tcW w:w="2880" w:type="dxa"/>
            <w:tcBorders>
              <w:bottom w:val="single" w:sz="4" w:space="0" w:color="auto"/>
            </w:tcBorders>
          </w:tcPr>
          <w:p w:rsidR="00BD6161" w:rsidRPr="00F0792C" w:rsidRDefault="00BD6161" w:rsidP="004F2A5C">
            <w:pPr>
              <w:rPr>
                <w:rFonts w:asciiTheme="majorHAnsi" w:hAnsiTheme="majorHAnsi"/>
                <w:sz w:val="20"/>
                <w:szCs w:val="22"/>
              </w:rPr>
            </w:pPr>
          </w:p>
        </w:tc>
      </w:tr>
      <w:tr w:rsidR="00BD6161" w:rsidRPr="00F0792C">
        <w:tc>
          <w:tcPr>
            <w:tcW w:w="4230" w:type="dxa"/>
            <w:shd w:val="clear" w:color="auto" w:fill="E6E6E6"/>
          </w:tcPr>
          <w:p w:rsidR="00BD6161" w:rsidRPr="00F0792C" w:rsidRDefault="00BD6161" w:rsidP="004F2A5C">
            <w:pPr>
              <w:rPr>
                <w:rFonts w:asciiTheme="majorHAnsi" w:hAnsiTheme="majorHAnsi"/>
                <w:sz w:val="20"/>
                <w:szCs w:val="22"/>
              </w:rPr>
            </w:pPr>
            <w:r>
              <w:rPr>
                <w:rFonts w:asciiTheme="majorHAnsi" w:hAnsiTheme="majorHAnsi"/>
                <w:sz w:val="20"/>
                <w:szCs w:val="22"/>
              </w:rPr>
              <w:lastRenderedPageBreak/>
              <w:t>(3)  Rights Protection Mechanisms</w:t>
            </w:r>
          </w:p>
        </w:tc>
        <w:tc>
          <w:tcPr>
            <w:tcW w:w="6210" w:type="dxa"/>
            <w:shd w:val="clear" w:color="auto" w:fill="E6E6E6"/>
          </w:tcPr>
          <w:p w:rsidR="00BD6161" w:rsidRPr="00F0792C" w:rsidRDefault="00BD6161" w:rsidP="004F2A5C">
            <w:pPr>
              <w:rPr>
                <w:rFonts w:asciiTheme="majorHAnsi" w:hAnsiTheme="majorHAnsi"/>
                <w:sz w:val="20"/>
                <w:szCs w:val="22"/>
              </w:rPr>
            </w:pPr>
          </w:p>
        </w:tc>
        <w:tc>
          <w:tcPr>
            <w:tcW w:w="2880" w:type="dxa"/>
            <w:shd w:val="clear" w:color="auto" w:fill="E6E6E6"/>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rsidR="00BD6161" w:rsidRPr="005834BB" w:rsidRDefault="002216D5" w:rsidP="004F2A5C">
            <w:pPr>
              <w:rPr>
                <w:rFonts w:asciiTheme="majorHAnsi" w:hAnsiTheme="majorHAnsi"/>
                <w:sz w:val="20"/>
                <w:szCs w:val="22"/>
              </w:rPr>
            </w:pPr>
            <w:hyperlink r:id="rId12"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rsidR="00BD6161" w:rsidRPr="00F0792C" w:rsidRDefault="009D4468" w:rsidP="004F2A5C">
            <w:pPr>
              <w:rPr>
                <w:rFonts w:asciiTheme="majorHAnsi" w:hAnsiTheme="majorHAnsi"/>
                <w:sz w:val="20"/>
                <w:szCs w:val="22"/>
              </w:rPr>
            </w:pPr>
            <w:r>
              <w:rPr>
                <w:rFonts w:asciiTheme="majorHAnsi" w:hAnsiTheme="majorHAnsi"/>
                <w:sz w:val="20"/>
                <w:szCs w:val="22"/>
              </w:rPr>
              <w:t>Agree</w:t>
            </w:r>
          </w:p>
        </w:tc>
      </w:tr>
      <w:tr w:rsidR="009D4468" w:rsidRPr="00F0792C">
        <w:tc>
          <w:tcPr>
            <w:tcW w:w="4230" w:type="dxa"/>
          </w:tcPr>
          <w:p w:rsidR="009D4468" w:rsidRPr="005834BB" w:rsidRDefault="009D4468"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rsidR="009D4468" w:rsidRPr="00F0792C" w:rsidRDefault="009D4468" w:rsidP="004F2A5C">
            <w:pPr>
              <w:rPr>
                <w:rFonts w:asciiTheme="majorHAnsi" w:hAnsiTheme="majorHAnsi"/>
                <w:sz w:val="20"/>
                <w:szCs w:val="22"/>
              </w:rPr>
            </w:pPr>
          </w:p>
        </w:tc>
        <w:tc>
          <w:tcPr>
            <w:tcW w:w="6210" w:type="dxa"/>
          </w:tcPr>
          <w:p w:rsidR="009D4468" w:rsidRPr="005834BB" w:rsidRDefault="009D4468" w:rsidP="004F2A5C">
            <w:pPr>
              <w:rPr>
                <w:rFonts w:asciiTheme="majorHAnsi" w:hAnsiTheme="majorHAnsi"/>
                <w:sz w:val="20"/>
                <w:szCs w:val="22"/>
              </w:rPr>
            </w:pPr>
            <w:hyperlink r:id="rId13" w:history="1">
              <w:r w:rsidRPr="005834BB">
                <w:rPr>
                  <w:rStyle w:val="Hyperlink"/>
                  <w:rFonts w:asciiTheme="majorHAnsi" w:hAnsiTheme="majorHAnsi"/>
                  <w:sz w:val="20"/>
                  <w:szCs w:val="22"/>
                </w:rPr>
                <w:t>BC Comments on first DAG</w:t>
              </w:r>
            </w:hyperlink>
            <w:r w:rsidRPr="005834BB">
              <w:rPr>
                <w:rFonts w:asciiTheme="majorHAnsi" w:hAnsiTheme="majorHAnsi"/>
                <w:sz w:val="20"/>
                <w:szCs w:val="22"/>
              </w:rPr>
              <w:t>, dated Jan-2009</w:t>
            </w:r>
          </w:p>
          <w:p w:rsidR="009D4468" w:rsidRPr="00F0792C" w:rsidRDefault="009D4468"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rsidR="009D4468" w:rsidRPr="00F0792C" w:rsidRDefault="009D4468" w:rsidP="00320ECC">
            <w:pPr>
              <w:rPr>
                <w:rFonts w:asciiTheme="majorHAnsi" w:hAnsiTheme="majorHAnsi"/>
                <w:sz w:val="20"/>
                <w:szCs w:val="22"/>
              </w:rPr>
            </w:pPr>
            <w:r>
              <w:rPr>
                <w:rFonts w:asciiTheme="majorHAnsi" w:hAnsiTheme="majorHAnsi"/>
                <w:sz w:val="20"/>
                <w:szCs w:val="22"/>
              </w:rPr>
              <w:t>Agree but believe we need to distinguish that a standardized sunrise is not a “remedy” but an extortive unnecessary cost trademark owners need to bear.  ICANN has refused to place price caps on the service, so it will only be “standardized” on process, not on price.</w:t>
            </w:r>
          </w:p>
        </w:tc>
      </w:tr>
      <w:tr w:rsidR="009D4468" w:rsidRPr="00F0792C">
        <w:tc>
          <w:tcPr>
            <w:tcW w:w="4230" w:type="dxa"/>
          </w:tcPr>
          <w:p w:rsidR="009D4468" w:rsidRPr="00F0792C" w:rsidRDefault="009D4468"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rsidR="009D4468" w:rsidRPr="00772B50" w:rsidRDefault="009D4468" w:rsidP="004F2A5C">
            <w:pPr>
              <w:rPr>
                <w:rFonts w:asciiTheme="majorHAnsi" w:hAnsiTheme="majorHAnsi"/>
                <w:sz w:val="20"/>
                <w:szCs w:val="22"/>
              </w:rPr>
            </w:pPr>
            <w:hyperlink r:id="rId14" w:history="1">
              <w:r w:rsidRPr="00772B50">
                <w:rPr>
                  <w:rStyle w:val="Hyperlink"/>
                  <w:rFonts w:asciiTheme="majorHAnsi" w:hAnsiTheme="majorHAnsi"/>
                  <w:sz w:val="20"/>
                  <w:szCs w:val="22"/>
                </w:rPr>
                <w:t>BC Position on DAG v4 Rights Protection Mechanisms</w:t>
              </w:r>
            </w:hyperlink>
            <w:r w:rsidRPr="00772B50">
              <w:rPr>
                <w:rFonts w:asciiTheme="majorHAnsi" w:hAnsiTheme="majorHAnsi"/>
                <w:sz w:val="20"/>
                <w:szCs w:val="22"/>
              </w:rPr>
              <w:t>, 26-Jul-2010 and</w:t>
            </w:r>
          </w:p>
          <w:p w:rsidR="009D4468" w:rsidRDefault="009D4468" w:rsidP="004F2A5C">
            <w:pPr>
              <w:rPr>
                <w:rFonts w:asciiTheme="majorHAnsi" w:hAnsiTheme="majorHAnsi"/>
                <w:sz w:val="20"/>
                <w:szCs w:val="22"/>
              </w:rPr>
            </w:pPr>
            <w:hyperlink r:id="rId15" w:history="1">
              <w:r w:rsidRPr="00772B50">
                <w:rPr>
                  <w:rStyle w:val="Hyperlink"/>
                  <w:rFonts w:asciiTheme="majorHAnsi" w:hAnsiTheme="majorHAnsi"/>
                  <w:sz w:val="20"/>
                  <w:szCs w:val="22"/>
                </w:rPr>
                <w:t>BC position ICANN Staff Recommendations for RPMs</w:t>
              </w:r>
            </w:hyperlink>
            <w:r w:rsidRPr="00772B50">
              <w:rPr>
                <w:rFonts w:asciiTheme="majorHAnsi" w:hAnsiTheme="majorHAnsi"/>
                <w:sz w:val="20"/>
                <w:szCs w:val="22"/>
              </w:rPr>
              <w:t>, Nov-2009</w:t>
            </w:r>
          </w:p>
          <w:p w:rsidR="009D4468" w:rsidRPr="00772B50" w:rsidRDefault="009D4468" w:rsidP="004F2A5C">
            <w:pPr>
              <w:rPr>
                <w:rFonts w:asciiTheme="majorHAnsi" w:hAnsiTheme="majorHAnsi"/>
                <w:sz w:val="20"/>
                <w:szCs w:val="22"/>
              </w:rPr>
            </w:pPr>
          </w:p>
          <w:p w:rsidR="009D4468" w:rsidRPr="00772B50" w:rsidRDefault="009D4468"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9D4468" w:rsidRDefault="009D4468"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9D4468" w:rsidRPr="00F0792C" w:rsidRDefault="009D4468" w:rsidP="004F2A5C">
            <w:pPr>
              <w:numPr>
                <w:ilvl w:val="0"/>
                <w:numId w:val="12"/>
              </w:numPr>
              <w:rPr>
                <w:rFonts w:asciiTheme="majorHAnsi" w:hAnsiTheme="majorHAnsi"/>
                <w:sz w:val="20"/>
                <w:szCs w:val="22"/>
              </w:rPr>
            </w:pPr>
            <w:r w:rsidRPr="00772B50">
              <w:rPr>
                <w:rFonts w:asciiTheme="majorHAnsi" w:hAnsiTheme="majorHAnsi"/>
                <w:sz w:val="20"/>
                <w:szCs w:val="22"/>
              </w:rPr>
              <w:t xml:space="preserve">Flag shall be recorded in clearinghouse so that if anyone seeks to register </w:t>
            </w:r>
            <w:r w:rsidRPr="00772B50">
              <w:rPr>
                <w:rFonts w:ascii="MS Gothic" w:eastAsia="MS Gothic" w:hAnsi="MS Gothic" w:cs="MS Gothic" w:hint="eastAsia"/>
                <w:sz w:val="20"/>
                <w:szCs w:val="22"/>
              </w:rPr>
              <w:t> </w:t>
            </w:r>
            <w:r w:rsidRPr="00772B50">
              <w:rPr>
                <w:rFonts w:asciiTheme="majorHAnsi" w:hAnsiTheme="majorHAnsi"/>
                <w:sz w:val="20"/>
                <w:szCs w:val="22"/>
              </w:rPr>
              <w:t xml:space="preserve">such name(s) again, they would get a notice. </w:t>
            </w:r>
            <w:r w:rsidRPr="00772B50">
              <w:rPr>
                <w:rFonts w:ascii="Calibri" w:hAnsi="Calibri" w:cs="Calibri"/>
                <w:sz w:val="20"/>
                <w:szCs w:val="22"/>
              </w:rPr>
              <w:t>“</w:t>
            </w:r>
            <w:r w:rsidRPr="00772B50">
              <w:rPr>
                <w:rFonts w:asciiTheme="majorHAnsi" w:hAnsiTheme="majorHAnsi"/>
                <w:sz w:val="20"/>
                <w:szCs w:val="22"/>
              </w:rPr>
              <w:t xml:space="preserve">  (p2)</w:t>
            </w:r>
          </w:p>
        </w:tc>
        <w:tc>
          <w:tcPr>
            <w:tcW w:w="2880" w:type="dxa"/>
          </w:tcPr>
          <w:p w:rsidR="009D4468" w:rsidRPr="00F0792C" w:rsidRDefault="009D4468" w:rsidP="004F2A5C">
            <w:pPr>
              <w:rPr>
                <w:rFonts w:asciiTheme="majorHAnsi" w:hAnsiTheme="majorHAnsi"/>
                <w:sz w:val="20"/>
                <w:szCs w:val="22"/>
              </w:rPr>
            </w:pPr>
            <w:r>
              <w:rPr>
                <w:rFonts w:asciiTheme="majorHAnsi" w:hAnsiTheme="majorHAnsi"/>
                <w:sz w:val="20"/>
                <w:szCs w:val="22"/>
              </w:rPr>
              <w:t xml:space="preserve">Agree.  Transfer is an essential remedy to give the URS any teeth.  The URS as it stands is an unworkable remedy that trademark owners will not use unless the standard of proof is amended to comport with the UDRP.  Other critical changes include (1) change from the “clear and convincing evidence” standard to “preponderance of evidence” as in the UDRP proceeding; (2) remove any requirement that the URS provider make substantive determinations about how a trademark owner is using its mark.   The URS must also be available for the low price ICANN envisioned when it </w:t>
            </w:r>
            <w:r>
              <w:rPr>
                <w:rFonts w:asciiTheme="majorHAnsi" w:hAnsiTheme="majorHAnsi"/>
                <w:sz w:val="20"/>
                <w:szCs w:val="22"/>
              </w:rPr>
              <w:lastRenderedPageBreak/>
              <w:t xml:space="preserve">watered down the rest of the idea.  </w:t>
            </w:r>
          </w:p>
        </w:tc>
      </w:tr>
      <w:tr w:rsidR="009D4468" w:rsidRPr="00F0792C">
        <w:tc>
          <w:tcPr>
            <w:tcW w:w="4230" w:type="dxa"/>
          </w:tcPr>
          <w:p w:rsidR="009D4468" w:rsidRPr="00246FD1" w:rsidRDefault="009D4468" w:rsidP="004F2A5C">
            <w:pPr>
              <w:rPr>
                <w:rFonts w:asciiTheme="majorHAnsi" w:hAnsiTheme="majorHAnsi"/>
                <w:sz w:val="20"/>
                <w:szCs w:val="22"/>
              </w:rPr>
            </w:pPr>
            <w:r>
              <w:rPr>
                <w:rFonts w:asciiTheme="majorHAnsi" w:hAnsiTheme="majorHAnsi"/>
                <w:sz w:val="20"/>
                <w:szCs w:val="22"/>
              </w:rPr>
              <w:lastRenderedPageBreak/>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rsidR="009D4468" w:rsidRPr="00F0792C" w:rsidRDefault="009D4468" w:rsidP="004F2A5C">
            <w:pPr>
              <w:rPr>
                <w:rFonts w:asciiTheme="majorHAnsi" w:hAnsiTheme="majorHAnsi"/>
                <w:sz w:val="20"/>
                <w:szCs w:val="22"/>
              </w:rPr>
            </w:pPr>
          </w:p>
        </w:tc>
        <w:tc>
          <w:tcPr>
            <w:tcW w:w="6210" w:type="dxa"/>
          </w:tcPr>
          <w:p w:rsidR="009D4468" w:rsidRPr="00246FD1" w:rsidRDefault="009D4468" w:rsidP="004F2A5C">
            <w:pPr>
              <w:rPr>
                <w:rFonts w:asciiTheme="majorHAnsi" w:hAnsiTheme="majorHAnsi"/>
                <w:sz w:val="20"/>
                <w:szCs w:val="22"/>
              </w:rPr>
            </w:pPr>
            <w:hyperlink r:id="rId16" w:history="1">
              <w:r w:rsidRPr="00246FD1">
                <w:rPr>
                  <w:rStyle w:val="Hyperlink"/>
                  <w:rFonts w:asciiTheme="majorHAnsi" w:hAnsiTheme="majorHAnsi"/>
                  <w:sz w:val="20"/>
                  <w:szCs w:val="22"/>
                </w:rPr>
                <w:t>BC comments on April 2011 Guidebook</w:t>
              </w:r>
            </w:hyperlink>
            <w:r w:rsidRPr="00246FD1">
              <w:rPr>
                <w:rFonts w:asciiTheme="majorHAnsi" w:hAnsiTheme="majorHAnsi"/>
                <w:sz w:val="20"/>
                <w:szCs w:val="22"/>
              </w:rPr>
              <w:t>, 15-May-2011</w:t>
            </w:r>
          </w:p>
          <w:p w:rsidR="009D4468" w:rsidRPr="00F0792C" w:rsidRDefault="009D4468"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rsidR="009D4468" w:rsidRPr="00F0792C" w:rsidRDefault="009D4468" w:rsidP="00AD6A81">
            <w:pPr>
              <w:rPr>
                <w:rFonts w:asciiTheme="majorHAnsi" w:hAnsiTheme="majorHAnsi"/>
                <w:sz w:val="20"/>
                <w:szCs w:val="22"/>
              </w:rPr>
            </w:pPr>
            <w:r>
              <w:rPr>
                <w:rFonts w:asciiTheme="majorHAnsi" w:hAnsiTheme="majorHAnsi"/>
                <w:sz w:val="20"/>
                <w:szCs w:val="22"/>
              </w:rPr>
              <w:t xml:space="preserve">Agree, but would amend improvement request to just say “ICANN should be ready to implement additional RPMs. </w:t>
            </w:r>
            <w:proofErr w:type="gramStart"/>
            <w:r>
              <w:rPr>
                <w:rFonts w:asciiTheme="majorHAnsi" w:hAnsiTheme="majorHAnsi"/>
                <w:sz w:val="20"/>
                <w:szCs w:val="22"/>
              </w:rPr>
              <w:t>“ The</w:t>
            </w:r>
            <w:proofErr w:type="gramEnd"/>
            <w:r>
              <w:rPr>
                <w:rFonts w:asciiTheme="majorHAnsi" w:hAnsiTheme="majorHAnsi"/>
                <w:sz w:val="20"/>
                <w:szCs w:val="22"/>
              </w:rPr>
              <w:t xml:space="preserve"> RPMs need not be “based on the TM clearinghouse data,” which will only cover part of the problem.</w:t>
            </w:r>
          </w:p>
        </w:tc>
      </w:tr>
      <w:tr w:rsidR="009D4468" w:rsidRPr="00F0792C">
        <w:tc>
          <w:tcPr>
            <w:tcW w:w="4230" w:type="dxa"/>
          </w:tcPr>
          <w:p w:rsidR="009D4468" w:rsidRPr="000D6405" w:rsidRDefault="009D4468"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rsidR="009D4468" w:rsidRDefault="009D4468" w:rsidP="004F2A5C">
            <w:pPr>
              <w:rPr>
                <w:rFonts w:asciiTheme="majorHAnsi" w:hAnsiTheme="majorHAnsi"/>
                <w:sz w:val="20"/>
                <w:szCs w:val="22"/>
              </w:rPr>
            </w:pPr>
          </w:p>
          <w:p w:rsidR="009D4468" w:rsidRDefault="009D4468" w:rsidP="004F2A5C">
            <w:pPr>
              <w:rPr>
                <w:rFonts w:asciiTheme="majorHAnsi" w:hAnsiTheme="majorHAnsi"/>
                <w:sz w:val="20"/>
                <w:szCs w:val="22"/>
              </w:rPr>
            </w:pPr>
          </w:p>
        </w:tc>
        <w:tc>
          <w:tcPr>
            <w:tcW w:w="6210" w:type="dxa"/>
          </w:tcPr>
          <w:p w:rsidR="009D4468" w:rsidRPr="000D6405" w:rsidRDefault="009D4468" w:rsidP="004F2A5C">
            <w:pPr>
              <w:rPr>
                <w:rFonts w:asciiTheme="majorHAnsi" w:hAnsiTheme="majorHAnsi"/>
                <w:sz w:val="20"/>
                <w:szCs w:val="22"/>
              </w:rPr>
            </w:pPr>
            <w:hyperlink r:id="rId17" w:history="1">
              <w:r w:rsidRPr="000D6405">
                <w:rPr>
                  <w:rStyle w:val="Hyperlink"/>
                  <w:rFonts w:asciiTheme="majorHAnsi" w:hAnsiTheme="majorHAnsi"/>
                  <w:sz w:val="20"/>
                  <w:szCs w:val="22"/>
                </w:rPr>
                <w:t>BC comments on April 2011 Guidebook</w:t>
              </w:r>
            </w:hyperlink>
            <w:r w:rsidRPr="000D6405">
              <w:rPr>
                <w:rFonts w:asciiTheme="majorHAnsi" w:hAnsiTheme="majorHAnsi"/>
                <w:sz w:val="20"/>
                <w:szCs w:val="22"/>
              </w:rPr>
              <w:t>, 15-May-2011</w:t>
            </w:r>
          </w:p>
          <w:p w:rsidR="009D4468" w:rsidRPr="00246FD1" w:rsidRDefault="009D4468" w:rsidP="004F2A5C">
            <w:pPr>
              <w:rPr>
                <w:rFonts w:asciiTheme="majorHAnsi" w:hAnsiTheme="majorHAnsi"/>
                <w:sz w:val="20"/>
                <w:szCs w:val="22"/>
              </w:rPr>
            </w:pPr>
            <w:r w:rsidRPr="000D6405">
              <w:rPr>
                <w:rFonts w:asciiTheme="majorHAnsi" w:hAnsiTheme="majorHAnsi"/>
                <w:sz w:val="20"/>
                <w:szCs w:val="22"/>
              </w:rPr>
              <w:t>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introduction of new gTLDs.</w:t>
            </w:r>
          </w:p>
        </w:tc>
        <w:tc>
          <w:tcPr>
            <w:tcW w:w="2880" w:type="dxa"/>
          </w:tcPr>
          <w:p w:rsidR="009D4468" w:rsidRPr="00F0792C" w:rsidRDefault="009D4468" w:rsidP="004318A4">
            <w:pPr>
              <w:rPr>
                <w:rFonts w:asciiTheme="majorHAnsi" w:hAnsiTheme="majorHAnsi"/>
                <w:sz w:val="20"/>
                <w:szCs w:val="22"/>
              </w:rPr>
            </w:pPr>
            <w:r>
              <w:rPr>
                <w:rFonts w:asciiTheme="majorHAnsi" w:hAnsiTheme="majorHAnsi"/>
                <w:sz w:val="20"/>
                <w:szCs w:val="22"/>
              </w:rPr>
              <w:t>Agree</w:t>
            </w:r>
          </w:p>
        </w:tc>
      </w:tr>
    </w:tbl>
    <w:p w:rsidR="00BD6161" w:rsidRDefault="00BD6161" w:rsidP="00BD6161">
      <w:pPr>
        <w:rPr>
          <w:rFonts w:asciiTheme="majorHAnsi" w:hAnsiTheme="majorHAnsi"/>
          <w:sz w:val="22"/>
          <w:szCs w:val="22"/>
        </w:rPr>
      </w:pPr>
      <w:r>
        <w:rPr>
          <w:rFonts w:asciiTheme="majorHAnsi" w:hAnsiTheme="majorHAnsi"/>
          <w:sz w:val="22"/>
          <w:szCs w:val="22"/>
        </w:rPr>
        <w:br w:type="page"/>
      </w:r>
      <w:r>
        <w:rPr>
          <w:rFonts w:asciiTheme="majorHAnsi" w:hAnsiTheme="majorHAnsi"/>
          <w:sz w:val="22"/>
          <w:szCs w:val="22"/>
        </w:rPr>
        <w:lastRenderedPageBreak/>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rsidR="00F0792C" w:rsidRPr="00F0792C" w:rsidRDefault="00F0792C">
      <w:pPr>
        <w:rPr>
          <w:rFonts w:asciiTheme="majorHAnsi" w:hAnsiTheme="majorHAnsi"/>
          <w:sz w:val="22"/>
          <w:szCs w:val="22"/>
        </w:rPr>
      </w:pPr>
    </w:p>
    <w:tbl>
      <w:tblPr>
        <w:tblStyle w:val="TableGrid"/>
        <w:tblW w:w="14310" w:type="dxa"/>
        <w:tblInd w:w="-252" w:type="dxa"/>
        <w:tblLayout w:type="fixed"/>
        <w:tblLook w:val="04A0" w:firstRow="1" w:lastRow="0" w:firstColumn="1" w:lastColumn="0" w:noHBand="0" w:noVBand="1"/>
      </w:tblPr>
      <w:tblGrid>
        <w:gridCol w:w="4230"/>
        <w:gridCol w:w="5580"/>
        <w:gridCol w:w="1350"/>
        <w:gridCol w:w="3150"/>
      </w:tblGrid>
      <w:tr w:rsidR="00C10B53" w:rsidRPr="00BD6161">
        <w:trPr>
          <w:tblHeader/>
        </w:trPr>
        <w:tc>
          <w:tcPr>
            <w:tcW w:w="4230" w:type="dxa"/>
            <w:vAlign w:val="center"/>
          </w:tcPr>
          <w:p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tc>
          <w:tcPr>
            <w:tcW w:w="4230" w:type="dxa"/>
            <w:shd w:val="clear" w:color="auto" w:fill="E6E6E6"/>
          </w:tcPr>
          <w:p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rsidR="005834BB" w:rsidRPr="00F0792C" w:rsidRDefault="005834BB" w:rsidP="005834BB">
            <w:pPr>
              <w:rPr>
                <w:rFonts w:asciiTheme="majorHAnsi" w:hAnsiTheme="majorHAnsi"/>
                <w:sz w:val="20"/>
                <w:szCs w:val="22"/>
              </w:rPr>
            </w:pPr>
          </w:p>
        </w:tc>
        <w:tc>
          <w:tcPr>
            <w:tcW w:w="1350" w:type="dxa"/>
            <w:shd w:val="clear" w:color="auto" w:fill="E6E6E6"/>
          </w:tcPr>
          <w:p w:rsidR="005834BB" w:rsidRPr="00F0792C" w:rsidRDefault="005834BB" w:rsidP="005834BB">
            <w:pPr>
              <w:jc w:val="center"/>
              <w:rPr>
                <w:rFonts w:asciiTheme="majorHAnsi" w:hAnsiTheme="majorHAnsi"/>
                <w:sz w:val="20"/>
                <w:szCs w:val="22"/>
              </w:rPr>
            </w:pPr>
          </w:p>
        </w:tc>
        <w:tc>
          <w:tcPr>
            <w:tcW w:w="3150" w:type="dxa"/>
            <w:shd w:val="clear" w:color="auto" w:fill="E6E6E6"/>
          </w:tcPr>
          <w:p w:rsidR="005834BB" w:rsidRPr="00F0792C" w:rsidRDefault="005834BB" w:rsidP="005834BB">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rsidR="00625870" w:rsidRPr="00F0792C" w:rsidRDefault="00625870">
            <w:pPr>
              <w:rPr>
                <w:rFonts w:asciiTheme="majorHAnsi" w:hAnsiTheme="majorHAnsi"/>
                <w:sz w:val="20"/>
                <w:szCs w:val="22"/>
              </w:rPr>
            </w:pPr>
          </w:p>
        </w:tc>
        <w:tc>
          <w:tcPr>
            <w:tcW w:w="5580" w:type="dxa"/>
          </w:tcPr>
          <w:p w:rsidR="00625870" w:rsidRPr="00F0792C" w:rsidRDefault="00625870" w:rsidP="005834BB">
            <w:pPr>
              <w:rPr>
                <w:rFonts w:asciiTheme="majorHAnsi" w:hAnsiTheme="majorHAnsi"/>
                <w:sz w:val="20"/>
                <w:szCs w:val="22"/>
              </w:rPr>
            </w:pPr>
          </w:p>
        </w:tc>
        <w:tc>
          <w:tcPr>
            <w:tcW w:w="1350" w:type="dxa"/>
          </w:tcPr>
          <w:p w:rsidR="00625870" w:rsidRPr="00F0792C" w:rsidRDefault="004318A4"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625870" w:rsidRPr="00F0792C" w:rsidRDefault="009D4468">
            <w:pPr>
              <w:rPr>
                <w:rFonts w:asciiTheme="majorHAnsi" w:hAnsiTheme="majorHAnsi"/>
                <w:sz w:val="20"/>
                <w:szCs w:val="22"/>
              </w:rPr>
            </w:pPr>
            <w:r>
              <w:rPr>
                <w:rFonts w:asciiTheme="majorHAnsi" w:hAnsiTheme="majorHAnsi"/>
                <w:sz w:val="20"/>
                <w:szCs w:val="22"/>
              </w:rPr>
              <w:t>The TM Clearing house will only be effective if centrally managed.</w:t>
            </w:r>
          </w:p>
        </w:tc>
      </w:tr>
      <w:tr w:rsidR="00C10B53" w:rsidRPr="00F0792C">
        <w:tc>
          <w:tcPr>
            <w:tcW w:w="4230" w:type="dxa"/>
          </w:tcPr>
          <w:p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rsidR="00625870" w:rsidRDefault="00625870">
            <w:pPr>
              <w:rPr>
                <w:rFonts w:asciiTheme="majorHAnsi" w:hAnsiTheme="majorHAnsi"/>
                <w:sz w:val="20"/>
                <w:szCs w:val="22"/>
              </w:rPr>
            </w:pPr>
          </w:p>
          <w:p w:rsidR="005834BB" w:rsidRDefault="005834BB">
            <w:pPr>
              <w:rPr>
                <w:rFonts w:asciiTheme="majorHAnsi" w:hAnsiTheme="majorHAnsi"/>
                <w:sz w:val="20"/>
                <w:szCs w:val="22"/>
              </w:rPr>
            </w:pPr>
          </w:p>
          <w:p w:rsidR="005834BB" w:rsidRPr="00F0792C" w:rsidRDefault="005834BB" w:rsidP="00BD6161">
            <w:pPr>
              <w:rPr>
                <w:rFonts w:asciiTheme="majorHAnsi" w:hAnsiTheme="majorHAnsi"/>
                <w:sz w:val="20"/>
                <w:szCs w:val="22"/>
              </w:rPr>
            </w:pPr>
          </w:p>
        </w:tc>
        <w:tc>
          <w:tcPr>
            <w:tcW w:w="1350" w:type="dxa"/>
          </w:tcPr>
          <w:p w:rsidR="00625870" w:rsidRPr="00F0792C" w:rsidRDefault="004318A4"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625870" w:rsidRPr="00F0792C" w:rsidRDefault="00625870">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rsidR="005834BB" w:rsidRDefault="005834BB" w:rsidP="005834BB">
            <w:pPr>
              <w:rPr>
                <w:rFonts w:asciiTheme="majorHAnsi" w:hAnsiTheme="majorHAnsi"/>
                <w:sz w:val="20"/>
                <w:szCs w:val="22"/>
              </w:rPr>
            </w:pPr>
          </w:p>
          <w:p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rsidR="00873EAA" w:rsidRDefault="00873EAA" w:rsidP="005834BB">
            <w:pPr>
              <w:rPr>
                <w:rFonts w:asciiTheme="majorHAnsi" w:hAnsiTheme="majorHAnsi"/>
                <w:sz w:val="20"/>
                <w:szCs w:val="22"/>
              </w:rPr>
            </w:pPr>
          </w:p>
          <w:p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rsidR="00625870" w:rsidRPr="00F0792C" w:rsidRDefault="00625870">
            <w:pPr>
              <w:rPr>
                <w:rFonts w:asciiTheme="majorHAnsi" w:hAnsiTheme="majorHAnsi"/>
                <w:sz w:val="20"/>
                <w:szCs w:val="22"/>
              </w:rPr>
            </w:pPr>
          </w:p>
        </w:tc>
        <w:tc>
          <w:tcPr>
            <w:tcW w:w="5580" w:type="dxa"/>
          </w:tcPr>
          <w:p w:rsidR="00772B50" w:rsidRPr="00772B50" w:rsidRDefault="002216D5"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rsidR="00772B50" w:rsidRDefault="002216D5" w:rsidP="00772B50">
            <w:pPr>
              <w:rPr>
                <w:rFonts w:asciiTheme="majorHAnsi" w:hAnsiTheme="majorHAnsi"/>
                <w:sz w:val="20"/>
                <w:szCs w:val="22"/>
              </w:rPr>
            </w:pPr>
            <w:hyperlink r:id="rId19"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rsidR="00772B50" w:rsidRPr="00772B50" w:rsidRDefault="00772B50" w:rsidP="00772B50">
            <w:pPr>
              <w:rPr>
                <w:rFonts w:asciiTheme="majorHAnsi" w:hAnsiTheme="majorHAnsi"/>
                <w:sz w:val="20"/>
                <w:szCs w:val="22"/>
              </w:rPr>
            </w:pPr>
          </w:p>
          <w:p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rsidR="00625870" w:rsidRPr="00F0792C" w:rsidRDefault="007E78CE"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A56C08" w:rsidRPr="00F0792C" w:rsidRDefault="007E78CE" w:rsidP="007E78CE">
            <w:pPr>
              <w:rPr>
                <w:rFonts w:asciiTheme="majorHAnsi" w:hAnsiTheme="majorHAnsi"/>
                <w:sz w:val="20"/>
                <w:szCs w:val="22"/>
              </w:rPr>
            </w:pPr>
            <w:r>
              <w:rPr>
                <w:rFonts w:asciiTheme="majorHAnsi" w:hAnsiTheme="majorHAnsi"/>
                <w:sz w:val="20"/>
                <w:szCs w:val="22"/>
              </w:rPr>
              <w:t>I agree on the urgent need for a transfer option</w:t>
            </w:r>
            <w:r w:rsidR="00AD6A81">
              <w:rPr>
                <w:rFonts w:asciiTheme="majorHAnsi" w:hAnsiTheme="majorHAnsi"/>
                <w:sz w:val="20"/>
                <w:szCs w:val="22"/>
              </w:rPr>
              <w:t xml:space="preserve"> per the prior BC comments</w:t>
            </w:r>
            <w:r>
              <w:rPr>
                <w:rFonts w:asciiTheme="majorHAnsi" w:hAnsiTheme="majorHAnsi"/>
                <w:sz w:val="20"/>
                <w:szCs w:val="22"/>
              </w:rPr>
              <w:t>.  However, I think we need to nuan</w:t>
            </w:r>
            <w:r w:rsidR="00AD6A81">
              <w:rPr>
                <w:rFonts w:asciiTheme="majorHAnsi" w:hAnsiTheme="majorHAnsi"/>
                <w:sz w:val="20"/>
                <w:szCs w:val="22"/>
              </w:rPr>
              <w:t>ce our response to include advic</w:t>
            </w:r>
            <w:r>
              <w:rPr>
                <w:rFonts w:asciiTheme="majorHAnsi" w:hAnsiTheme="majorHAnsi"/>
                <w:sz w:val="20"/>
                <w:szCs w:val="22"/>
              </w:rPr>
              <w:t xml:space="preserve">e on </w:t>
            </w:r>
            <w:proofErr w:type="gramStart"/>
            <w:r>
              <w:rPr>
                <w:rFonts w:asciiTheme="majorHAnsi" w:hAnsiTheme="majorHAnsi"/>
                <w:sz w:val="20"/>
                <w:szCs w:val="22"/>
              </w:rPr>
              <w:t>who</w:t>
            </w:r>
            <w:proofErr w:type="gramEnd"/>
            <w:r>
              <w:rPr>
                <w:rFonts w:asciiTheme="majorHAnsi" w:hAnsiTheme="majorHAnsi"/>
                <w:sz w:val="20"/>
                <w:szCs w:val="22"/>
              </w:rPr>
              <w:t xml:space="preserve"> the proper vendor should be.  ICANN must also commit to fixing the problems with the URS, which currently render it unworkable, </w:t>
            </w:r>
            <w:proofErr w:type="gramStart"/>
            <w:r>
              <w:rPr>
                <w:rFonts w:asciiTheme="majorHAnsi" w:hAnsiTheme="majorHAnsi"/>
                <w:sz w:val="20"/>
                <w:szCs w:val="22"/>
              </w:rPr>
              <w:t>including  the</w:t>
            </w:r>
            <w:proofErr w:type="gramEnd"/>
            <w:r>
              <w:rPr>
                <w:rFonts w:asciiTheme="majorHAnsi" w:hAnsiTheme="majorHAnsi"/>
                <w:sz w:val="20"/>
                <w:szCs w:val="22"/>
              </w:rPr>
              <w:t xml:space="preserve"> unreasonably high standard of proof (clear and convincing evidence standard vs. UDRP’s preponderance of evidence standard) and the fact that a URS provider can be opining on the sufficiency of a trademark owner’s use.  Even a single provider, if they pick the wrong one, could be a disaster.</w:t>
            </w:r>
          </w:p>
        </w:tc>
      </w:tr>
      <w:tr w:rsidR="00246FD1" w:rsidRPr="00F0792C">
        <w:tc>
          <w:tcPr>
            <w:tcW w:w="4230" w:type="dxa"/>
          </w:tcPr>
          <w:p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w:t>
            </w:r>
            <w:r w:rsidR="00581C4E" w:rsidRPr="00581C4E">
              <w:rPr>
                <w:rFonts w:asciiTheme="majorHAnsi" w:hAnsiTheme="majorHAnsi"/>
                <w:sz w:val="20"/>
                <w:szCs w:val="22"/>
              </w:rPr>
              <w:lastRenderedPageBreak/>
              <w:t>order to gain accreditation to distribute names in the new gTLDs.  </w:t>
            </w:r>
          </w:p>
          <w:p w:rsidR="00581C4E" w:rsidRDefault="00581C4E" w:rsidP="00581C4E">
            <w:pPr>
              <w:rPr>
                <w:rFonts w:asciiTheme="majorHAnsi" w:hAnsiTheme="majorHAnsi"/>
                <w:sz w:val="20"/>
                <w:szCs w:val="22"/>
              </w:rPr>
            </w:pPr>
          </w:p>
          <w:p w:rsidR="000D6405" w:rsidRDefault="00581C4E" w:rsidP="00246FD1">
            <w:pPr>
              <w:rPr>
                <w:rFonts w:asciiTheme="majorHAnsi" w:hAnsiTheme="majorHAnsi"/>
                <w:sz w:val="20"/>
                <w:szCs w:val="22"/>
              </w:rPr>
            </w:pPr>
            <w:r w:rsidRPr="00581C4E">
              <w:rPr>
                <w:rFonts w:asciiTheme="majorHAnsi" w:hAnsiTheme="majorHAnsi"/>
                <w:sz w:val="20"/>
                <w:szCs w:val="22"/>
              </w:rPr>
              <w:t>At a minimum, ICANN should encourage each new gTLD registry to require this improved RAA for any registrar distributing or managing domain names in the new gTLDs.</w:t>
            </w:r>
          </w:p>
        </w:tc>
        <w:tc>
          <w:tcPr>
            <w:tcW w:w="5580" w:type="dxa"/>
          </w:tcPr>
          <w:p w:rsidR="00581C4E" w:rsidRPr="00581C4E" w:rsidRDefault="00581C4E" w:rsidP="00581C4E">
            <w:pPr>
              <w:rPr>
                <w:rFonts w:asciiTheme="majorHAnsi" w:hAnsiTheme="majorHAnsi"/>
                <w:sz w:val="20"/>
                <w:szCs w:val="22"/>
              </w:rPr>
            </w:pPr>
            <w:r>
              <w:rPr>
                <w:rFonts w:asciiTheme="majorHAnsi" w:hAnsiTheme="majorHAnsi"/>
                <w:sz w:val="20"/>
                <w:szCs w:val="22"/>
              </w:rPr>
              <w:lastRenderedPageBreak/>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w:t>
            </w:r>
            <w:r w:rsidRPr="00581C4E">
              <w:rPr>
                <w:rFonts w:asciiTheme="majorHAnsi" w:hAnsiTheme="majorHAnsi"/>
                <w:sz w:val="20"/>
                <w:szCs w:val="22"/>
              </w:rPr>
              <w:lastRenderedPageBreak/>
              <w:t xml:space="preserve">for stronger requirements on registrars, incl WHOIS accuracy, WHOIS Access, transfers, tasting, etc. </w:t>
            </w:r>
          </w:p>
          <w:p w:rsidR="00246FD1" w:rsidRPr="00246FD1" w:rsidRDefault="00246FD1" w:rsidP="00246FD1">
            <w:pPr>
              <w:rPr>
                <w:rFonts w:asciiTheme="majorHAnsi" w:hAnsiTheme="majorHAnsi"/>
                <w:sz w:val="20"/>
                <w:szCs w:val="22"/>
              </w:rPr>
            </w:pPr>
          </w:p>
        </w:tc>
        <w:tc>
          <w:tcPr>
            <w:tcW w:w="1350" w:type="dxa"/>
          </w:tcPr>
          <w:p w:rsidR="00246FD1" w:rsidRPr="00F0792C" w:rsidRDefault="00075E26" w:rsidP="00F0792C">
            <w:pPr>
              <w:jc w:val="center"/>
              <w:rPr>
                <w:rFonts w:asciiTheme="majorHAnsi" w:hAnsiTheme="majorHAnsi"/>
                <w:sz w:val="20"/>
                <w:szCs w:val="22"/>
              </w:rPr>
            </w:pPr>
            <w:r>
              <w:rPr>
                <w:rFonts w:asciiTheme="majorHAnsi" w:hAnsiTheme="majorHAnsi"/>
                <w:sz w:val="20"/>
                <w:szCs w:val="22"/>
              </w:rPr>
              <w:lastRenderedPageBreak/>
              <w:t>Y</w:t>
            </w:r>
          </w:p>
        </w:tc>
        <w:tc>
          <w:tcPr>
            <w:tcW w:w="3150" w:type="dxa"/>
          </w:tcPr>
          <w:p w:rsidR="00246FD1" w:rsidRPr="00F0792C" w:rsidRDefault="007E78CE">
            <w:pPr>
              <w:rPr>
                <w:rFonts w:asciiTheme="majorHAnsi" w:hAnsiTheme="majorHAnsi"/>
                <w:sz w:val="20"/>
                <w:szCs w:val="22"/>
              </w:rPr>
            </w:pPr>
            <w:r>
              <w:rPr>
                <w:rFonts w:asciiTheme="majorHAnsi" w:hAnsiTheme="majorHAnsi"/>
                <w:sz w:val="20"/>
                <w:szCs w:val="22"/>
              </w:rPr>
              <w:t xml:space="preserve">Any new registry (and underlying registrars) should be required to </w:t>
            </w:r>
            <w:r>
              <w:rPr>
                <w:rFonts w:asciiTheme="majorHAnsi" w:hAnsiTheme="majorHAnsi"/>
                <w:sz w:val="20"/>
                <w:szCs w:val="22"/>
              </w:rPr>
              <w:lastRenderedPageBreak/>
              <w:t>comply with the RAA in whatever form and the new RAA will hopefully have the new safeguards for law enforcement, consumer protection etc.</w:t>
            </w:r>
          </w:p>
        </w:tc>
      </w:tr>
      <w:tr w:rsidR="009F6AB0" w:rsidRPr="00F0792C">
        <w:tc>
          <w:tcPr>
            <w:tcW w:w="4230" w:type="dxa"/>
          </w:tcPr>
          <w:p w:rsidR="009F6AB0" w:rsidRDefault="009F6AB0" w:rsidP="00581C4E">
            <w:pPr>
              <w:rPr>
                <w:rFonts w:asciiTheme="majorHAnsi" w:hAnsiTheme="majorHAnsi"/>
                <w:sz w:val="20"/>
                <w:szCs w:val="22"/>
              </w:rPr>
            </w:pPr>
          </w:p>
          <w:p w:rsidR="009F6AB0" w:rsidRPr="000D6405" w:rsidRDefault="009F6AB0"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7065C6" w:rsidRDefault="00075E26" w:rsidP="00581C4E">
            <w:pPr>
              <w:jc w:val="center"/>
              <w:rPr>
                <w:rFonts w:asciiTheme="majorHAnsi" w:hAnsiTheme="majorHAnsi"/>
                <w:sz w:val="20"/>
                <w:szCs w:val="22"/>
              </w:rPr>
            </w:pPr>
            <w:r w:rsidRPr="007065C6">
              <w:rPr>
                <w:rFonts w:asciiTheme="majorHAnsi" w:hAnsiTheme="majorHAnsi"/>
                <w:sz w:val="20"/>
                <w:szCs w:val="22"/>
              </w:rPr>
              <w:t>Y</w:t>
            </w:r>
          </w:p>
        </w:tc>
        <w:tc>
          <w:tcPr>
            <w:tcW w:w="3150" w:type="dxa"/>
          </w:tcPr>
          <w:p w:rsidR="00B03E19" w:rsidRPr="0090718B" w:rsidRDefault="007065C6" w:rsidP="007065C6">
            <w:pPr>
              <w:rPr>
                <w:rFonts w:asciiTheme="majorHAnsi" w:hAnsiTheme="majorHAnsi"/>
                <w:sz w:val="20"/>
                <w:szCs w:val="22"/>
              </w:rPr>
            </w:pPr>
            <w:r>
              <w:rPr>
                <w:rFonts w:asciiTheme="majorHAnsi" w:hAnsiTheme="majorHAnsi"/>
                <w:sz w:val="20"/>
                <w:szCs w:val="22"/>
              </w:rPr>
              <w:t xml:space="preserve"> </w:t>
            </w:r>
            <w:r w:rsidR="007E78CE">
              <w:rPr>
                <w:rFonts w:asciiTheme="majorHAnsi" w:hAnsiTheme="majorHAnsi"/>
                <w:sz w:val="20"/>
                <w:szCs w:val="22"/>
              </w:rPr>
              <w:t>Agree but I also believe the commercial auctions are a similar revenue-generation scheme with little correlation to who is best suited to operate as a registry</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(6) </w:t>
            </w:r>
            <w:r w:rsidRPr="000D6405">
              <w:rPr>
                <w:rFonts w:asciiTheme="majorHAnsi" w:hAnsiTheme="majorHAnsi"/>
                <w:sz w:val="20"/>
                <w:szCs w:val="22"/>
              </w:rPr>
              <w:t>Review the conditions under which a trademark name might end up being sent to auction mechanisms, and improve other options</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F0792C" w:rsidRDefault="0090718B" w:rsidP="00581C4E">
            <w:pPr>
              <w:jc w:val="center"/>
              <w:rPr>
                <w:rFonts w:asciiTheme="majorHAnsi" w:hAnsiTheme="majorHAnsi"/>
                <w:sz w:val="20"/>
                <w:szCs w:val="22"/>
              </w:rPr>
            </w:pPr>
            <w:r>
              <w:rPr>
                <w:rFonts w:asciiTheme="majorHAnsi" w:hAnsiTheme="majorHAnsi"/>
                <w:sz w:val="20"/>
                <w:szCs w:val="22"/>
              </w:rPr>
              <w:t>Y</w:t>
            </w:r>
          </w:p>
        </w:tc>
        <w:tc>
          <w:tcPr>
            <w:tcW w:w="3150" w:type="dxa"/>
          </w:tcPr>
          <w:p w:rsidR="009F6AB0" w:rsidRPr="0090718B" w:rsidRDefault="009F6AB0" w:rsidP="00581C4E">
            <w:pPr>
              <w:rPr>
                <w:rFonts w:asciiTheme="majorHAnsi" w:hAnsiTheme="majorHAnsi"/>
                <w:sz w:val="20"/>
                <w:szCs w:val="22"/>
              </w:rPr>
            </w:pP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rsidR="009F6AB0" w:rsidRDefault="009F6AB0" w:rsidP="00581C4E">
            <w:pPr>
              <w:rPr>
                <w:rFonts w:asciiTheme="majorHAnsi" w:hAnsiTheme="majorHAnsi"/>
                <w:sz w:val="20"/>
                <w:szCs w:val="22"/>
              </w:rPr>
            </w:pP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F0792C" w:rsidRDefault="0090718B" w:rsidP="00581C4E">
            <w:pPr>
              <w:jc w:val="center"/>
              <w:rPr>
                <w:rFonts w:asciiTheme="majorHAnsi" w:hAnsiTheme="majorHAnsi"/>
                <w:sz w:val="20"/>
                <w:szCs w:val="22"/>
              </w:rPr>
            </w:pPr>
            <w:r>
              <w:rPr>
                <w:rFonts w:asciiTheme="majorHAnsi" w:hAnsiTheme="majorHAnsi"/>
                <w:sz w:val="20"/>
                <w:szCs w:val="22"/>
              </w:rPr>
              <w:t>Y</w:t>
            </w:r>
          </w:p>
        </w:tc>
        <w:tc>
          <w:tcPr>
            <w:tcW w:w="3150" w:type="dxa"/>
          </w:tcPr>
          <w:p w:rsidR="009F6AB0" w:rsidRPr="0090718B" w:rsidRDefault="007E78CE" w:rsidP="00B10F1A">
            <w:pPr>
              <w:rPr>
                <w:rFonts w:asciiTheme="majorHAnsi" w:hAnsiTheme="majorHAnsi"/>
                <w:sz w:val="20"/>
                <w:szCs w:val="22"/>
              </w:rPr>
            </w:pPr>
            <w:r>
              <w:rPr>
                <w:rFonts w:asciiTheme="majorHAnsi" w:hAnsiTheme="majorHAnsi"/>
                <w:sz w:val="20"/>
                <w:szCs w:val="22"/>
              </w:rPr>
              <w:t xml:space="preserve">Although I agree that thick WHOIS does not always equate with accurate WHOIS, the BC has always been in support of more accurate WHOIS so we should support stronger WHOIS authentication, especially where domain names are registered </w:t>
            </w:r>
            <w:proofErr w:type="gramStart"/>
            <w:r>
              <w:rPr>
                <w:rFonts w:asciiTheme="majorHAnsi" w:hAnsiTheme="majorHAnsi"/>
                <w:sz w:val="20"/>
                <w:szCs w:val="22"/>
              </w:rPr>
              <w:t xml:space="preserve">through  </w:t>
            </w:r>
            <w:proofErr w:type="spellStart"/>
            <w:r>
              <w:rPr>
                <w:rFonts w:asciiTheme="majorHAnsi" w:hAnsiTheme="majorHAnsi"/>
                <w:sz w:val="20"/>
                <w:szCs w:val="22"/>
              </w:rPr>
              <w:t>a</w:t>
            </w:r>
            <w:proofErr w:type="spellEnd"/>
            <w:proofErr w:type="gramEnd"/>
            <w:r>
              <w:rPr>
                <w:rFonts w:asciiTheme="majorHAnsi" w:hAnsiTheme="majorHAnsi"/>
                <w:sz w:val="20"/>
                <w:szCs w:val="22"/>
              </w:rPr>
              <w:t xml:space="preserve"> privacy service.  Registrars should warn potential registrants who search for a new domain name using a “domain spinner tool” that the name they are searching may be similar to a third party’s trademarks and have them acknowledge receipt of the warning when registering a name along with a </w:t>
            </w:r>
            <w:r>
              <w:rPr>
                <w:rFonts w:asciiTheme="majorHAnsi" w:hAnsiTheme="majorHAnsi"/>
                <w:sz w:val="20"/>
                <w:szCs w:val="22"/>
              </w:rPr>
              <w:lastRenderedPageBreak/>
              <w:t>good faith belief that they are not violating the rights of third parties</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lastRenderedPageBreak/>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rsidR="009F6AB0" w:rsidRDefault="009F6AB0" w:rsidP="00581C4E">
            <w:pPr>
              <w:rPr>
                <w:rFonts w:asciiTheme="majorHAnsi" w:hAnsiTheme="majorHAnsi"/>
                <w:sz w:val="20"/>
                <w:szCs w:val="22"/>
              </w:rPr>
            </w:pPr>
            <w:r w:rsidRPr="000D6405">
              <w:rPr>
                <w:rFonts w:asciiTheme="majorHAnsi" w:hAnsiTheme="majorHAnsi"/>
                <w:sz w:val="20"/>
                <w:szCs w:val="22"/>
              </w:rPr>
              <w:t xml:space="preserve">Operate this for two years, </w:t>
            </w:r>
            <w:r>
              <w:rPr>
                <w:rFonts w:asciiTheme="majorHAnsi" w:hAnsiTheme="majorHAnsi"/>
                <w:sz w:val="20"/>
                <w:szCs w:val="22"/>
              </w:rPr>
              <w:t>then evaluate continuation of</w:t>
            </w:r>
            <w:r w:rsidRPr="000D6405">
              <w:rPr>
                <w:rFonts w:asciiTheme="majorHAnsi" w:hAnsiTheme="majorHAnsi"/>
                <w:sz w:val="20"/>
                <w:szCs w:val="22"/>
              </w:rPr>
              <w:t xml:space="preserve"> this service.  </w:t>
            </w:r>
          </w:p>
          <w:p w:rsidR="009F6AB0" w:rsidRDefault="009F6AB0" w:rsidP="00DD7A9C">
            <w:pPr>
              <w:rPr>
                <w:rFonts w:asciiTheme="majorHAnsi" w:hAnsiTheme="majorHAnsi"/>
                <w:sz w:val="20"/>
                <w:szCs w:val="22"/>
              </w:rPr>
            </w:pPr>
            <w:r>
              <w:rPr>
                <w:rFonts w:asciiTheme="majorHAnsi" w:hAnsiTheme="majorHAnsi"/>
                <w:sz w:val="20"/>
                <w:szCs w:val="22"/>
              </w:rPr>
              <w:t>The</w:t>
            </w:r>
            <w:r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rsidR="009F6AB0" w:rsidRDefault="002216D5" w:rsidP="00DD7A9C">
            <w:pPr>
              <w:rPr>
                <w:rFonts w:asciiTheme="majorHAnsi" w:hAnsiTheme="majorHAnsi"/>
                <w:sz w:val="20"/>
                <w:szCs w:val="22"/>
              </w:rPr>
            </w:pPr>
            <w:hyperlink r:id="rId20" w:history="1">
              <w:r w:rsidR="009F6AB0" w:rsidRPr="00C10B53">
                <w:rPr>
                  <w:rStyle w:val="Hyperlink"/>
                  <w:rFonts w:asciiTheme="majorHAnsi" w:hAnsiTheme="majorHAnsi"/>
                  <w:sz w:val="20"/>
                  <w:szCs w:val="22"/>
                </w:rPr>
                <w:t>BC position ICANN Staff Recommendations for RPMs</w:t>
              </w:r>
            </w:hyperlink>
            <w:r w:rsidR="009F6AB0" w:rsidRPr="00C10B53">
              <w:rPr>
                <w:rFonts w:asciiTheme="majorHAnsi" w:hAnsiTheme="majorHAnsi"/>
                <w:sz w:val="20"/>
                <w:szCs w:val="22"/>
              </w:rPr>
              <w:t>, Nov-2009</w:t>
            </w:r>
            <w:r w:rsidR="009F6AB0">
              <w:rPr>
                <w:rFonts w:asciiTheme="majorHAnsi" w:hAnsiTheme="majorHAnsi"/>
                <w:sz w:val="20"/>
                <w:szCs w:val="22"/>
              </w:rPr>
              <w:t xml:space="preserve"> </w:t>
            </w:r>
          </w:p>
          <w:p w:rsidR="009F6AB0" w:rsidRDefault="009F6AB0"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rsidR="009F6AB0" w:rsidRPr="00DD7A9C" w:rsidRDefault="009F6AB0" w:rsidP="00DD7A9C">
            <w:pPr>
              <w:rPr>
                <w:rFonts w:asciiTheme="majorHAnsi" w:hAnsiTheme="majorHAnsi"/>
                <w:sz w:val="20"/>
                <w:szCs w:val="22"/>
              </w:rPr>
            </w:pPr>
          </w:p>
          <w:p w:rsidR="009F6AB0" w:rsidRPr="00DD7A9C" w:rsidRDefault="009F6AB0"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rsidR="009F6AB0" w:rsidRPr="00246FD1" w:rsidRDefault="009F6AB0" w:rsidP="00DD7A9C">
            <w:pPr>
              <w:rPr>
                <w:rFonts w:asciiTheme="majorHAnsi" w:hAnsiTheme="majorHAnsi"/>
                <w:sz w:val="20"/>
                <w:szCs w:val="22"/>
              </w:rPr>
            </w:pPr>
          </w:p>
        </w:tc>
        <w:tc>
          <w:tcPr>
            <w:tcW w:w="1350" w:type="dxa"/>
          </w:tcPr>
          <w:p w:rsidR="009F6AB0" w:rsidRPr="0090718B" w:rsidRDefault="0090718B" w:rsidP="00581C4E">
            <w:pPr>
              <w:jc w:val="center"/>
              <w:rPr>
                <w:rFonts w:asciiTheme="majorHAnsi" w:hAnsiTheme="majorHAnsi"/>
                <w:sz w:val="20"/>
                <w:szCs w:val="22"/>
              </w:rPr>
            </w:pPr>
            <w:r w:rsidRPr="0090718B">
              <w:rPr>
                <w:rFonts w:asciiTheme="majorHAnsi" w:hAnsiTheme="majorHAnsi"/>
                <w:sz w:val="20"/>
                <w:szCs w:val="22"/>
              </w:rPr>
              <w:t>Y</w:t>
            </w:r>
          </w:p>
        </w:tc>
        <w:tc>
          <w:tcPr>
            <w:tcW w:w="3150" w:type="dxa"/>
          </w:tcPr>
          <w:p w:rsidR="00CE3355" w:rsidRPr="0090718B" w:rsidRDefault="007E78CE" w:rsidP="00AD6A81">
            <w:pPr>
              <w:rPr>
                <w:rFonts w:asciiTheme="majorHAnsi" w:hAnsiTheme="majorHAnsi"/>
                <w:sz w:val="20"/>
                <w:szCs w:val="22"/>
              </w:rPr>
            </w:pPr>
            <w:r>
              <w:rPr>
                <w:rFonts w:asciiTheme="majorHAnsi" w:hAnsiTheme="majorHAnsi"/>
                <w:sz w:val="20"/>
                <w:szCs w:val="22"/>
              </w:rPr>
              <w:t xml:space="preserve">Trademark owners should have a one-stop opt-out option for either low fee or </w:t>
            </w:r>
            <w:proofErr w:type="gramStart"/>
            <w:r>
              <w:rPr>
                <w:rFonts w:asciiTheme="majorHAnsi" w:hAnsiTheme="majorHAnsi"/>
                <w:sz w:val="20"/>
                <w:szCs w:val="22"/>
              </w:rPr>
              <w:t>no</w:t>
            </w:r>
            <w:r w:rsidR="00AD6A81">
              <w:rPr>
                <w:rFonts w:asciiTheme="majorHAnsi" w:hAnsiTheme="majorHAnsi"/>
                <w:sz w:val="20"/>
                <w:szCs w:val="22"/>
              </w:rPr>
              <w:t>-</w:t>
            </w:r>
            <w:r>
              <w:rPr>
                <w:rFonts w:asciiTheme="majorHAnsi" w:hAnsiTheme="majorHAnsi"/>
                <w:sz w:val="20"/>
                <w:szCs w:val="22"/>
              </w:rPr>
              <w:t xml:space="preserve"> cost </w:t>
            </w:r>
            <w:r w:rsidR="00AD6A81">
              <w:rPr>
                <w:rFonts w:asciiTheme="majorHAnsi" w:hAnsiTheme="majorHAnsi"/>
                <w:sz w:val="20"/>
                <w:szCs w:val="22"/>
              </w:rPr>
              <w:t>“</w:t>
            </w:r>
            <w:r>
              <w:rPr>
                <w:rFonts w:asciiTheme="majorHAnsi" w:hAnsiTheme="majorHAnsi"/>
                <w:sz w:val="20"/>
                <w:szCs w:val="22"/>
              </w:rPr>
              <w:t>do not register</w:t>
            </w:r>
            <w:r w:rsidR="00AD6A81">
              <w:rPr>
                <w:rFonts w:asciiTheme="majorHAnsi" w:hAnsiTheme="majorHAnsi"/>
                <w:sz w:val="20"/>
                <w:szCs w:val="22"/>
              </w:rPr>
              <w:t>”</w:t>
            </w:r>
            <w:proofErr w:type="gramEnd"/>
            <w:r w:rsidR="00AD6A81">
              <w:rPr>
                <w:rFonts w:asciiTheme="majorHAnsi" w:hAnsiTheme="majorHAnsi"/>
                <w:sz w:val="20"/>
                <w:szCs w:val="22"/>
              </w:rPr>
              <w:t xml:space="preserve"> service</w:t>
            </w:r>
            <w:bookmarkStart w:id="0" w:name="_GoBack"/>
            <w:bookmarkEnd w:id="0"/>
            <w:r>
              <w:rPr>
                <w:rFonts w:asciiTheme="majorHAnsi" w:hAnsiTheme="majorHAnsi"/>
                <w:sz w:val="20"/>
                <w:szCs w:val="22"/>
              </w:rPr>
              <w:t xml:space="preserve">.  In the case of disputes, there could be an administrative process similar to the UDRP. Governments, NGOs, nonprofits, </w:t>
            </w:r>
            <w:proofErr w:type="spellStart"/>
            <w:r>
              <w:rPr>
                <w:rFonts w:asciiTheme="majorHAnsi" w:hAnsiTheme="majorHAnsi"/>
                <w:sz w:val="20"/>
                <w:szCs w:val="22"/>
              </w:rPr>
              <w:t>etc</w:t>
            </w:r>
            <w:proofErr w:type="spellEnd"/>
            <w:r>
              <w:rPr>
                <w:rFonts w:asciiTheme="majorHAnsi" w:hAnsiTheme="majorHAnsi"/>
                <w:sz w:val="20"/>
                <w:szCs w:val="22"/>
              </w:rPr>
              <w:t xml:space="preserve"> should all have equal access to this remedy.</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6B3E10" w:rsidRDefault="006B3E10" w:rsidP="00581C4E">
            <w:pPr>
              <w:jc w:val="center"/>
              <w:rPr>
                <w:rFonts w:asciiTheme="majorHAnsi" w:hAnsiTheme="majorHAnsi"/>
                <w:sz w:val="20"/>
                <w:szCs w:val="22"/>
              </w:rPr>
            </w:pPr>
            <w:r w:rsidRPr="006B3E10">
              <w:rPr>
                <w:rFonts w:asciiTheme="majorHAnsi" w:hAnsiTheme="majorHAnsi"/>
                <w:sz w:val="20"/>
                <w:szCs w:val="22"/>
              </w:rPr>
              <w:t>Y</w:t>
            </w:r>
          </w:p>
        </w:tc>
        <w:tc>
          <w:tcPr>
            <w:tcW w:w="3150" w:type="dxa"/>
          </w:tcPr>
          <w:p w:rsidR="00CE3355" w:rsidRPr="006B3E10" w:rsidRDefault="00AD6A81" w:rsidP="00CE3355">
            <w:pPr>
              <w:rPr>
                <w:rFonts w:asciiTheme="majorHAnsi" w:hAnsiTheme="majorHAnsi"/>
                <w:sz w:val="20"/>
                <w:szCs w:val="22"/>
              </w:rPr>
            </w:pPr>
            <w:r>
              <w:rPr>
                <w:rFonts w:asciiTheme="majorHAnsi" w:hAnsiTheme="majorHAnsi"/>
                <w:sz w:val="20"/>
                <w:szCs w:val="22"/>
              </w:rPr>
              <w:t>YES BUT if initial launch proves to be a failure, I would urge re-examination of the entire scheme before Internet security and stability is further jeopardized.</w:t>
            </w:r>
          </w:p>
        </w:tc>
      </w:tr>
    </w:tbl>
    <w:p w:rsidR="00F0792C" w:rsidRPr="00F0792C" w:rsidRDefault="00F0792C">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rsidR="00625870" w:rsidRPr="00625870" w:rsidRDefault="00625870" w:rsidP="00625870">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AD6A81">
        <w:rPr>
          <w:rFonts w:asciiTheme="majorHAnsi" w:hAnsiTheme="majorHAnsi"/>
          <w:sz w:val="22"/>
          <w:szCs w:val="22"/>
        </w:rPr>
        <w:t xml:space="preserve">Sarah Deutsch </w:t>
      </w:r>
    </w:p>
    <w:p w:rsidR="00625870" w:rsidRPr="00625870" w:rsidRDefault="00625870" w:rsidP="00625870">
      <w:pPr>
        <w:rPr>
          <w:rFonts w:asciiTheme="majorHAnsi" w:hAnsiTheme="majorHAnsi"/>
          <w:sz w:val="22"/>
          <w:szCs w:val="22"/>
        </w:rPr>
      </w:pPr>
      <w:proofErr w:type="spellStart"/>
      <w:r w:rsidRPr="00625870">
        <w:rPr>
          <w:rFonts w:asciiTheme="majorHAnsi" w:hAnsiTheme="majorHAnsi"/>
          <w:sz w:val="22"/>
          <w:szCs w:val="22"/>
        </w:rPr>
        <w:t>Organisation</w:t>
      </w:r>
      <w:proofErr w:type="spellEnd"/>
      <w:r w:rsidRPr="00625870">
        <w:rPr>
          <w:rFonts w:asciiTheme="majorHAnsi" w:hAnsiTheme="majorHAnsi"/>
          <w:sz w:val="22"/>
          <w:szCs w:val="22"/>
        </w:rPr>
        <w:t>:</w:t>
      </w:r>
      <w:r w:rsidRPr="00625870">
        <w:rPr>
          <w:rFonts w:asciiTheme="majorHAnsi" w:hAnsiTheme="majorHAnsi"/>
          <w:sz w:val="22"/>
          <w:szCs w:val="22"/>
        </w:rPr>
        <w:tab/>
      </w:r>
      <w:r w:rsidR="00AD6A81">
        <w:rPr>
          <w:rFonts w:asciiTheme="majorHAnsi" w:hAnsiTheme="majorHAnsi"/>
          <w:sz w:val="22"/>
          <w:szCs w:val="22"/>
        </w:rPr>
        <w:t>Verizon</w:t>
      </w:r>
    </w:p>
    <w:p w:rsidR="00F0792C" w:rsidRPr="00F0792C" w:rsidRDefault="00F0792C">
      <w:pPr>
        <w:rPr>
          <w:rFonts w:asciiTheme="majorHAnsi" w:hAnsiTheme="majorHAnsi"/>
          <w:sz w:val="22"/>
          <w:szCs w:val="22"/>
        </w:rPr>
      </w:pPr>
    </w:p>
    <w:sectPr w:rsidR="00F0792C" w:rsidRPr="00F0792C" w:rsidSect="000D6405">
      <w:headerReference w:type="even" r:id="rId21"/>
      <w:headerReference w:type="default" r:id="rId22"/>
      <w:footerReference w:type="even" r:id="rId23"/>
      <w:footerReference w:type="default" r:id="rId24"/>
      <w:headerReference w:type="first" r:id="rId25"/>
      <w:footerReference w:type="first" r:id="rId26"/>
      <w:pgSz w:w="15840" w:h="12240" w:orient="landscape"/>
      <w:pgMar w:top="1440" w:right="1008" w:bottom="1440" w:left="100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F1A" w:rsidRDefault="00B10F1A" w:rsidP="00C10B53">
      <w:r>
        <w:separator/>
      </w:r>
    </w:p>
  </w:endnote>
  <w:endnote w:type="continuationSeparator" w:id="0">
    <w:p w:rsidR="00B10F1A" w:rsidRDefault="00B10F1A" w:rsidP="00C1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F1A" w:rsidRPr="002216D5" w:rsidRDefault="00B10F1A" w:rsidP="002216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F1A" w:rsidRPr="002216D5" w:rsidRDefault="00B10F1A" w:rsidP="002216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D5" w:rsidRDefault="002216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F1A" w:rsidRDefault="00B10F1A" w:rsidP="00C10B53">
      <w:r>
        <w:separator/>
      </w:r>
    </w:p>
  </w:footnote>
  <w:footnote w:type="continuationSeparator" w:id="0">
    <w:p w:rsidR="00B10F1A" w:rsidRDefault="00B10F1A" w:rsidP="00C10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D5" w:rsidRDefault="002216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D5" w:rsidRDefault="002216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D5" w:rsidRDefault="002216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92C"/>
    <w:rsid w:val="00024D9B"/>
    <w:rsid w:val="00075E26"/>
    <w:rsid w:val="00076DE7"/>
    <w:rsid w:val="000D6405"/>
    <w:rsid w:val="000E1FF1"/>
    <w:rsid w:val="001F4B06"/>
    <w:rsid w:val="002216D5"/>
    <w:rsid w:val="00246FD1"/>
    <w:rsid w:val="002C44DD"/>
    <w:rsid w:val="002D740B"/>
    <w:rsid w:val="003C1B13"/>
    <w:rsid w:val="004318A4"/>
    <w:rsid w:val="004F2A5C"/>
    <w:rsid w:val="00522C0A"/>
    <w:rsid w:val="005608E3"/>
    <w:rsid w:val="00581C4E"/>
    <w:rsid w:val="005834BB"/>
    <w:rsid w:val="00587F68"/>
    <w:rsid w:val="00625870"/>
    <w:rsid w:val="006B3E10"/>
    <w:rsid w:val="007065C6"/>
    <w:rsid w:val="00714327"/>
    <w:rsid w:val="0072429B"/>
    <w:rsid w:val="00726518"/>
    <w:rsid w:val="007445C5"/>
    <w:rsid w:val="00772B50"/>
    <w:rsid w:val="0078449E"/>
    <w:rsid w:val="007E78CE"/>
    <w:rsid w:val="00873EAA"/>
    <w:rsid w:val="0090718B"/>
    <w:rsid w:val="00911849"/>
    <w:rsid w:val="009D4468"/>
    <w:rsid w:val="009D4797"/>
    <w:rsid w:val="009F5CA1"/>
    <w:rsid w:val="009F6AB0"/>
    <w:rsid w:val="00A32A10"/>
    <w:rsid w:val="00A56C08"/>
    <w:rsid w:val="00AD6A81"/>
    <w:rsid w:val="00B03E19"/>
    <w:rsid w:val="00B07E26"/>
    <w:rsid w:val="00B10F1A"/>
    <w:rsid w:val="00B51F8A"/>
    <w:rsid w:val="00BD6161"/>
    <w:rsid w:val="00C10B53"/>
    <w:rsid w:val="00CE3355"/>
    <w:rsid w:val="00D476FA"/>
    <w:rsid w:val="00DB3E12"/>
    <w:rsid w:val="00DD7A9C"/>
    <w:rsid w:val="00F0792C"/>
    <w:rsid w:val="00F36F34"/>
    <w:rsid w:val="00F37FB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const.org/Positions-Statements/Position-11-2009_Staff_Proposals_Rights_Protection_Mechanism_New_gTLDs.pdf" TargetMode="External"/><Relationship Id="rId13" Type="http://schemas.openxmlformats.org/officeDocument/2006/relationships/hyperlink" Target="http://www.bizconst.org/Positions-Statements/Position_01_2009_draft_guidebook_TLDs.doc" TargetMode="External"/><Relationship Id="rId18" Type="http://schemas.openxmlformats.org/officeDocument/2006/relationships/hyperlink" Target="http://forum.icann.org/lists/bc-gnso/msg01352.html"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izconst.org/Positions-Statements/BC+on+Final+App+Guidebook+May+2011+v3.pdf" TargetMode="External"/><Relationship Id="rId17" Type="http://schemas.openxmlformats.org/officeDocument/2006/relationships/hyperlink" Target="http://www.bizconst.org/Positions-Statements/BC+on+Final+App+Guidebook+May+2011+v3.pdf"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bizconst.org/Positions-Statements/BC+on+Final+App+Guidebook+May+2011+v3.pdf" TargetMode="External"/><Relationship Id="rId20" Type="http://schemas.openxmlformats.org/officeDocument/2006/relationships/hyperlink" Target="http://www.bizconst.org/Positions-Statements/Position-11-2009_Staff_Proposals_Rights_Protection_Mechanism_New_gTLDs.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izconst.org/Positions-Statements/BC+on+Final+App+Guidebook+May+2011+v3.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izconst.org/Positions-Statements/Position-11-2009_Staff_Proposals_Rights_Protection_Mechanism_New_gTLDs.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izconst.org/Positions-Statements/BC+on+Final+App+Guidebook+May+2011+v3.pdf" TargetMode="External"/><Relationship Id="rId19" Type="http://schemas.openxmlformats.org/officeDocument/2006/relationships/hyperlink" Target="http://www.bizconst.org/Positions-Statements/Position-11-2009_Staff_Proposals_Rights_Protection_Mechanism_New_gTLDs.pdf" TargetMode="External"/><Relationship Id="rId4" Type="http://schemas.openxmlformats.org/officeDocument/2006/relationships/settings" Target="settings.xml"/><Relationship Id="rId9" Type="http://schemas.openxmlformats.org/officeDocument/2006/relationships/hyperlink" Target="http://forum.icann.org/lists/bc-gnso/msg01352.html" TargetMode="External"/><Relationship Id="rId14" Type="http://schemas.openxmlformats.org/officeDocument/2006/relationships/hyperlink" Target="http://forum.icann.org/lists/bc-gnso/msg01352.htm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2045</Words>
  <Characters>11659</Characters>
  <Application>Microsoft Office Word</Application>
  <DocSecurity>0</DocSecurity>
  <Lines>97</Lines>
  <Paragraphs>27</Paragraphs>
  <ScaleCrop>false</ScaleCrop>
  <LinksUpToDate>false</LinksUpToDate>
  <CharactersWithSpaces>13677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2012-02-17T01:10:00Z</dcterms:created>
  <dcterms:modified xsi:type="dcterms:W3CDTF">2012-02-17T01:10:00Z</dcterms:modified>
</cp:coreProperties>
</file>