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DD" w:rsidRPr="008210C0" w:rsidRDefault="004259DD" w:rsidP="004259DD">
      <w:pPr>
        <w:pStyle w:val="Heading2"/>
      </w:pPr>
      <w:bookmarkStart w:id="0" w:name="_Toc291848692"/>
      <w:bookmarkStart w:id="1" w:name="_Toc291931326"/>
      <w:r>
        <w:t>1</w:t>
      </w:r>
      <w:r w:rsidRPr="008210C0">
        <w:t>.6.1.1 The Community Mechanism: Reference Mechanism</w:t>
      </w:r>
      <w:bookmarkEnd w:id="0"/>
      <w:bookmarkEnd w:id="1"/>
    </w:p>
    <w:p w:rsidR="004259DD" w:rsidRDefault="004259DD" w:rsidP="004259DD">
      <w:pPr>
        <w:pStyle w:val="ListParagraph"/>
        <w:numPr>
          <w:ilvl w:val="0"/>
          <w:numId w:val="2"/>
        </w:numPr>
        <w:spacing w:before="120" w:after="100" w:line="240" w:lineRule="auto"/>
        <w:ind w:left="1440" w:hanging="540"/>
        <w:rPr>
          <w:rFonts w:eastAsiaTheme="minorEastAsia" w:cs="Times New Roman"/>
          <w:color w:val="auto"/>
          <w:sz w:val="22"/>
          <w:szCs w:val="22"/>
        </w:rPr>
      </w:pPr>
      <w:r w:rsidRPr="008210C0">
        <w:rPr>
          <w:rFonts w:eastAsiaTheme="minorEastAsia" w:cs="Times New Roman"/>
          <w:color w:val="auto"/>
          <w:sz w:val="22"/>
          <w:szCs w:val="22"/>
        </w:rPr>
        <w:t xml:space="preserve">In its deliberations and in discussion with its independent legal counsel, it has become clear that ICANN as a non-profit corporation based in California can deliver the powers the CCWG is proposing for the community. To secure the delivery of these powers, however, ICANN needs to make use of membership or designator roles. </w:t>
      </w:r>
    </w:p>
    <w:p w:rsidR="004259DD" w:rsidRDefault="004259DD" w:rsidP="004259DD">
      <w:pPr>
        <w:pStyle w:val="ListParagraph"/>
        <w:spacing w:before="120" w:after="100" w:line="240" w:lineRule="auto"/>
        <w:ind w:left="1440"/>
        <w:rPr>
          <w:rFonts w:eastAsiaTheme="minorEastAsia" w:cs="Times New Roman"/>
          <w:color w:val="auto"/>
          <w:sz w:val="22"/>
          <w:szCs w:val="22"/>
        </w:rPr>
      </w:pPr>
    </w:p>
    <w:p w:rsidR="004259DD" w:rsidRDefault="004259DD" w:rsidP="004259DD">
      <w:pPr>
        <w:pStyle w:val="ListParagraph"/>
        <w:numPr>
          <w:ilvl w:val="0"/>
          <w:numId w:val="2"/>
        </w:numPr>
        <w:spacing w:before="120" w:after="100" w:line="240" w:lineRule="auto"/>
        <w:ind w:left="1440" w:hanging="540"/>
        <w:rPr>
          <w:rFonts w:eastAsiaTheme="minorEastAsia" w:cs="Times New Roman"/>
          <w:color w:val="auto"/>
          <w:sz w:val="22"/>
          <w:szCs w:val="22"/>
        </w:rPr>
      </w:pPr>
      <w:r w:rsidRPr="008210C0">
        <w:rPr>
          <w:rFonts w:eastAsiaTheme="minorEastAsia" w:cs="Times New Roman"/>
          <w:color w:val="auto"/>
          <w:sz w:val="22"/>
          <w:szCs w:val="22"/>
        </w:rPr>
        <w:t>With the status quo, the best we could do is to incorporate variations of the proposed powers in the ICANN bylaws, but they would be unlikely to be enforceable to the degree the global multistakeholder community - or this CCWG - would expect. In preparing for the environment that emerges following the end of the post-NTIA contract, our task as a CCWG is to strengthen ICANN’s accountability, not to allow it to be weakened. So the status quo is not an option.</w:t>
      </w:r>
    </w:p>
    <w:p w:rsidR="004259DD" w:rsidRDefault="004259DD" w:rsidP="004259DD">
      <w:pPr>
        <w:pStyle w:val="ListParagraph"/>
        <w:spacing w:before="120" w:after="100" w:line="240" w:lineRule="auto"/>
        <w:ind w:left="1440"/>
        <w:rPr>
          <w:rFonts w:eastAsiaTheme="minorEastAsia" w:cs="Times New Roman"/>
          <w:color w:val="auto"/>
          <w:sz w:val="22"/>
          <w:szCs w:val="22"/>
        </w:rPr>
      </w:pPr>
    </w:p>
    <w:p w:rsidR="004259DD" w:rsidRPr="004259DD" w:rsidRDefault="004259DD" w:rsidP="004259DD">
      <w:pPr>
        <w:pStyle w:val="ListParagraph"/>
        <w:numPr>
          <w:ilvl w:val="0"/>
          <w:numId w:val="2"/>
        </w:numPr>
        <w:spacing w:before="120" w:after="100" w:line="240" w:lineRule="auto"/>
        <w:ind w:left="1440" w:hanging="540"/>
        <w:rPr>
          <w:rFonts w:eastAsiaTheme="minorEastAsia" w:cs="Times New Roman"/>
          <w:color w:val="auto"/>
          <w:sz w:val="22"/>
          <w:szCs w:val="22"/>
        </w:rPr>
      </w:pPr>
      <w:r w:rsidRPr="008210C0">
        <w:rPr>
          <w:rFonts w:eastAsiaTheme="minorEastAsia" w:cs="Times New Roman"/>
          <w:color w:val="auto"/>
          <w:sz w:val="22"/>
          <w:szCs w:val="22"/>
        </w:rPr>
        <w:t xml:space="preserve">California law, similar to the law of many other jurisdictions, allows for membership of </w:t>
      </w:r>
      <w:proofErr w:type="gramStart"/>
      <w:r w:rsidRPr="008210C0">
        <w:rPr>
          <w:rFonts w:eastAsiaTheme="minorEastAsia" w:cs="Times New Roman"/>
          <w:color w:val="auto"/>
          <w:sz w:val="22"/>
          <w:szCs w:val="22"/>
        </w:rPr>
        <w:t>non profit</w:t>
      </w:r>
      <w:proofErr w:type="gramEnd"/>
      <w:r w:rsidRPr="008210C0">
        <w:rPr>
          <w:rFonts w:eastAsiaTheme="minorEastAsia" w:cs="Times New Roman"/>
          <w:color w:val="auto"/>
          <w:sz w:val="22"/>
          <w:szCs w:val="22"/>
        </w:rPr>
        <w:t xml:space="preserve"> corporations. Members have </w:t>
      </w:r>
      <w:r>
        <w:rPr>
          <w:rFonts w:eastAsiaTheme="minorEastAsia" w:cs="Times New Roman"/>
          <w:color w:val="auto"/>
          <w:sz w:val="22"/>
          <w:szCs w:val="22"/>
        </w:rPr>
        <w:t>a</w:t>
      </w:r>
      <w:r w:rsidRPr="008210C0">
        <w:rPr>
          <w:rFonts w:eastAsiaTheme="minorEastAsia" w:cs="Times New Roman"/>
          <w:color w:val="auto"/>
          <w:sz w:val="22"/>
          <w:szCs w:val="22"/>
        </w:rPr>
        <w:t> range of powers guaranteed in law, and the tools to enforce their rights against the corporation as well.</w:t>
      </w:r>
      <w:r>
        <w:rPr>
          <w:rFonts w:eastAsiaTheme="minorEastAsia" w:cs="Times New Roman"/>
          <w:color w:val="auto"/>
          <w:sz w:val="22"/>
          <w:szCs w:val="22"/>
        </w:rPr>
        <w:br/>
      </w:r>
    </w:p>
    <w:p w:rsidR="004259DD" w:rsidRDefault="004259DD" w:rsidP="004259DD">
      <w:pPr>
        <w:pStyle w:val="ListParagraph"/>
        <w:numPr>
          <w:ilvl w:val="0"/>
          <w:numId w:val="2"/>
        </w:numPr>
        <w:spacing w:before="120" w:after="100" w:line="240" w:lineRule="auto"/>
        <w:ind w:left="1440" w:hanging="540"/>
        <w:rPr>
          <w:rFonts w:eastAsiaTheme="minorEastAsia" w:cs="Times New Roman"/>
          <w:color w:val="auto"/>
          <w:sz w:val="22"/>
          <w:szCs w:val="22"/>
        </w:rPr>
      </w:pPr>
      <w:r w:rsidRPr="00A86B70">
        <w:rPr>
          <w:rFonts w:eastAsiaTheme="minorEastAsia" w:cs="Times New Roman"/>
          <w:color w:val="auto"/>
          <w:sz w:val="22"/>
          <w:szCs w:val="22"/>
        </w:rPr>
        <w:t xml:space="preserve">The CCWG has therefore decided to propose a </w:t>
      </w:r>
      <w:r w:rsidRPr="00A86B70">
        <w:rPr>
          <w:rFonts w:eastAsiaTheme="minorEastAsia" w:cs="Times New Roman"/>
          <w:b/>
          <w:bCs/>
          <w:color w:val="auto"/>
          <w:sz w:val="22"/>
          <w:szCs w:val="22"/>
        </w:rPr>
        <w:t>Reference Mechanism</w:t>
      </w:r>
      <w:r w:rsidRPr="00A86B70">
        <w:rPr>
          <w:rFonts w:eastAsiaTheme="minorEastAsia" w:cs="Times New Roman"/>
          <w:color w:val="auto"/>
          <w:sz w:val="22"/>
          <w:szCs w:val="22"/>
        </w:rPr>
        <w:t xml:space="preserve"> based on membership to the community in this Public Comment report, as it is the approach that - based on analysis so far - fits requirements best. The Reference Mechanism would have the following key characteristics:</w:t>
      </w:r>
    </w:p>
    <w:p w:rsidR="004259DD" w:rsidRDefault="004259DD" w:rsidP="004259DD">
      <w:pPr>
        <w:pStyle w:val="ListParagraph"/>
        <w:numPr>
          <w:ilvl w:val="1"/>
          <w:numId w:val="2"/>
        </w:numPr>
        <w:spacing w:before="120" w:after="100" w:line="240" w:lineRule="auto"/>
        <w:ind w:left="2880"/>
        <w:rPr>
          <w:rFonts w:eastAsiaTheme="minorEastAsia" w:cs="Times New Roman"/>
          <w:color w:val="auto"/>
          <w:sz w:val="22"/>
          <w:szCs w:val="22"/>
        </w:rPr>
      </w:pPr>
      <w:r w:rsidRPr="00A86B70">
        <w:rPr>
          <w:rFonts w:eastAsiaTheme="minorEastAsia" w:cs="Times New Roman"/>
          <w:color w:val="auto"/>
          <w:sz w:val="22"/>
          <w:szCs w:val="22"/>
        </w:rPr>
        <w:t xml:space="preserve">The ICANN Supporting </w:t>
      </w:r>
      <w:proofErr w:type="spellStart"/>
      <w:r w:rsidRPr="00A86B70">
        <w:rPr>
          <w:rFonts w:eastAsiaTheme="minorEastAsia" w:cs="Times New Roman"/>
          <w:color w:val="auto"/>
          <w:sz w:val="22"/>
          <w:szCs w:val="22"/>
        </w:rPr>
        <w:t>Organisations</w:t>
      </w:r>
      <w:proofErr w:type="spellEnd"/>
      <w:r w:rsidRPr="00A86B70">
        <w:rPr>
          <w:rFonts w:eastAsiaTheme="minorEastAsia" w:cs="Times New Roman"/>
          <w:color w:val="auto"/>
          <w:sz w:val="22"/>
          <w:szCs w:val="22"/>
        </w:rPr>
        <w:t xml:space="preserve"> and Advisory Committees would each become a “member” of ICANN, and through unincorporated associations would exercise the community powers set out in this part of this Report.</w:t>
      </w:r>
    </w:p>
    <w:p w:rsidR="004259DD" w:rsidRPr="00A86B70" w:rsidRDefault="004259DD" w:rsidP="004259DD">
      <w:pPr>
        <w:pStyle w:val="ListParagraph"/>
        <w:numPr>
          <w:ilvl w:val="1"/>
          <w:numId w:val="2"/>
        </w:numPr>
        <w:spacing w:before="120" w:after="100" w:line="240" w:lineRule="auto"/>
        <w:ind w:left="2880"/>
        <w:rPr>
          <w:rFonts w:eastAsiaTheme="minorEastAsia" w:cs="Times New Roman"/>
          <w:color w:val="auto"/>
          <w:sz w:val="22"/>
          <w:szCs w:val="22"/>
        </w:rPr>
      </w:pPr>
      <w:r w:rsidRPr="00A86B70">
        <w:rPr>
          <w:rFonts w:eastAsiaTheme="minorEastAsia" w:cs="Times New Roman"/>
          <w:color w:val="auto"/>
          <w:sz w:val="22"/>
          <w:szCs w:val="22"/>
        </w:rPr>
        <w:t xml:space="preserve">In their role as members, they would exercise the new community powers set out in 6.6.2-6.6.7 below. The lawyers are clear that the powers we are proposing can be </w:t>
      </w:r>
      <w:proofErr w:type="spellStart"/>
      <w:r w:rsidRPr="00A86B70">
        <w:rPr>
          <w:rFonts w:eastAsiaTheme="minorEastAsia" w:cs="Times New Roman"/>
          <w:color w:val="auto"/>
          <w:sz w:val="22"/>
          <w:szCs w:val="22"/>
        </w:rPr>
        <w:t>realised</w:t>
      </w:r>
      <w:proofErr w:type="spellEnd"/>
      <w:r w:rsidRPr="00A86B70">
        <w:rPr>
          <w:rFonts w:eastAsiaTheme="minorEastAsia" w:cs="Times New Roman"/>
          <w:color w:val="auto"/>
          <w:sz w:val="22"/>
          <w:szCs w:val="22"/>
        </w:rPr>
        <w:t xml:space="preserve"> - and enforced - with this membership model.</w:t>
      </w:r>
    </w:p>
    <w:p w:rsidR="004259DD" w:rsidRDefault="004259DD" w:rsidP="004259DD">
      <w:pPr>
        <w:pStyle w:val="ListParagraph"/>
        <w:numPr>
          <w:ilvl w:val="1"/>
          <w:numId w:val="2"/>
        </w:numPr>
        <w:spacing w:before="120" w:after="100" w:line="240" w:lineRule="auto"/>
        <w:ind w:left="2880"/>
        <w:rPr>
          <w:rFonts w:eastAsiaTheme="minorEastAsia" w:cs="Times New Roman"/>
          <w:color w:val="auto"/>
          <w:sz w:val="22"/>
          <w:szCs w:val="22"/>
        </w:rPr>
      </w:pPr>
      <w:r w:rsidRPr="00A86B70">
        <w:rPr>
          <w:rFonts w:eastAsiaTheme="minorEastAsia" w:cs="Times New Roman"/>
          <w:color w:val="auto"/>
          <w:sz w:val="22"/>
          <w:szCs w:val="22"/>
        </w:rPr>
        <w:t xml:space="preserve">There would be no need for individuals or </w:t>
      </w:r>
      <w:proofErr w:type="spellStart"/>
      <w:r w:rsidRPr="00A86B70">
        <w:rPr>
          <w:rFonts w:eastAsiaTheme="minorEastAsia" w:cs="Times New Roman"/>
          <w:color w:val="auto"/>
          <w:sz w:val="22"/>
          <w:szCs w:val="22"/>
        </w:rPr>
        <w:t>organisations</w:t>
      </w:r>
      <w:proofErr w:type="spellEnd"/>
      <w:r w:rsidRPr="00A86B70">
        <w:rPr>
          <w:rFonts w:eastAsiaTheme="minorEastAsia" w:cs="Times New Roman"/>
          <w:color w:val="auto"/>
          <w:sz w:val="22"/>
          <w:szCs w:val="22"/>
        </w:rPr>
        <w:t xml:space="preserve"> to “join” ICANN or to “join” the SOs or ACs they participate in to do anything that they currently do within ICANN. Community participants would have the choice of opting in and participating in this new accountability system, or to simply keep on doing what they do today in an ICANN that was mor</w:t>
      </w:r>
      <w:r>
        <w:rPr>
          <w:rFonts w:eastAsiaTheme="minorEastAsia" w:cs="Times New Roman"/>
          <w:color w:val="auto"/>
          <w:sz w:val="22"/>
          <w:szCs w:val="22"/>
        </w:rPr>
        <w:t>e accountable than it is today.</w:t>
      </w:r>
    </w:p>
    <w:p w:rsidR="004259DD" w:rsidRDefault="004259DD" w:rsidP="004259DD">
      <w:pPr>
        <w:pStyle w:val="ListParagraph"/>
        <w:numPr>
          <w:ilvl w:val="1"/>
          <w:numId w:val="2"/>
        </w:numPr>
        <w:spacing w:before="120" w:after="100" w:line="240" w:lineRule="auto"/>
        <w:ind w:left="2880"/>
        <w:rPr>
          <w:rFonts w:eastAsiaTheme="minorEastAsia" w:cs="Times New Roman"/>
          <w:color w:val="auto"/>
          <w:sz w:val="22"/>
          <w:szCs w:val="22"/>
        </w:rPr>
      </w:pPr>
      <w:r w:rsidRPr="00A86B70">
        <w:rPr>
          <w:rFonts w:eastAsiaTheme="minorEastAsia" w:cs="Times New Roman"/>
          <w:color w:val="auto"/>
          <w:sz w:val="22"/>
          <w:szCs w:val="22"/>
        </w:rPr>
        <w:t xml:space="preserve">Our legal advisors are clear that through this structure, there would be no material increase in the risks and liabilities individual ICANN participants face today. In fact, in some respects individual participants would be safer from hostile legal action than they are today. </w:t>
      </w:r>
    </w:p>
    <w:p w:rsidR="004259DD" w:rsidRDefault="004259DD" w:rsidP="004259DD">
      <w:pPr>
        <w:pStyle w:val="ListParagraph"/>
        <w:spacing w:before="120" w:after="100" w:line="240" w:lineRule="auto"/>
        <w:ind w:left="2880"/>
        <w:rPr>
          <w:rFonts w:eastAsiaTheme="minorEastAsia" w:cs="Times New Roman"/>
          <w:color w:val="auto"/>
          <w:sz w:val="22"/>
          <w:szCs w:val="22"/>
        </w:rPr>
      </w:pPr>
      <w:r w:rsidRPr="00117EAF">
        <w:rPr>
          <w:rFonts w:eastAsiaTheme="minorEastAsia" w:cs="Times New Roman"/>
          <w:color w:val="auto"/>
          <w:sz w:val="22"/>
          <w:szCs w:val="22"/>
          <w:highlight w:val="yellow"/>
        </w:rPr>
        <w:lastRenderedPageBreak/>
        <w:t xml:space="preserve">Our legal advisors are clear that </w:t>
      </w:r>
      <w:r w:rsidRPr="00117EAF">
        <w:rPr>
          <w:rFonts w:eastAsiaTheme="minorEastAsia" w:cs="Times New Roman"/>
          <w:b/>
          <w:color w:val="auto"/>
          <w:sz w:val="22"/>
          <w:szCs w:val="22"/>
          <w:highlight w:val="yellow"/>
        </w:rPr>
        <w:t>under</w:t>
      </w:r>
      <w:r w:rsidRPr="00117EAF">
        <w:rPr>
          <w:rFonts w:eastAsiaTheme="minorEastAsia" w:cs="Times New Roman"/>
          <w:color w:val="auto"/>
          <w:sz w:val="22"/>
          <w:szCs w:val="22"/>
          <w:highlight w:val="yellow"/>
        </w:rPr>
        <w:t xml:space="preserve"> </w:t>
      </w:r>
      <w:r w:rsidRPr="00117EAF">
        <w:rPr>
          <w:rFonts w:eastAsiaTheme="minorEastAsia" w:cs="Times New Roman"/>
          <w:b/>
          <w:color w:val="auto"/>
          <w:sz w:val="22"/>
          <w:szCs w:val="22"/>
          <w:highlight w:val="yellow"/>
        </w:rPr>
        <w:t>California law</w:t>
      </w:r>
      <w:r w:rsidRPr="00117EAF">
        <w:rPr>
          <w:rFonts w:eastAsiaTheme="minorEastAsia" w:cs="Times New Roman"/>
          <w:color w:val="auto"/>
          <w:sz w:val="22"/>
          <w:szCs w:val="22"/>
          <w:highlight w:val="yellow"/>
        </w:rPr>
        <w:t xml:space="preserve"> through this structure, there would be no material increase in the risks and liabilities individual ICANN participants face today.</w:t>
      </w:r>
    </w:p>
    <w:p w:rsidR="004259DD" w:rsidRDefault="004259DD" w:rsidP="004259DD">
      <w:pPr>
        <w:pStyle w:val="ListParagraph"/>
        <w:numPr>
          <w:ilvl w:val="1"/>
          <w:numId w:val="2"/>
        </w:numPr>
        <w:spacing w:before="120" w:after="100" w:line="240" w:lineRule="auto"/>
        <w:ind w:left="2880"/>
        <w:rPr>
          <w:rFonts w:eastAsiaTheme="minorEastAsia" w:cs="Times New Roman"/>
          <w:color w:val="auto"/>
          <w:sz w:val="22"/>
          <w:szCs w:val="22"/>
        </w:rPr>
      </w:pPr>
      <w:r w:rsidRPr="00A86B70">
        <w:rPr>
          <w:rFonts w:eastAsiaTheme="minorEastAsia" w:cs="Times New Roman"/>
          <w:color w:val="auto"/>
          <w:sz w:val="22"/>
          <w:szCs w:val="22"/>
        </w:rPr>
        <w:t>A set of practical questions and answers regarding unincorporated associations is also available in Appendix X (Sidley Memo (Unincorporated associations))</w:t>
      </w:r>
    </w:p>
    <w:p w:rsidR="004259DD" w:rsidRPr="00A86B70" w:rsidRDefault="004259DD" w:rsidP="004259DD">
      <w:pPr>
        <w:pStyle w:val="ListParagraph"/>
        <w:spacing w:before="120" w:after="100" w:line="240" w:lineRule="auto"/>
        <w:ind w:left="2880"/>
        <w:rPr>
          <w:rFonts w:eastAsiaTheme="minorEastAsia" w:cs="Times New Roman"/>
          <w:color w:val="auto"/>
          <w:sz w:val="22"/>
          <w:szCs w:val="22"/>
        </w:rPr>
      </w:pPr>
    </w:p>
    <w:p w:rsidR="004259DD" w:rsidRPr="00117EAF" w:rsidRDefault="004259DD" w:rsidP="004259DD">
      <w:pPr>
        <w:pStyle w:val="ListParagraph"/>
        <w:numPr>
          <w:ilvl w:val="0"/>
          <w:numId w:val="2"/>
        </w:numPr>
        <w:spacing w:before="120" w:after="100" w:line="240" w:lineRule="auto"/>
        <w:ind w:left="1440" w:hanging="540"/>
        <w:rPr>
          <w:rFonts w:cs="Times New Roman"/>
          <w:color w:val="auto"/>
          <w:sz w:val="22"/>
          <w:szCs w:val="22"/>
        </w:rPr>
      </w:pPr>
      <w:r w:rsidRPr="0061770E">
        <w:rPr>
          <w:rFonts w:eastAsiaTheme="minorEastAsia" w:cs="Times New Roman"/>
          <w:color w:val="auto"/>
          <w:sz w:val="22"/>
          <w:szCs w:val="22"/>
        </w:rPr>
        <w:t xml:space="preserve">All the group’s requirements can be implemented under the reference </w:t>
      </w:r>
      <w:r>
        <w:rPr>
          <w:rFonts w:eastAsiaTheme="minorEastAsia" w:cs="Times New Roman"/>
          <w:color w:val="auto"/>
          <w:sz w:val="22"/>
          <w:szCs w:val="22"/>
        </w:rPr>
        <w:t>mechanism</w:t>
      </w:r>
      <w:r w:rsidRPr="0061770E">
        <w:rPr>
          <w:rFonts w:eastAsiaTheme="minorEastAsia" w:cs="Times New Roman"/>
          <w:color w:val="auto"/>
          <w:sz w:val="22"/>
          <w:szCs w:val="22"/>
        </w:rPr>
        <w:t xml:space="preserve">, and it has advantages in terms of enforceability. </w:t>
      </w:r>
      <w:r w:rsidRPr="00506DE0">
        <w:rPr>
          <w:rFonts w:eastAsiaTheme="minorEastAsia" w:cs="Times New Roman"/>
          <w:color w:val="auto"/>
          <w:sz w:val="22"/>
          <w:szCs w:val="22"/>
          <w:highlight w:val="yellow"/>
        </w:rPr>
        <w:t xml:space="preserve">Because, according to legal counsel, the membership model provides the tightest control of the ICANN board by the community regarding the six community powers explicitly sought by the CCWG, </w:t>
      </w:r>
      <w:proofErr w:type="gramStart"/>
      <w:r w:rsidRPr="00506DE0">
        <w:rPr>
          <w:rFonts w:eastAsiaTheme="minorEastAsia" w:cs="Times New Roman"/>
          <w:color w:val="auto"/>
          <w:sz w:val="22"/>
          <w:szCs w:val="22"/>
          <w:highlight w:val="yellow"/>
        </w:rPr>
        <w:t>it has</w:t>
      </w:r>
      <w:r>
        <w:rPr>
          <w:rFonts w:eastAsiaTheme="minorEastAsia" w:cs="Times New Roman"/>
          <w:color w:val="auto"/>
          <w:sz w:val="22"/>
          <w:szCs w:val="22"/>
          <w:highlight w:val="yellow"/>
        </w:rPr>
        <w:t xml:space="preserve"> </w:t>
      </w:r>
      <w:r w:rsidRPr="00506DE0">
        <w:rPr>
          <w:rFonts w:eastAsiaTheme="minorEastAsia" w:cs="Times New Roman"/>
          <w:color w:val="auto"/>
          <w:sz w:val="22"/>
          <w:szCs w:val="22"/>
          <w:highlight w:val="yellow"/>
        </w:rPr>
        <w:t>been suggested as the Reference Mechanism by the group</w:t>
      </w:r>
      <w:proofErr w:type="gramEnd"/>
      <w:r>
        <w:rPr>
          <w:rFonts w:eastAsiaTheme="minorEastAsia" w:cs="Times New Roman"/>
          <w:color w:val="auto"/>
          <w:sz w:val="22"/>
          <w:szCs w:val="22"/>
        </w:rPr>
        <w:t>.</w:t>
      </w:r>
    </w:p>
    <w:p w:rsidR="004259DD" w:rsidRPr="00117EAF" w:rsidRDefault="004259DD" w:rsidP="004259DD">
      <w:pPr>
        <w:pStyle w:val="ListParagraph"/>
        <w:spacing w:before="120" w:after="100" w:line="240" w:lineRule="auto"/>
        <w:ind w:left="1440"/>
        <w:rPr>
          <w:rFonts w:cs="Times New Roman"/>
          <w:color w:val="auto"/>
          <w:sz w:val="22"/>
          <w:szCs w:val="22"/>
        </w:rPr>
      </w:pPr>
    </w:p>
    <w:p w:rsidR="004259DD" w:rsidRPr="004259DD" w:rsidRDefault="004259DD" w:rsidP="004259DD">
      <w:pPr>
        <w:pStyle w:val="ListParagraph"/>
        <w:numPr>
          <w:ilvl w:val="0"/>
          <w:numId w:val="2"/>
        </w:numPr>
        <w:spacing w:before="120" w:after="100" w:line="240" w:lineRule="auto"/>
        <w:ind w:left="1440" w:hanging="540"/>
        <w:rPr>
          <w:rFonts w:cs="Times New Roman"/>
          <w:color w:val="auto"/>
          <w:sz w:val="22"/>
          <w:szCs w:val="22"/>
        </w:rPr>
      </w:pPr>
      <w:r w:rsidRPr="008210C0">
        <w:rPr>
          <w:rFonts w:eastAsiaTheme="minorEastAsia" w:cs="Times New Roman"/>
          <w:color w:val="auto"/>
          <w:sz w:val="22"/>
          <w:szCs w:val="22"/>
        </w:rPr>
        <w:t>In arriving at this Reference Mechanism, the primary alternative the CCWG has investigated is a model based on “designators”. In this part of the report, we refer to this as the Alternative Mechanism.</w:t>
      </w:r>
      <w:r>
        <w:rPr>
          <w:rFonts w:eastAsiaTheme="minorEastAsia" w:cs="Times New Roman"/>
          <w:color w:val="auto"/>
          <w:sz w:val="22"/>
          <w:szCs w:val="22"/>
        </w:rPr>
        <w:br/>
      </w:r>
    </w:p>
    <w:p w:rsidR="004259DD" w:rsidRPr="004259DD" w:rsidRDefault="004259DD" w:rsidP="004259DD">
      <w:pPr>
        <w:pStyle w:val="ListParagraph"/>
        <w:numPr>
          <w:ilvl w:val="0"/>
          <w:numId w:val="2"/>
        </w:numPr>
        <w:spacing w:before="120" w:after="100" w:line="240" w:lineRule="auto"/>
        <w:ind w:left="1440" w:hanging="540"/>
        <w:rPr>
          <w:rFonts w:cs="Times New Roman"/>
          <w:color w:val="auto"/>
          <w:sz w:val="22"/>
          <w:szCs w:val="22"/>
        </w:rPr>
      </w:pPr>
      <w:r w:rsidRPr="004259DD">
        <w:rPr>
          <w:rFonts w:cs="Times New Roman"/>
          <w:color w:val="auto"/>
          <w:sz w:val="22"/>
          <w:szCs w:val="22"/>
          <w:highlight w:val="yellow"/>
        </w:rPr>
        <w:t>Designato</w:t>
      </w:r>
      <w:r w:rsidRPr="004259DD">
        <w:rPr>
          <w:rFonts w:cs="Times New Roman"/>
          <w:color w:val="auto"/>
          <w:sz w:val="22"/>
          <w:szCs w:val="22"/>
          <w:highlight w:val="yellow"/>
        </w:rPr>
        <w:t>rs are a construct in California law that can achieve reliable enforcement of 4 of the 6 community powers sought, specifically with respect to community approval or blocking of changes of bylaws and the selection and removal of board members.  There is concern however, regarding the ease and reliability with which the other 2 community powers sought (approval of bu</w:t>
      </w:r>
      <w:bookmarkStart w:id="2" w:name="_GoBack"/>
      <w:bookmarkEnd w:id="2"/>
      <w:r w:rsidRPr="004259DD">
        <w:rPr>
          <w:rFonts w:cs="Times New Roman"/>
          <w:color w:val="auto"/>
          <w:sz w:val="22"/>
          <w:szCs w:val="22"/>
          <w:highlight w:val="yellow"/>
        </w:rPr>
        <w:t>dget and strategic plan) can be enforced once created under the designator model, according to legal counsel.  Legal counsel further advises that the SOs and ACs organize themselves into unincorporated associations in both corporate governance models, whether a designator or membership structure.</w:t>
      </w:r>
    </w:p>
    <w:p w:rsidR="004259DD" w:rsidRPr="00071BD7" w:rsidRDefault="004259DD" w:rsidP="004259DD">
      <w:pPr>
        <w:pStyle w:val="ListParagraph"/>
        <w:spacing w:before="120" w:after="100" w:line="240" w:lineRule="auto"/>
        <w:ind w:left="1440"/>
        <w:rPr>
          <w:rFonts w:cs="Times New Roman"/>
          <w:color w:val="auto"/>
          <w:sz w:val="22"/>
          <w:szCs w:val="22"/>
        </w:rPr>
      </w:pPr>
    </w:p>
    <w:p w:rsidR="004259DD" w:rsidRDefault="004259DD" w:rsidP="004259DD">
      <w:pPr>
        <w:pStyle w:val="ListParagraph"/>
        <w:numPr>
          <w:ilvl w:val="0"/>
          <w:numId w:val="2"/>
        </w:numPr>
        <w:spacing w:before="120" w:after="100" w:line="240" w:lineRule="auto"/>
        <w:ind w:left="1440" w:hanging="540"/>
        <w:rPr>
          <w:rFonts w:eastAsiaTheme="minorEastAsia" w:cs="Times New Roman"/>
          <w:color w:val="auto"/>
          <w:sz w:val="22"/>
          <w:szCs w:val="22"/>
        </w:rPr>
      </w:pPr>
      <w:proofErr w:type="gramStart"/>
      <w:r>
        <w:rPr>
          <w:rFonts w:eastAsiaTheme="minorEastAsia" w:cs="Times New Roman"/>
          <w:color w:val="auto"/>
          <w:sz w:val="22"/>
          <w:szCs w:val="22"/>
          <w:highlight w:val="yellow"/>
        </w:rPr>
        <w:t>Counsel advise</w:t>
      </w:r>
      <w:proofErr w:type="gramEnd"/>
      <w:r w:rsidRPr="00506DE0">
        <w:rPr>
          <w:rFonts w:eastAsiaTheme="minorEastAsia" w:cs="Times New Roman"/>
          <w:color w:val="auto"/>
          <w:sz w:val="22"/>
          <w:szCs w:val="22"/>
          <w:highlight w:val="yellow"/>
        </w:rPr>
        <w:t xml:space="preserve"> that the membership model creates the tightest control on the ICANN board by the community.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t>
      </w:r>
    </w:p>
    <w:p w:rsidR="004259DD" w:rsidRPr="00071BD7" w:rsidRDefault="004259DD" w:rsidP="004259DD">
      <w:pPr>
        <w:pStyle w:val="ListParagraph"/>
        <w:spacing w:before="120" w:after="100" w:line="240" w:lineRule="auto"/>
        <w:ind w:left="1440"/>
        <w:rPr>
          <w:rFonts w:cs="Times New Roman"/>
          <w:color w:val="auto"/>
          <w:sz w:val="22"/>
          <w:szCs w:val="22"/>
        </w:rPr>
      </w:pPr>
    </w:p>
    <w:p w:rsidR="004259DD" w:rsidRPr="008210C0" w:rsidRDefault="004259DD" w:rsidP="004259DD">
      <w:pPr>
        <w:pStyle w:val="ListParagraph"/>
        <w:numPr>
          <w:ilvl w:val="0"/>
          <w:numId w:val="2"/>
        </w:numPr>
        <w:spacing w:before="120" w:after="100" w:line="240" w:lineRule="auto"/>
        <w:ind w:left="1440" w:hanging="540"/>
        <w:rPr>
          <w:rFonts w:cs="Times New Roman"/>
          <w:color w:val="auto"/>
          <w:sz w:val="22"/>
          <w:szCs w:val="22"/>
        </w:rPr>
      </w:pPr>
      <w:r w:rsidRPr="008210C0">
        <w:rPr>
          <w:rFonts w:eastAsiaTheme="minorEastAsia" w:cs="Times New Roman"/>
          <w:color w:val="auto"/>
          <w:sz w:val="22"/>
          <w:szCs w:val="22"/>
        </w:rPr>
        <w:t>Variations of these mechanisms were also discussed:</w:t>
      </w:r>
    </w:p>
    <w:p w:rsidR="004259DD" w:rsidRPr="008210C0" w:rsidRDefault="004259DD" w:rsidP="004259DD">
      <w:pPr>
        <w:pStyle w:val="ListParagraph"/>
        <w:numPr>
          <w:ilvl w:val="0"/>
          <w:numId w:val="3"/>
        </w:numPr>
        <w:spacing w:before="120" w:after="100" w:line="240" w:lineRule="auto"/>
        <w:ind w:left="2880"/>
        <w:rPr>
          <w:rFonts w:eastAsiaTheme="minorEastAsia" w:cs="Times New Roman"/>
          <w:color w:val="auto"/>
          <w:sz w:val="22"/>
          <w:szCs w:val="22"/>
        </w:rPr>
      </w:pPr>
      <w:r w:rsidRPr="008210C0">
        <w:rPr>
          <w:rFonts w:eastAsiaTheme="minorEastAsia" w:cs="Times New Roman"/>
          <w:color w:val="auto"/>
          <w:sz w:val="22"/>
          <w:szCs w:val="22"/>
        </w:rPr>
        <w:t xml:space="preserve">The notion of creating a permanent CCWG or a Community Council that was the sole “member” or “designator” was considered but rejected mainly because it created additional accountability problems and offered no accountability advantages compared with the Reference Mechanism; </w:t>
      </w:r>
    </w:p>
    <w:p w:rsidR="004259DD" w:rsidRDefault="004259DD" w:rsidP="004259DD">
      <w:pPr>
        <w:pStyle w:val="ListParagraph"/>
        <w:numPr>
          <w:ilvl w:val="0"/>
          <w:numId w:val="3"/>
        </w:numPr>
        <w:spacing w:line="240" w:lineRule="auto"/>
        <w:ind w:left="2880"/>
        <w:rPr>
          <w:rFonts w:eastAsiaTheme="minorEastAsia" w:cs="Times New Roman"/>
          <w:color w:val="auto"/>
          <w:sz w:val="22"/>
          <w:szCs w:val="22"/>
        </w:rPr>
      </w:pPr>
      <w:r w:rsidRPr="008210C0">
        <w:rPr>
          <w:rFonts w:eastAsiaTheme="minorEastAsia" w:cs="Times New Roman"/>
          <w:color w:val="auto"/>
          <w:sz w:val="22"/>
          <w:szCs w:val="22"/>
        </w:rPr>
        <w:t xml:space="preserve">The notion of all SOs and ACs collectively creating an unincorporated association that would be the single member of ICANN. However this model “would add only complexity without contributing real advantages”. </w:t>
      </w:r>
    </w:p>
    <w:p w:rsidR="004259DD" w:rsidRPr="00A86B70" w:rsidRDefault="004259DD" w:rsidP="004259DD">
      <w:pPr>
        <w:pStyle w:val="ListParagraph"/>
        <w:numPr>
          <w:ilvl w:val="0"/>
          <w:numId w:val="3"/>
        </w:numPr>
        <w:spacing w:line="240" w:lineRule="auto"/>
        <w:ind w:left="2880"/>
        <w:rPr>
          <w:rFonts w:eastAsiaTheme="minorEastAsia" w:cs="Times New Roman"/>
          <w:color w:val="auto"/>
          <w:sz w:val="22"/>
          <w:szCs w:val="22"/>
        </w:rPr>
      </w:pPr>
      <w:r w:rsidRPr="00A86B70">
        <w:rPr>
          <w:rFonts w:eastAsiaTheme="minorEastAsia" w:cs="Times New Roman"/>
          <w:color w:val="auto"/>
          <w:sz w:val="22"/>
          <w:szCs w:val="22"/>
        </w:rPr>
        <w:t>The notion of a first step of change (in a timeframe consistent with WS1) focusing on changes in the bylaws and current mechanisms only, while assessing the opportunity to goo one step further as part of WS2.</w:t>
      </w:r>
    </w:p>
    <w:p w:rsidR="004259DD" w:rsidRPr="008210C0" w:rsidRDefault="004259DD" w:rsidP="004259DD">
      <w:pPr>
        <w:pStyle w:val="ListParagraph"/>
        <w:spacing w:line="240" w:lineRule="auto"/>
        <w:rPr>
          <w:rFonts w:eastAsiaTheme="minorEastAsia" w:cs="Times New Roman"/>
          <w:color w:val="auto"/>
          <w:szCs w:val="22"/>
        </w:rPr>
      </w:pPr>
    </w:p>
    <w:p w:rsidR="004259DD" w:rsidRPr="008210C0" w:rsidRDefault="004259DD" w:rsidP="004259DD">
      <w:pPr>
        <w:pStyle w:val="ListParagraph"/>
        <w:numPr>
          <w:ilvl w:val="0"/>
          <w:numId w:val="2"/>
        </w:numPr>
        <w:spacing w:before="120" w:after="100" w:line="240" w:lineRule="auto"/>
        <w:ind w:left="1440" w:hanging="540"/>
        <w:rPr>
          <w:rFonts w:cs="Times New Roman"/>
          <w:color w:val="auto"/>
          <w:sz w:val="22"/>
          <w:szCs w:val="22"/>
        </w:rPr>
      </w:pPr>
      <w:r w:rsidRPr="008210C0">
        <w:rPr>
          <w:rFonts w:eastAsiaTheme="minorEastAsia" w:cs="Times New Roman"/>
          <w:color w:val="auto"/>
          <w:sz w:val="22"/>
          <w:szCs w:val="22"/>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r>
        <w:rPr>
          <w:rFonts w:eastAsiaTheme="minorEastAsia" w:cs="Times New Roman"/>
          <w:color w:val="auto"/>
          <w:sz w:val="22"/>
          <w:szCs w:val="22"/>
          <w:shd w:val="clear" w:color="auto" w:fill="FFFFFF"/>
        </w:rPr>
        <w:br/>
      </w:r>
    </w:p>
    <w:p w:rsidR="004259DD" w:rsidRPr="008210C0" w:rsidRDefault="004259DD" w:rsidP="004259DD">
      <w:pPr>
        <w:pStyle w:val="ListParagraph"/>
        <w:numPr>
          <w:ilvl w:val="0"/>
          <w:numId w:val="2"/>
        </w:numPr>
        <w:spacing w:before="120" w:after="100" w:line="240" w:lineRule="auto"/>
        <w:ind w:left="1440" w:hanging="540"/>
        <w:rPr>
          <w:rFonts w:cs="Times New Roman"/>
          <w:color w:val="auto"/>
          <w:sz w:val="22"/>
          <w:szCs w:val="22"/>
        </w:rPr>
      </w:pPr>
      <w:r>
        <w:rPr>
          <w:rFonts w:eastAsiaTheme="minorEastAsia" w:cs="Times New Roman"/>
          <w:color w:val="auto"/>
          <w:sz w:val="22"/>
          <w:szCs w:val="22"/>
          <w:shd w:val="clear" w:color="auto" w:fill="FFFFFF"/>
        </w:rPr>
        <w:t>That said</w:t>
      </w:r>
      <w:proofErr w:type="gramStart"/>
      <w:r w:rsidRPr="008210C0">
        <w:rPr>
          <w:rFonts w:eastAsiaTheme="minorEastAsia" w:cs="Times New Roman"/>
          <w:color w:val="auto"/>
          <w:sz w:val="22"/>
          <w:szCs w:val="22"/>
          <w:shd w:val="clear" w:color="auto" w:fill="FFFFFF"/>
        </w:rPr>
        <w:t>,</w:t>
      </w:r>
      <w:proofErr w:type="gramEnd"/>
      <w:r w:rsidRPr="008210C0">
        <w:rPr>
          <w:rFonts w:eastAsiaTheme="minorEastAsia" w:cs="Times New Roman"/>
          <w:color w:val="auto"/>
          <w:sz w:val="22"/>
          <w:szCs w:val="22"/>
          <w:shd w:val="clear" w:color="auto" w:fill="FFFFFF"/>
        </w:rPr>
        <w:t xml:space="preserve"> the CCWG is clearly of the view that the Reference Mechanism is the currently preferred approach, and relies on this in much of what follows.</w:t>
      </w:r>
    </w:p>
    <w:p w:rsidR="00937FF4" w:rsidRDefault="00937FF4"/>
    <w:sectPr w:rsidR="00937FF4" w:rsidSect="00274F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60E9D"/>
    <w:multiLevelType w:val="hybridMultilevel"/>
    <w:tmpl w:val="B7D27344"/>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5712D4"/>
    <w:multiLevelType w:val="hybridMultilevel"/>
    <w:tmpl w:val="388CCD2A"/>
    <w:lvl w:ilvl="0" w:tplc="5506544A">
      <w:start w:val="1"/>
      <w:numFmt w:val="decimalZero"/>
      <w:pStyle w:val="Normal"/>
      <w:lvlText w:val="%1"/>
      <w:lvlJc w:val="left"/>
      <w:pPr>
        <w:ind w:left="360" w:hanging="360"/>
      </w:pPr>
      <w:rPr>
        <w:rFonts w:ascii="Times New Roman" w:hAnsi="Times New Roman" w:hint="default"/>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DD"/>
    <w:rsid w:val="00274FC2"/>
    <w:rsid w:val="004259DD"/>
    <w:rsid w:val="0093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6C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D"/>
    <w:pPr>
      <w:numPr>
        <w:numId w:val="24"/>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4259DD"/>
    <w:pPr>
      <w:keepNext/>
      <w:keepLines/>
      <w:numPr>
        <w:numId w:val="0"/>
      </w:numPr>
      <w:spacing w:before="240" w:after="240"/>
      <w:outlineLvl w:val="1"/>
    </w:pPr>
    <w:rPr>
      <w:rFonts w:eastAsia="MS Gothic"/>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9DD"/>
    <w:rPr>
      <w:rFonts w:ascii="Helvetica" w:eastAsia="MS Gothic" w:hAnsi="Helvetica" w:cs="Times New Roman"/>
      <w:bCs/>
      <w:sz w:val="32"/>
      <w:szCs w:val="32"/>
    </w:rPr>
  </w:style>
  <w:style w:type="paragraph" w:styleId="CommentText">
    <w:name w:val="annotation text"/>
    <w:basedOn w:val="Normal"/>
    <w:link w:val="CommentTextChar"/>
    <w:uiPriority w:val="99"/>
    <w:semiHidden/>
    <w:unhideWhenUsed/>
    <w:rsid w:val="004259DD"/>
    <w:rPr>
      <w:sz w:val="24"/>
    </w:rPr>
  </w:style>
  <w:style w:type="character" w:customStyle="1" w:styleId="CommentTextChar">
    <w:name w:val="Comment Text Char"/>
    <w:basedOn w:val="DefaultParagraphFont"/>
    <w:link w:val="CommentText"/>
    <w:uiPriority w:val="99"/>
    <w:semiHidden/>
    <w:rsid w:val="004259DD"/>
    <w:rPr>
      <w:rFonts w:ascii="Helvetica" w:eastAsia="MS Mincho" w:hAnsi="Helvetica" w:cs="Times New Roman"/>
    </w:rPr>
  </w:style>
  <w:style w:type="character" w:styleId="CommentReference">
    <w:name w:val="annotation reference"/>
    <w:basedOn w:val="DefaultParagraphFont"/>
    <w:uiPriority w:val="99"/>
    <w:semiHidden/>
    <w:unhideWhenUsed/>
    <w:rsid w:val="004259DD"/>
    <w:rPr>
      <w:sz w:val="16"/>
    </w:rPr>
  </w:style>
  <w:style w:type="paragraph" w:styleId="ListParagraph">
    <w:name w:val="List Paragraph"/>
    <w:basedOn w:val="Normal"/>
    <w:uiPriority w:val="34"/>
    <w:unhideWhenUsed/>
    <w:qFormat/>
    <w:rsid w:val="004259DD"/>
    <w:pPr>
      <w:numPr>
        <w:numId w:val="0"/>
      </w:numPr>
      <w:spacing w:before="40" w:after="160" w:line="288" w:lineRule="auto"/>
      <w:contextualSpacing/>
    </w:pPr>
    <w:rPr>
      <w:rFonts w:eastAsiaTheme="minorHAnsi" w:cstheme="minorBidi"/>
      <w:color w:val="595959" w:themeColor="text1" w:themeTint="A6"/>
      <w:kern w:val="2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D"/>
    <w:pPr>
      <w:numPr>
        <w:numId w:val="24"/>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4259DD"/>
    <w:pPr>
      <w:keepNext/>
      <w:keepLines/>
      <w:numPr>
        <w:numId w:val="0"/>
      </w:numPr>
      <w:spacing w:before="240" w:after="240"/>
      <w:outlineLvl w:val="1"/>
    </w:pPr>
    <w:rPr>
      <w:rFonts w:eastAsia="MS Gothic"/>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9DD"/>
    <w:rPr>
      <w:rFonts w:ascii="Helvetica" w:eastAsia="MS Gothic" w:hAnsi="Helvetica" w:cs="Times New Roman"/>
      <w:bCs/>
      <w:sz w:val="32"/>
      <w:szCs w:val="32"/>
    </w:rPr>
  </w:style>
  <w:style w:type="paragraph" w:styleId="CommentText">
    <w:name w:val="annotation text"/>
    <w:basedOn w:val="Normal"/>
    <w:link w:val="CommentTextChar"/>
    <w:uiPriority w:val="99"/>
    <w:semiHidden/>
    <w:unhideWhenUsed/>
    <w:rsid w:val="004259DD"/>
    <w:rPr>
      <w:sz w:val="24"/>
    </w:rPr>
  </w:style>
  <w:style w:type="character" w:customStyle="1" w:styleId="CommentTextChar">
    <w:name w:val="Comment Text Char"/>
    <w:basedOn w:val="DefaultParagraphFont"/>
    <w:link w:val="CommentText"/>
    <w:uiPriority w:val="99"/>
    <w:semiHidden/>
    <w:rsid w:val="004259DD"/>
    <w:rPr>
      <w:rFonts w:ascii="Helvetica" w:eastAsia="MS Mincho" w:hAnsi="Helvetica" w:cs="Times New Roman"/>
    </w:rPr>
  </w:style>
  <w:style w:type="character" w:styleId="CommentReference">
    <w:name w:val="annotation reference"/>
    <w:basedOn w:val="DefaultParagraphFont"/>
    <w:uiPriority w:val="99"/>
    <w:semiHidden/>
    <w:unhideWhenUsed/>
    <w:rsid w:val="004259DD"/>
    <w:rPr>
      <w:sz w:val="16"/>
    </w:rPr>
  </w:style>
  <w:style w:type="paragraph" w:styleId="ListParagraph">
    <w:name w:val="List Paragraph"/>
    <w:basedOn w:val="Normal"/>
    <w:uiPriority w:val="34"/>
    <w:unhideWhenUsed/>
    <w:qFormat/>
    <w:rsid w:val="004259DD"/>
    <w:pPr>
      <w:numPr>
        <w:numId w:val="0"/>
      </w:numPr>
      <w:spacing w:before="40" w:after="160" w:line="288" w:lineRule="auto"/>
      <w:contextualSpacing/>
    </w:pPr>
    <w:rPr>
      <w:rFonts w:eastAsiaTheme="minorHAnsi" w:cstheme="minorBidi"/>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4833</Characters>
  <Application>Microsoft Macintosh Word</Application>
  <DocSecurity>0</DocSecurity>
  <Lines>40</Lines>
  <Paragraphs>11</Paragraphs>
  <ScaleCrop>false</ScaleCrop>
  <Company>InternetNZ</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Carter</dc:creator>
  <cp:keywords/>
  <dc:description/>
  <cp:lastModifiedBy>Jordan Carter</cp:lastModifiedBy>
  <cp:revision>1</cp:revision>
  <dcterms:created xsi:type="dcterms:W3CDTF">2015-04-29T13:04:00Z</dcterms:created>
  <dcterms:modified xsi:type="dcterms:W3CDTF">2015-04-29T13:07:00Z</dcterms:modified>
</cp:coreProperties>
</file>