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TOCHeading"/>
        <w:spacing w:line="240" w:lineRule="auto"/>
        <w:ind w:hanging="540"/>
        <w:rPr>
          <w:rFonts w:ascii="Helvetica" w:hAnsi="Helvetica" w:cs="Times New Roman"/>
        </w:rPr>
      </w:pPr>
    </w:p>
    <w:p>
      <w:pPr>
        <w:numPr>
          <w:ilvl w:val="0"/>
          <w:numId w:val="0"/>
        </w:numPr>
        <w:ind w:left="720" w:hanging="540"/>
        <w:rPr>
          <w:rStyle w:val="SectionTile"/>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180"/>
        <w:rPr>
          <w:rStyle w:val="SectionTile"/>
          <w:color w:val="1F497D" w:themeColor="text2"/>
        </w:rPr>
      </w:pPr>
    </w:p>
    <w:p>
      <w:pPr>
        <w:numPr>
          <w:ilvl w:val="0"/>
          <w:numId w:val="0"/>
        </w:numPr>
        <w:ind w:left="360"/>
        <w:rPr>
          <w:rStyle w:val="SectionTile"/>
          <w:b w:val="0"/>
          <w:color w:val="1F497D" w:themeColor="text2"/>
        </w:rPr>
      </w:pPr>
      <w:r>
        <w:rPr>
          <w:rStyle w:val="SectionTile"/>
          <w:b w:val="0"/>
          <w:color w:val="1F497D" w:themeColor="text2"/>
        </w:rPr>
        <w:t>CCWG-ACCOUNTABILITY DRAFT PROPOSAL V. 10</w:t>
      </w:r>
    </w:p>
    <w:p>
      <w:pPr>
        <w:numPr>
          <w:ilvl w:val="0"/>
          <w:numId w:val="0"/>
        </w:numPr>
        <w:ind w:left="360"/>
        <w:rPr>
          <w:rStyle w:val="SectionTile"/>
          <w:b w:val="0"/>
          <w:color w:val="1F497D" w:themeColor="text2"/>
        </w:rPr>
      </w:pPr>
      <w:r>
        <w:rPr>
          <w:rStyle w:val="SectionTile"/>
          <w:b w:val="0"/>
          <w:color w:val="1F497D" w:themeColor="text2"/>
        </w:rPr>
        <w:t>1 May 2015</w:t>
      </w: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360" w:hanging="360"/>
      </w:pPr>
    </w:p>
    <w:p>
      <w:pPr>
        <w:numPr>
          <w:ilvl w:val="0"/>
          <w:numId w:val="0"/>
        </w:numPr>
        <w:ind w:left="360" w:hanging="360"/>
      </w:pPr>
    </w:p>
    <w:p>
      <w:pPr>
        <w:numPr>
          <w:ilvl w:val="0"/>
          <w:numId w:val="0"/>
        </w:numPr>
        <w:ind w:left="360" w:hanging="360"/>
      </w:pPr>
    </w:p>
    <w:p>
      <w:pPr>
        <w:numPr>
          <w:ilvl w:val="0"/>
          <w:numId w:val="0"/>
        </w:numPr>
        <w:ind w:left="720" w:hanging="540"/>
      </w:pPr>
    </w:p>
    <w:sdt>
      <w:sdtPr>
        <w:rPr>
          <w:rFonts w:eastAsia="MS Mincho" w:asciiTheme="minorHAnsi" w:hAnsiTheme="minorHAnsi" w:cs="Times New Roman"/>
          <w:b w:val="0"/>
          <w:bCs w:val="0"/>
          <w:caps/>
          <w:color w:val="auto"/>
          <w:sz w:val="22"/>
          <w:szCs w:val="22"/>
        </w:rPr>
        <w:id w:val="1966387345"/>
        <w:docPartObj>
          <w:docPartGallery w:val="Table of Contents"/>
          <w:docPartUnique/>
        </w:docPartObj>
      </w:sdtPr>
      <w:sdtEndPr>
        <w:rPr>
          <w:noProof/>
        </w:rPr>
      </w:sdtEndPr>
      <w:sdtContent>
        <w:p>
          <w:pPr>
            <w:pStyle w:val="TOCHeading"/>
            <w:rPr>
              <w:rFonts w:ascii="Helvetica" w:hAnsi="Helvetica"/>
              <w:color w:val="auto"/>
            </w:rPr>
          </w:pPr>
          <w:bookmarkStart w:id="0" w:name="_Toc291848665"/>
          <w:r>
            <w:rPr>
              <w:rFonts w:ascii="Helvetica" w:hAnsi="Helvetica"/>
              <w:color w:val="auto"/>
            </w:rPr>
            <w:t>Table of Contents</w:t>
          </w:r>
        </w:p>
        <w:p>
          <w:pPr>
            <w:pStyle w:val="TOC1"/>
            <w:numPr>
              <w:ilvl w:val="0"/>
              <w:numId w:val="0"/>
            </w:numPr>
            <w:tabs>
              <w:tab w:val="left" w:pos="93"/>
              <w:tab w:val="right" w:leader="dot" w:pos="9850"/>
            </w:tabs>
            <w:rPr>
              <w:rFonts w:ascii="Helvetica" w:hAnsi="Helvetica"/>
              <w:noProof/>
            </w:rPr>
          </w:pPr>
          <w:r>
            <w:rPr>
              <w:rFonts w:ascii="Helvetica" w:hAnsi="Helvetica"/>
              <w:noProof/>
            </w:rPr>
            <w:t>Executive summary</w:t>
          </w:r>
          <w:r>
            <w:rPr>
              <w:rFonts w:ascii="Helvetica" w:hAnsi="Helvetica"/>
              <w:noProof/>
            </w:rPr>
            <w:tab/>
            <w:t>4</w:t>
          </w:r>
        </w:p>
        <w:p>
          <w:pPr>
            <w:numPr>
              <w:ilvl w:val="0"/>
              <w:numId w:val="0"/>
            </w:numPr>
            <w:ind w:left="360"/>
          </w:pPr>
        </w:p>
        <w:p>
          <w:pPr>
            <w:pStyle w:val="TOC1"/>
            <w:numPr>
              <w:ilvl w:val="0"/>
              <w:numId w:val="0"/>
            </w:numPr>
            <w:tabs>
              <w:tab w:val="left" w:pos="93"/>
              <w:tab w:val="right" w:leader="dot" w:pos="9850"/>
            </w:tabs>
            <w:rPr>
              <w:rFonts w:ascii="Helvetica" w:hAnsi="Helvetica" w:eastAsiaTheme="minorEastAsia" w:cstheme="minorBidi"/>
              <w:b w:val="0"/>
              <w:noProof/>
              <w:lang w:eastAsia="ja-JP"/>
            </w:rPr>
          </w:pPr>
          <w:r>
            <w:rPr>
              <w:rFonts w:ascii="Helvetica" w:hAnsi="Helvetica"/>
              <w:b w:val="0"/>
            </w:rPr>
            <w:fldChar w:fldCharType="begin"/>
          </w:r>
          <w:r>
            <w:rPr>
              <w:rFonts w:ascii="Helvetica" w:hAnsi="Helvetica"/>
            </w:rPr>
            <w:instrText xml:space="preserve"> TOC \o "1-3" \h \z \u </w:instrText>
          </w:r>
          <w:r>
            <w:rPr>
              <w:rFonts w:ascii="Helvetica" w:hAnsi="Helvetica"/>
              <w:b w:val="0"/>
            </w:rPr>
            <w:fldChar w:fldCharType="separate"/>
          </w:r>
          <w:r>
            <w:rPr>
              <w:rFonts w:ascii="Helvetica" w:hAnsi="Helvetica"/>
              <w:noProof/>
            </w:rPr>
            <w:t>1)</w:t>
          </w:r>
          <w:r>
            <w:rPr>
              <w:rFonts w:ascii="Helvetica" w:hAnsi="Helvetica" w:eastAsiaTheme="minorEastAsia" w:cstheme="minorBidi"/>
              <w:b w:val="0"/>
              <w:noProof/>
              <w:lang w:eastAsia="ja-JP"/>
            </w:rPr>
            <w:t xml:space="preserve"> </w:t>
          </w:r>
          <w:r>
            <w:rPr>
              <w:rFonts w:ascii="Helvetica" w:hAnsi="Helvetica"/>
              <w:noProof/>
            </w:rPr>
            <w:t>Introduction &amp; Background</w:t>
          </w:r>
          <w:r>
            <w:rPr>
              <w:rFonts w:ascii="Helvetica" w:hAnsi="Helvetica"/>
              <w:noProof/>
            </w:rPr>
            <w:tab/>
          </w:r>
          <w:r>
            <w:rPr>
              <w:rFonts w:ascii="Helvetica" w:hAnsi="Helvetica"/>
              <w:noProof/>
            </w:rPr>
            <w:fldChar w:fldCharType="begin"/>
          </w:r>
          <w:r>
            <w:rPr>
              <w:rFonts w:ascii="Helvetica" w:hAnsi="Helvetica"/>
              <w:noProof/>
            </w:rPr>
            <w:instrText xml:space="preserve"> PAGEREF _Toc292010141 \h </w:instrText>
          </w:r>
          <w:r>
            <w:rPr>
              <w:rFonts w:ascii="Helvetica" w:hAnsi="Helvetica"/>
              <w:noProof/>
            </w:rPr>
            <w:fldChar w:fldCharType="separate"/>
          </w:r>
          <w:r>
            <w:rPr>
              <w:rFonts w:ascii="Helvetica" w:hAnsi="Helvetica"/>
              <w:noProof/>
            </w:rPr>
            <w:t>7</w:t>
          </w:r>
          <w:r>
            <w:rPr>
              <w:rFonts w:ascii="Helvetica" w:hAnsi="Helvetica"/>
              <w:noProof/>
            </w:rPr>
            <w:fldChar w:fldCharType="end"/>
          </w:r>
        </w:p>
        <w:p>
          <w:pPr>
            <w:pStyle w:val="TOC2"/>
            <w:numPr>
              <w:ilvl w:val="0"/>
              <w:numId w:val="0"/>
            </w:numPr>
            <w:tabs>
              <w:tab w:val="left" w:pos="412"/>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1.1</w:t>
          </w:r>
          <w:r>
            <w:rPr>
              <w:rFonts w:ascii="Helvetica" w:hAnsi="Helvetica" w:eastAsiaTheme="minorEastAsia" w:cstheme="minorBidi"/>
              <w:b/>
              <w:noProof/>
              <w:sz w:val="24"/>
              <w:szCs w:val="24"/>
              <w:lang w:eastAsia="ja-JP"/>
            </w:rPr>
            <w:tab/>
          </w:r>
          <w:r>
            <w:rPr>
              <w:rFonts w:ascii="Helvetica" w:hAnsi="Helvetica"/>
              <w:noProof/>
            </w:rPr>
            <w:t>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_Toc292010142 \h </w:instrText>
          </w:r>
          <w:r>
            <w:rPr>
              <w:rFonts w:ascii="Helvetica" w:hAnsi="Helvetica"/>
              <w:noProof/>
            </w:rPr>
            <w:fldChar w:fldCharType="separate"/>
          </w:r>
          <w:r>
            <w:rPr>
              <w:rFonts w:ascii="Helvetica" w:hAnsi="Helvetica"/>
              <w:noProof/>
            </w:rPr>
            <w:t>7</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1.2 Definitions &amp; Legal Scoping</w:t>
          </w:r>
          <w:r>
            <w:rPr>
              <w:rFonts w:ascii="Helvetica" w:hAnsi="Helvetica"/>
              <w:noProof/>
            </w:rPr>
            <w:tab/>
          </w:r>
          <w:r>
            <w:rPr>
              <w:rFonts w:ascii="Helvetica" w:hAnsi="Helvetica"/>
              <w:noProof/>
            </w:rPr>
            <w:fldChar w:fldCharType="begin"/>
          </w:r>
          <w:r>
            <w:rPr>
              <w:rFonts w:ascii="Helvetica" w:hAnsi="Helvetica"/>
              <w:noProof/>
            </w:rPr>
            <w:instrText xml:space="preserve"> PAGEREF _Toc292010143 \h </w:instrText>
          </w:r>
          <w:r>
            <w:rPr>
              <w:rFonts w:ascii="Helvetica" w:hAnsi="Helvetica"/>
              <w:noProof/>
            </w:rPr>
            <w:fldChar w:fldCharType="separate"/>
          </w:r>
          <w:r>
            <w:rPr>
              <w:rFonts w:ascii="Helvetica" w:hAnsi="Helvetica"/>
              <w:noProof/>
            </w:rPr>
            <w:t>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1.3 Legal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_Toc292010144 \h </w:instrText>
          </w:r>
          <w:r>
            <w:rPr>
              <w:rFonts w:ascii="Helvetica" w:hAnsi="Helvetica"/>
              <w:noProof/>
            </w:rPr>
            <w:fldChar w:fldCharType="separate"/>
          </w:r>
          <w:r>
            <w:rPr>
              <w:rFonts w:ascii="Helvetica" w:hAnsi="Helvetica"/>
              <w:noProof/>
            </w:rPr>
            <w:t>10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1.4 Input Gathered from the Community: Required Community Powers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_Toc292010145 \h </w:instrText>
          </w:r>
          <w:r>
            <w:rPr>
              <w:rFonts w:ascii="Helvetica" w:hAnsi="Helvetica"/>
              <w:noProof/>
            </w:rPr>
            <w:fldChar w:fldCharType="separate"/>
          </w:r>
          <w:r>
            <w:rPr>
              <w:rFonts w:ascii="Helvetica" w:hAnsi="Helvetica"/>
              <w:noProof/>
            </w:rPr>
            <w:t>10</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2) Accountability Mechanisms</w:t>
          </w:r>
          <w:r>
            <w:rPr>
              <w:rFonts w:ascii="Helvetica" w:hAnsi="Helvetica"/>
              <w:noProof/>
            </w:rPr>
            <w:tab/>
          </w:r>
          <w:r>
            <w:rPr>
              <w:rFonts w:ascii="Helvetica" w:hAnsi="Helvetica"/>
              <w:noProof/>
            </w:rPr>
            <w:fldChar w:fldCharType="begin"/>
          </w:r>
          <w:r>
            <w:rPr>
              <w:rFonts w:ascii="Helvetica" w:hAnsi="Helvetica"/>
              <w:noProof/>
            </w:rPr>
            <w:instrText xml:space="preserve"> PAGEREF _Toc292010146 \h </w:instrText>
          </w:r>
          <w:r>
            <w:rPr>
              <w:rFonts w:ascii="Helvetica" w:hAnsi="Helvetica"/>
              <w:noProof/>
            </w:rPr>
            <w:fldChar w:fldCharType="separate"/>
          </w:r>
          <w:r>
            <w:rPr>
              <w:rFonts w:ascii="Helvetica" w:hAnsi="Helvetica"/>
              <w:noProof/>
            </w:rPr>
            <w:t>12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2.1 Description of Overall Accountability Architecture</w:t>
          </w:r>
          <w:r>
            <w:rPr>
              <w:rFonts w:ascii="Helvetica" w:hAnsi="Helvetica"/>
              <w:noProof/>
            </w:rPr>
            <w:tab/>
          </w:r>
          <w:r>
            <w:rPr>
              <w:rFonts w:ascii="Helvetica" w:hAnsi="Helvetica"/>
              <w:noProof/>
            </w:rPr>
            <w:fldChar w:fldCharType="begin"/>
          </w:r>
          <w:r>
            <w:rPr>
              <w:rFonts w:ascii="Helvetica" w:hAnsi="Helvetica"/>
              <w:noProof/>
            </w:rPr>
            <w:instrText xml:space="preserve"> PAGEREF _Toc292010147 \h </w:instrText>
          </w:r>
          <w:r>
            <w:rPr>
              <w:rFonts w:ascii="Helvetica" w:hAnsi="Helvetica"/>
              <w:noProof/>
            </w:rPr>
            <w:fldChar w:fldCharType="separate"/>
          </w:r>
          <w:r>
            <w:rPr>
              <w:rFonts w:ascii="Helvetica" w:hAnsi="Helvetica"/>
              <w:noProof/>
            </w:rPr>
            <w:t>12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2.2 Revised Mission, Commitments &amp; Core Values</w:t>
          </w:r>
          <w:r>
            <w:rPr>
              <w:rFonts w:ascii="Helvetica" w:hAnsi="Helvetica"/>
              <w:noProof/>
            </w:rPr>
            <w:tab/>
          </w:r>
          <w:r>
            <w:rPr>
              <w:rFonts w:ascii="Helvetica" w:hAnsi="Helvetica"/>
              <w:noProof/>
            </w:rPr>
            <w:fldChar w:fldCharType="begin"/>
          </w:r>
          <w:r>
            <w:rPr>
              <w:rFonts w:ascii="Helvetica" w:hAnsi="Helvetica"/>
              <w:noProof/>
            </w:rPr>
            <w:instrText xml:space="preserve"> PAGEREF _Toc292010148 \h </w:instrText>
          </w:r>
          <w:r>
            <w:rPr>
              <w:rFonts w:ascii="Helvetica" w:hAnsi="Helvetica"/>
              <w:noProof/>
            </w:rPr>
            <w:fldChar w:fldCharType="separate"/>
          </w:r>
          <w:r>
            <w:rPr>
              <w:rFonts w:ascii="Helvetica" w:hAnsi="Helvetica"/>
              <w:noProof/>
            </w:rPr>
            <w:t>13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_Toc292010149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2.3.1 What is a “Fundamental Bylaw”</w:t>
          </w:r>
          <w:r>
            <w:rPr>
              <w:rFonts w:ascii="Helvetica" w:hAnsi="Helvetica"/>
              <w:noProof/>
            </w:rPr>
            <w:tab/>
          </w:r>
          <w:r>
            <w:rPr>
              <w:rFonts w:ascii="Helvetica" w:hAnsi="Helvetica"/>
              <w:noProof/>
            </w:rPr>
            <w:fldChar w:fldCharType="begin"/>
          </w:r>
          <w:r>
            <w:rPr>
              <w:rFonts w:ascii="Helvetica" w:hAnsi="Helvetica"/>
              <w:noProof/>
            </w:rPr>
            <w:instrText xml:space="preserve"> PAGEREF _Toc292010150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2.3.2 Establishing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_Toc292010151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2.3.3 Adding new or changing existing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_Toc292010152 \h </w:instrText>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2.3.4 Which of the current Bylaws would become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_Toc292010153 \h </w:instrText>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2.4 Independent Review Panel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_Toc292010154 \h </w:instrText>
          </w:r>
          <w:r>
            <w:rPr>
              <w:rFonts w:ascii="Helvetica" w:hAnsi="Helvetica"/>
              <w:noProof/>
            </w:rPr>
            <w:fldChar w:fldCharType="separate"/>
          </w:r>
          <w:r>
            <w:rPr>
              <w:rFonts w:ascii="Helvetica" w:hAnsi="Helvetica"/>
              <w:noProof/>
            </w:rPr>
            <w:t>26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2.5 Reconsideration Process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_Toc292010155 \h </w:instrText>
          </w:r>
          <w:r>
            <w:rPr>
              <w:rFonts w:ascii="Helvetica" w:hAnsi="Helvetica"/>
              <w:noProof/>
            </w:rPr>
            <w:fldChar w:fldCharType="separate"/>
          </w:r>
          <w:r>
            <w:rPr>
              <w:rFonts w:ascii="Helvetica" w:hAnsi="Helvetica"/>
              <w:noProof/>
            </w:rPr>
            <w:t>31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 Community Empowerment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_Toc292010156 \h </w:instrText>
          </w:r>
          <w:r>
            <w:rPr>
              <w:rFonts w:ascii="Helvetica" w:hAnsi="Helvetica"/>
              <w:noProof/>
            </w:rPr>
            <w:fldChar w:fldCharType="separate"/>
          </w:r>
          <w:r>
            <w:rPr>
              <w:rFonts w:ascii="Helvetica" w:hAnsi="Helvetica"/>
              <w:noProof/>
            </w:rPr>
            <w:t>35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 Mechanism to empower the community</w:t>
          </w:r>
          <w:r>
            <w:rPr>
              <w:rFonts w:ascii="Helvetica" w:hAnsi="Helvetica"/>
              <w:noProof/>
            </w:rPr>
            <w:tab/>
          </w:r>
          <w:r>
            <w:rPr>
              <w:rFonts w:ascii="Helvetica" w:hAnsi="Helvetica"/>
              <w:noProof/>
            </w:rPr>
            <w:fldChar w:fldCharType="begin"/>
          </w:r>
          <w:r>
            <w:rPr>
              <w:rFonts w:ascii="Helvetica" w:hAnsi="Helvetica"/>
              <w:noProof/>
            </w:rPr>
            <w:instrText xml:space="preserve"> PAGEREF _Toc292010157 \h </w:instrText>
          </w:r>
          <w:r>
            <w:rPr>
              <w:rFonts w:ascii="Helvetica" w:hAnsi="Helvetica"/>
              <w:noProof/>
            </w:rPr>
            <w:fldChar w:fldCharType="separate"/>
          </w:r>
          <w:r>
            <w:rPr>
              <w:rFonts w:ascii="Helvetica" w:hAnsi="Helvetica"/>
              <w:noProof/>
            </w:rPr>
            <w:t>35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2.6.1.1 The Community Mechanism: SO/AC Membership Model</w:t>
          </w:r>
          <w:r>
            <w:rPr>
              <w:rFonts w:ascii="Helvetica" w:hAnsi="Helvetica"/>
              <w:noProof/>
            </w:rPr>
            <w:tab/>
          </w:r>
          <w:r>
            <w:rPr>
              <w:rFonts w:ascii="Helvetica" w:hAnsi="Helvetica"/>
              <w:noProof/>
            </w:rPr>
            <w:fldChar w:fldCharType="begin"/>
          </w:r>
          <w:r>
            <w:rPr>
              <w:rFonts w:ascii="Helvetica" w:hAnsi="Helvetica"/>
              <w:noProof/>
            </w:rPr>
            <w:instrText xml:space="preserve"> PAGEREF _Toc292010158 \h </w:instrText>
          </w:r>
          <w:r>
            <w:rPr>
              <w:rFonts w:ascii="Helvetica" w:hAnsi="Helvetica"/>
              <w:noProof/>
            </w:rPr>
            <w:fldChar w:fldCharType="separate"/>
          </w:r>
          <w:r>
            <w:rPr>
              <w:rFonts w:ascii="Helvetica" w:hAnsi="Helvetica"/>
              <w:noProof/>
            </w:rPr>
            <w:t>36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2.6.1.2 Influence in the Community Mechanism</w:t>
          </w:r>
          <w:r>
            <w:rPr>
              <w:rFonts w:ascii="Helvetica" w:hAnsi="Helvetica"/>
              <w:noProof/>
            </w:rPr>
            <w:tab/>
          </w:r>
          <w:r>
            <w:rPr>
              <w:rFonts w:ascii="Helvetica" w:hAnsi="Helvetica"/>
              <w:noProof/>
            </w:rPr>
            <w:fldChar w:fldCharType="begin"/>
          </w:r>
          <w:r>
            <w:rPr>
              <w:rFonts w:ascii="Helvetica" w:hAnsi="Helvetica"/>
              <w:noProof/>
            </w:rPr>
            <w:instrText xml:space="preserve"> PAGEREF _Toc292010159 \h </w:instrText>
          </w:r>
          <w:r>
            <w:rPr>
              <w:rFonts w:ascii="Helvetica" w:hAnsi="Helvetica"/>
              <w:noProof/>
            </w:rPr>
            <w:fldChar w:fldCharType="separate"/>
          </w:r>
          <w:r>
            <w:rPr>
              <w:rFonts w:ascii="Helvetica" w:hAnsi="Helvetica"/>
              <w:noProof/>
            </w:rPr>
            <w:t>38</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2.6.1.3 Governance models and community powers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_Toc292010160 \h </w:instrText>
          </w:r>
          <w:r>
            <w:rPr>
              <w:rFonts w:ascii="Helvetica" w:hAnsi="Helvetica"/>
              <w:noProof/>
            </w:rPr>
            <w:fldChar w:fldCharType="separate"/>
          </w:r>
          <w:r>
            <w:rPr>
              <w:rFonts w:ascii="Helvetica" w:hAnsi="Helvetica"/>
              <w:noProof/>
            </w:rPr>
            <w:t>40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2.6.2 Power: reconsider/reject budget or strategy/operating plans</w:t>
          </w:r>
          <w:r>
            <w:rPr>
              <w:rFonts w:ascii="Helvetica" w:hAnsi="Helvetica"/>
              <w:noProof/>
            </w:rPr>
            <w:tab/>
          </w:r>
          <w:r>
            <w:rPr>
              <w:rFonts w:ascii="Helvetica" w:hAnsi="Helvetica"/>
              <w:noProof/>
            </w:rPr>
            <w:fldChar w:fldCharType="begin"/>
          </w:r>
          <w:r>
            <w:rPr>
              <w:rFonts w:ascii="Helvetica" w:hAnsi="Helvetica"/>
              <w:noProof/>
            </w:rPr>
            <w:instrText xml:space="preserve"> PAGEREF _Toc292010161 \h </w:instrText>
          </w:r>
          <w:r>
            <w:rPr>
              <w:rFonts w:ascii="Helvetica" w:hAnsi="Helvetica"/>
              <w:noProof/>
            </w:rPr>
            <w:fldChar w:fldCharType="separate"/>
          </w:r>
          <w:r>
            <w:rPr>
              <w:rFonts w:ascii="Helvetica" w:hAnsi="Helvetica"/>
              <w:noProof/>
            </w:rPr>
            <w:t>40</w:t>
          </w:r>
          <w:r>
            <w:rPr>
              <w:rFonts w:ascii="Helvetica" w:hAnsi="Helvetica"/>
              <w:noProof/>
            </w:rPr>
            <w:fldChar w:fldCharType="end"/>
          </w:r>
        </w:p>
        <w:p>
          <w:pPr>
            <w:pStyle w:val="TOC2"/>
            <w:numPr>
              <w:ilvl w:val="0"/>
              <w:numId w:val="0"/>
            </w:numPr>
            <w:tabs>
              <w:tab w:val="left" w:pos="593"/>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2.6.3</w:t>
          </w:r>
          <w:r>
            <w:rPr>
              <w:rFonts w:ascii="Helvetica" w:hAnsi="Helvetica" w:eastAsiaTheme="minorEastAsia" w:cstheme="minorBidi"/>
              <w:b/>
              <w:noProof/>
              <w:sz w:val="24"/>
              <w:szCs w:val="24"/>
              <w:lang w:eastAsia="ja-JP"/>
            </w:rPr>
            <w:tab/>
          </w:r>
          <w:r>
            <w:rPr>
              <w:rFonts w:ascii="Helvetica" w:hAnsi="Helvetica"/>
              <w:noProof/>
            </w:rPr>
            <w:t xml:space="preserve"> Power: reconsider/reject changes to ICANN “standard”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_Toc292010162 \h </w:instrText>
          </w:r>
          <w:r>
            <w:rPr>
              <w:rFonts w:ascii="Helvetica" w:hAnsi="Helvetica"/>
              <w:noProof/>
            </w:rPr>
            <w:fldChar w:fldCharType="separate"/>
          </w:r>
          <w:r>
            <w:rPr>
              <w:rFonts w:ascii="Helvetica" w:hAnsi="Helvetica"/>
              <w:noProof/>
            </w:rPr>
            <w:t>41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2.6.4</w:t>
          </w:r>
          <w:r>
            <w:rPr>
              <w:rFonts w:ascii="Helvetica" w:eastAsia="Times New Roman" w:hAnsi="Helvetica"/>
              <w:b/>
              <w:noProof/>
            </w:rPr>
            <w:t xml:space="preserve"> </w:t>
          </w:r>
          <w:r>
            <w:rPr>
              <w:rFonts w:ascii="Helvetica" w:hAnsi="Helvetica"/>
              <w:noProof/>
            </w:rPr>
            <w:t xml:space="preserve">Power: approve changes to “Fundamental” Bylaws </w:t>
          </w:r>
          <w:r>
            <w:rPr>
              <w:rFonts w:ascii="Helvetica" w:hAnsi="Helvetica"/>
              <w:noProof/>
            </w:rPr>
            <w:tab/>
          </w:r>
          <w:r>
            <w:rPr>
              <w:rFonts w:ascii="Helvetica" w:hAnsi="Helvetica"/>
              <w:noProof/>
            </w:rPr>
            <w:fldChar w:fldCharType="begin"/>
          </w:r>
          <w:r>
            <w:rPr>
              <w:rFonts w:ascii="Helvetica" w:hAnsi="Helvetica"/>
              <w:noProof/>
            </w:rPr>
            <w:instrText xml:space="preserve"> PAGEREF _Toc292010163 \h </w:instrText>
          </w:r>
          <w:r>
            <w:rPr>
              <w:rFonts w:ascii="Helvetica" w:hAnsi="Helvetica"/>
              <w:noProof/>
            </w:rPr>
            <w:fldChar w:fldCharType="separate"/>
          </w:r>
          <w:r>
            <w:rPr>
              <w:rFonts w:ascii="Helvetica" w:hAnsi="Helvetica"/>
              <w:noProof/>
            </w:rPr>
            <w:t>42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2.6.5</w:t>
          </w:r>
          <w:r>
            <w:rPr>
              <w:rFonts w:ascii="Helvetica" w:eastAsia="Times New Roman" w:hAnsi="Helvetica"/>
              <w:b/>
              <w:noProof/>
            </w:rPr>
            <w:t xml:space="preserve"> </w:t>
          </w:r>
          <w:r>
            <w:rPr>
              <w:rFonts w:ascii="Helvetica" w:hAnsi="Helvetica"/>
              <w:noProof/>
            </w:rPr>
            <w:t>Power: Removing individual ICANN Directors</w:t>
          </w:r>
          <w:r>
            <w:rPr>
              <w:rFonts w:ascii="Helvetica" w:hAnsi="Helvetica"/>
              <w:noProof/>
            </w:rPr>
            <w:tab/>
          </w:r>
          <w:r>
            <w:rPr>
              <w:rFonts w:ascii="Helvetica" w:hAnsi="Helvetica"/>
              <w:noProof/>
            </w:rPr>
            <w:fldChar w:fldCharType="begin"/>
          </w:r>
          <w:r>
            <w:rPr>
              <w:rFonts w:ascii="Helvetica" w:hAnsi="Helvetica"/>
              <w:noProof/>
            </w:rPr>
            <w:instrText xml:space="preserve"> PAGEREF _Toc292010164 \h </w:instrText>
          </w:r>
          <w:r>
            <w:rPr>
              <w:rFonts w:ascii="Helvetica" w:hAnsi="Helvetica"/>
              <w:noProof/>
            </w:rPr>
            <w:fldChar w:fldCharType="separate"/>
          </w:r>
          <w:r>
            <w:rPr>
              <w:rFonts w:ascii="Helvetica" w:hAnsi="Helvetica"/>
              <w:noProof/>
            </w:rPr>
            <w:t>43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2.6.6 Power: Recalling the entire ICANN Board</w:t>
          </w:r>
          <w:r>
            <w:rPr>
              <w:rFonts w:ascii="Helvetica" w:hAnsi="Helvetica"/>
              <w:noProof/>
            </w:rPr>
            <w:tab/>
          </w:r>
          <w:r>
            <w:rPr>
              <w:rFonts w:ascii="Helvetica" w:hAnsi="Helvetica"/>
              <w:noProof/>
            </w:rPr>
            <w:fldChar w:fldCharType="begin"/>
          </w:r>
          <w:r>
            <w:rPr>
              <w:rFonts w:ascii="Helvetica" w:hAnsi="Helvetica"/>
              <w:noProof/>
            </w:rPr>
            <w:instrText xml:space="preserve"> PAGEREF _Toc292010165 \h </w:instrText>
          </w:r>
          <w:r>
            <w:rPr>
              <w:rFonts w:ascii="Helvetica" w:hAnsi="Helvetica"/>
              <w:noProof/>
            </w:rPr>
            <w:fldChar w:fldCharType="separate"/>
          </w:r>
          <w:r>
            <w:rPr>
              <w:rFonts w:ascii="Helvetica" w:hAnsi="Helvetica"/>
              <w:noProof/>
            </w:rPr>
            <w:t>44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 Incorporating AoC into the ICANN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_Toc292010166 \h </w:instrText>
          </w:r>
          <w:r>
            <w:rPr>
              <w:rFonts w:ascii="Helvetica" w:hAnsi="Helvetica"/>
              <w:noProof/>
            </w:rPr>
            <w:fldChar w:fldCharType="separate"/>
          </w:r>
          <w:r>
            <w:rPr>
              <w:rFonts w:ascii="Helvetica" w:hAnsi="Helvetica"/>
              <w:noProof/>
            </w:rPr>
            <w:t>45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2.7.1 Preserving ICANN Commitments from the AoC</w:t>
          </w:r>
          <w:r>
            <w:rPr>
              <w:rFonts w:ascii="Helvetica" w:hAnsi="Helvetica"/>
              <w:noProof/>
            </w:rPr>
            <w:tab/>
          </w:r>
          <w:r>
            <w:rPr>
              <w:rFonts w:ascii="Helvetica" w:hAnsi="Helvetica"/>
              <w:noProof/>
            </w:rPr>
            <w:fldChar w:fldCharType="begin"/>
          </w:r>
          <w:r>
            <w:rPr>
              <w:rFonts w:ascii="Helvetica" w:hAnsi="Helvetica"/>
              <w:noProof/>
            </w:rPr>
            <w:instrText xml:space="preserve"> PAGEREF _Toc292010167 \h </w:instrText>
          </w:r>
          <w:r>
            <w:rPr>
              <w:rFonts w:ascii="Helvetica" w:hAnsi="Helvetica"/>
              <w:noProof/>
            </w:rPr>
            <w:fldChar w:fldCharType="separate"/>
          </w:r>
          <w:r>
            <w:rPr>
              <w:rFonts w:ascii="Helvetica" w:hAnsi="Helvetica"/>
              <w:noProof/>
            </w:rPr>
            <w:t>46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2.7.2 AoC Reviews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_Toc292010168 \h </w:instrText>
          </w:r>
          <w:r>
            <w:rPr>
              <w:rFonts w:ascii="Helvetica" w:hAnsi="Helvetica"/>
              <w:noProof/>
            </w:rPr>
            <w:fldChar w:fldCharType="separate"/>
          </w:r>
          <w:r>
            <w:rPr>
              <w:rFonts w:ascii="Helvetica" w:hAnsi="Helvetica"/>
              <w:noProof/>
            </w:rPr>
            <w:t>49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2.8 Bylaws changes suggested by Stress Tests</w:t>
          </w:r>
          <w:r>
            <w:rPr>
              <w:rFonts w:ascii="Helvetica" w:hAnsi="Helvetica"/>
              <w:noProof/>
            </w:rPr>
            <w:tab/>
          </w:r>
          <w:r>
            <w:rPr>
              <w:rFonts w:ascii="Helvetica" w:hAnsi="Helvetica"/>
              <w:noProof/>
            </w:rPr>
            <w:fldChar w:fldCharType="begin"/>
          </w:r>
          <w:r>
            <w:rPr>
              <w:rFonts w:ascii="Helvetica" w:hAnsi="Helvetica"/>
              <w:noProof/>
            </w:rPr>
            <w:instrText xml:space="preserve"> PAGEREF _Toc292010169 \h </w:instrText>
          </w:r>
          <w:r>
            <w:rPr>
              <w:rFonts w:ascii="Helvetica" w:hAnsi="Helvetica"/>
              <w:noProof/>
            </w:rPr>
            <w:fldChar w:fldCharType="separate"/>
          </w:r>
          <w:r>
            <w:rPr>
              <w:rFonts w:ascii="Helvetica" w:hAnsi="Helvetica"/>
              <w:noProof/>
            </w:rPr>
            <w:t>55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2.8.1 Forcing the Board to respond to Advisory Committee formal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_Toc292010170 \h </w:instrText>
          </w:r>
          <w:r>
            <w:rPr>
              <w:rFonts w:ascii="Helvetica" w:hAnsi="Helvetica"/>
              <w:noProof/>
            </w:rPr>
            <w:fldChar w:fldCharType="separate"/>
          </w:r>
          <w:r>
            <w:rPr>
              <w:rFonts w:ascii="Helvetica" w:hAnsi="Helvetica"/>
              <w:noProof/>
            </w:rPr>
            <w:t>56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2.8.2</w:t>
          </w:r>
          <w:r>
            <w:rPr>
              <w:rFonts w:ascii="Helvetica" w:eastAsia="Times New Roman" w:hAnsi="Helvetica"/>
              <w:b/>
              <w:noProof/>
            </w:rPr>
            <w:t xml:space="preserve">  </w:t>
          </w:r>
          <w:r>
            <w:rPr>
              <w:rFonts w:ascii="Helvetica" w:hAnsi="Helvetica"/>
              <w:noProof/>
            </w:rPr>
            <w:t>Require consultation and mutually acceptable solution for GAC advice that is backed by consensus</w:t>
          </w:r>
          <w:r>
            <w:rPr>
              <w:rFonts w:ascii="Helvetica" w:hAnsi="Helvetica"/>
              <w:noProof/>
            </w:rPr>
            <w:tab/>
          </w:r>
          <w:r>
            <w:rPr>
              <w:rFonts w:ascii="Helvetica" w:hAnsi="Helvetica"/>
              <w:noProof/>
            </w:rPr>
            <w:fldChar w:fldCharType="begin"/>
          </w:r>
          <w:r>
            <w:rPr>
              <w:rFonts w:ascii="Helvetica" w:hAnsi="Helvetica"/>
              <w:noProof/>
            </w:rPr>
            <w:instrText xml:space="preserve"> PAGEREF _Toc292010171 \h </w:instrText>
          </w:r>
          <w:r>
            <w:rPr>
              <w:rFonts w:ascii="Helvetica" w:hAnsi="Helvetica"/>
              <w:noProof/>
            </w:rPr>
            <w:fldChar w:fldCharType="separate"/>
          </w:r>
          <w:r>
            <w:rPr>
              <w:rFonts w:ascii="Helvetica" w:hAnsi="Helvetica"/>
              <w:noProof/>
            </w:rPr>
            <w:t>57</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3) Stress Tests</w:t>
          </w:r>
          <w:r>
            <w:rPr>
              <w:rFonts w:ascii="Helvetica" w:hAnsi="Helvetica"/>
              <w:noProof/>
            </w:rPr>
            <w:tab/>
          </w:r>
          <w:r>
            <w:rPr>
              <w:rFonts w:ascii="Helvetica" w:hAnsi="Helvetica"/>
              <w:noProof/>
            </w:rPr>
            <w:fldChar w:fldCharType="begin"/>
          </w:r>
          <w:r>
            <w:rPr>
              <w:rFonts w:ascii="Helvetica" w:hAnsi="Helvetica"/>
              <w:noProof/>
            </w:rPr>
            <w:instrText xml:space="preserve"> PAGEREF _Toc292010172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_Toc292010173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Purpose &amp; Methodology</w:t>
          </w:r>
          <w:r>
            <w:rPr>
              <w:rFonts w:ascii="Helvetica" w:hAnsi="Helvetica"/>
              <w:noProof/>
            </w:rPr>
            <w:tab/>
          </w:r>
          <w:r>
            <w:rPr>
              <w:rFonts w:ascii="Helvetica" w:hAnsi="Helvetica"/>
              <w:noProof/>
            </w:rPr>
            <w:fldChar w:fldCharType="begin"/>
          </w:r>
          <w:r>
            <w:rPr>
              <w:rFonts w:ascii="Helvetica" w:hAnsi="Helvetica"/>
              <w:noProof/>
            </w:rPr>
            <w:instrText xml:space="preserve"> PAGEREF _Toc292010174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 Financial Crisis or Insolvency (Scenarios #5, 6, 7, 8 and 9)</w:t>
          </w:r>
          <w:r>
            <w:rPr>
              <w:rFonts w:ascii="Helvetica" w:hAnsi="Helvetica"/>
              <w:noProof/>
            </w:rPr>
            <w:tab/>
          </w:r>
          <w:r>
            <w:rPr>
              <w:rFonts w:ascii="Helvetica" w:hAnsi="Helvetica"/>
              <w:noProof/>
            </w:rPr>
            <w:fldChar w:fldCharType="begin"/>
          </w:r>
          <w:r>
            <w:rPr>
              <w:rFonts w:ascii="Helvetica" w:hAnsi="Helvetica"/>
              <w:noProof/>
            </w:rPr>
            <w:instrText xml:space="preserve"> PAGEREF _Toc292010175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II. Failure to Meet Operational Obligations (Scenarios #1,2,11, 17, and 21)</w:t>
          </w:r>
          <w:r>
            <w:rPr>
              <w:rFonts w:ascii="Helvetica" w:hAnsi="Helvetica"/>
              <w:noProof/>
            </w:rPr>
            <w:tab/>
          </w:r>
          <w:r>
            <w:rPr>
              <w:rFonts w:ascii="Helvetica" w:hAnsi="Helvetica"/>
              <w:noProof/>
            </w:rPr>
            <w:fldChar w:fldCharType="begin"/>
          </w:r>
          <w:r>
            <w:rPr>
              <w:rFonts w:ascii="Helvetica" w:hAnsi="Helvetica"/>
              <w:noProof/>
            </w:rPr>
            <w:instrText xml:space="preserve"> PAGEREF _Toc292010176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III. Legal/Legislative Action (Scenarios #3, 4, 19, and 20)</w:t>
          </w:r>
          <w:r>
            <w:rPr>
              <w:rFonts w:ascii="Helvetica" w:hAnsi="Helvetica"/>
              <w:noProof/>
            </w:rPr>
            <w:tab/>
          </w:r>
          <w:r>
            <w:rPr>
              <w:rFonts w:ascii="Helvetica" w:hAnsi="Helvetica"/>
              <w:noProof/>
            </w:rPr>
            <w:fldChar w:fldCharType="begin"/>
          </w:r>
          <w:r>
            <w:rPr>
              <w:rFonts w:ascii="Helvetica" w:hAnsi="Helvetica"/>
              <w:noProof/>
            </w:rPr>
            <w:instrText xml:space="preserve"> PAGEREF _Toc292010177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IV. Failure of Accountability (Scenarios #10, 12, 13, 16, 18, 22, 23, 24 and 26)</w:t>
          </w:r>
          <w:r>
            <w:rPr>
              <w:rFonts w:ascii="Helvetica" w:hAnsi="Helvetica"/>
              <w:noProof/>
            </w:rPr>
            <w:tab/>
          </w:r>
          <w:r>
            <w:rPr>
              <w:rFonts w:ascii="Helvetica" w:hAnsi="Helvetica"/>
              <w:noProof/>
            </w:rPr>
            <w:fldChar w:fldCharType="begin"/>
          </w:r>
          <w:r>
            <w:rPr>
              <w:rFonts w:ascii="Helvetica" w:hAnsi="Helvetica"/>
              <w:noProof/>
            </w:rPr>
            <w:instrText xml:space="preserve"> PAGEREF _Toc292010178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V. Failure of Accountability to External Stakeholders (Scenarios #14, 15, and 25)</w:t>
          </w:r>
          <w:r>
            <w:rPr>
              <w:rFonts w:ascii="Helvetica" w:hAnsi="Helvetica"/>
              <w:noProof/>
            </w:rPr>
            <w:tab/>
          </w:r>
          <w:r>
            <w:rPr>
              <w:rFonts w:ascii="Helvetica" w:hAnsi="Helvetica"/>
              <w:noProof/>
            </w:rPr>
            <w:fldChar w:fldCharType="begin"/>
          </w:r>
          <w:r>
            <w:rPr>
              <w:rFonts w:ascii="Helvetica" w:hAnsi="Helvetica"/>
              <w:noProof/>
            </w:rPr>
            <w:instrText xml:space="preserve"> PAGEREF _Toc292010179 \h </w:instrText>
          </w:r>
          <w:r>
            <w:rPr>
              <w:rFonts w:ascii="Helvetica" w:hAnsi="Helvetica"/>
              <w:noProof/>
            </w:rPr>
            <w:fldChar w:fldCharType="separate"/>
          </w:r>
          <w:r>
            <w:rPr>
              <w:rFonts w:ascii="Helvetica" w:hAnsi="Helvetica"/>
              <w:noProof/>
            </w:rPr>
            <w:t>61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 Financial Crisis or Insolvency</w:t>
          </w:r>
          <w:r>
            <w:rPr>
              <w:rFonts w:ascii="Helvetica" w:hAnsi="Helvetica"/>
              <w:noProof/>
            </w:rPr>
            <w:tab/>
          </w:r>
          <w:r>
            <w:rPr>
              <w:rFonts w:ascii="Helvetica" w:hAnsi="Helvetica"/>
              <w:noProof/>
            </w:rPr>
            <w:fldChar w:fldCharType="begin"/>
          </w:r>
          <w:r>
            <w:rPr>
              <w:rFonts w:ascii="Helvetica" w:hAnsi="Helvetica"/>
              <w:noProof/>
            </w:rPr>
            <w:instrText xml:space="preserve"> PAGEREF _Toc292010180 \h </w:instrText>
          </w:r>
          <w:r>
            <w:rPr>
              <w:rFonts w:ascii="Helvetica" w:hAnsi="Helvetica"/>
              <w:noProof/>
            </w:rPr>
            <w:fldChar w:fldCharType="separate"/>
          </w:r>
          <w:r>
            <w:rPr>
              <w:rFonts w:ascii="Helvetica" w:hAnsi="Helvetica"/>
              <w:noProof/>
            </w:rPr>
            <w:t>63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II: Failure to Meet Operational Expectations</w:t>
          </w:r>
          <w:r>
            <w:rPr>
              <w:rFonts w:ascii="Helvetica" w:hAnsi="Helvetica"/>
              <w:noProof/>
            </w:rPr>
            <w:tab/>
          </w:r>
          <w:r>
            <w:rPr>
              <w:rFonts w:ascii="Helvetica" w:hAnsi="Helvetica"/>
              <w:noProof/>
            </w:rPr>
            <w:fldChar w:fldCharType="begin"/>
          </w:r>
          <w:r>
            <w:rPr>
              <w:rFonts w:ascii="Helvetica" w:hAnsi="Helvetica"/>
              <w:noProof/>
            </w:rPr>
            <w:instrText xml:space="preserve"> PAGEREF _Toc292010181 \h </w:instrText>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III: Legal/Legislative Action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_Toc292010182 \h </w:instrText>
          </w:r>
          <w:r>
            <w:rPr>
              <w:rFonts w:ascii="Helvetica" w:hAnsi="Helvetica"/>
              <w:noProof/>
            </w:rPr>
            <w:fldChar w:fldCharType="separate"/>
          </w:r>
          <w:r>
            <w:rPr>
              <w:rFonts w:ascii="Helvetica" w:hAnsi="Helvetica"/>
              <w:noProof/>
            </w:rPr>
            <w:t>69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IV: Failure of Accountability</w:t>
          </w:r>
          <w:r>
            <w:rPr>
              <w:rFonts w:ascii="Helvetica" w:hAnsi="Helvetica"/>
              <w:noProof/>
            </w:rPr>
            <w:tab/>
          </w:r>
          <w:r>
            <w:rPr>
              <w:rFonts w:ascii="Helvetica" w:hAnsi="Helvetica"/>
              <w:noProof/>
            </w:rPr>
            <w:fldChar w:fldCharType="begin"/>
          </w:r>
          <w:r>
            <w:rPr>
              <w:rFonts w:ascii="Helvetica" w:hAnsi="Helvetica"/>
              <w:noProof/>
            </w:rPr>
            <w:instrText xml:space="preserve"> PAGEREF _Toc292010183 \h </w:instrText>
          </w:r>
          <w:r>
            <w:rPr>
              <w:rFonts w:ascii="Helvetica" w:hAnsi="Helvetica"/>
              <w:noProof/>
            </w:rPr>
            <w:fldChar w:fldCharType="separate"/>
          </w:r>
          <w:r>
            <w:rPr>
              <w:rFonts w:ascii="Helvetica" w:hAnsi="Helvetica"/>
              <w:noProof/>
            </w:rPr>
            <w:t>72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Stress test category V: Failure of Accountability to External Stakeholders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_Toc292010184 \h </w:instrText>
          </w:r>
          <w:r>
            <w:rPr>
              <w:rFonts w:ascii="Helvetica" w:hAnsi="Helvetica"/>
              <w:noProof/>
            </w:rPr>
            <w:fldChar w:fldCharType="separate"/>
          </w:r>
          <w:r>
            <w:rPr>
              <w:rFonts w:ascii="Helvetica" w:hAnsi="Helvetica"/>
              <w:noProof/>
            </w:rPr>
            <w:t>79</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4) Items for Consideration in Work Stream 2</w:t>
          </w:r>
          <w:r>
            <w:rPr>
              <w:rFonts w:ascii="Helvetica" w:hAnsi="Helvetica"/>
              <w:noProof/>
            </w:rPr>
            <w:tab/>
          </w:r>
          <w:r>
            <w:rPr>
              <w:rFonts w:ascii="Helvetica" w:hAnsi="Helvetica"/>
              <w:noProof/>
            </w:rPr>
            <w:fldChar w:fldCharType="begin"/>
          </w:r>
          <w:r>
            <w:rPr>
              <w:rFonts w:ascii="Helvetica" w:hAnsi="Helvetica"/>
              <w:noProof/>
            </w:rPr>
            <w:instrText xml:space="preserve"> PAGEREF _Toc292010185 \h </w:instrText>
          </w:r>
          <w:r>
            <w:rPr>
              <w:rFonts w:ascii="Helvetica" w:hAnsi="Helvetica"/>
              <w:noProof/>
            </w:rPr>
            <w:fldChar w:fldCharType="separate"/>
          </w:r>
          <w:r>
            <w:rPr>
              <w:rFonts w:ascii="Helvetica" w:hAnsi="Helvetica"/>
              <w:noProof/>
            </w:rPr>
            <w:t>81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Commitment to Work Stream 2 proposal consideration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_Toc292010186 \h </w:instrText>
          </w:r>
          <w:r>
            <w:rPr>
              <w:rFonts w:ascii="Helvetica" w:hAnsi="Helvetica"/>
              <w:noProof/>
            </w:rPr>
            <w:fldChar w:fldCharType="separate"/>
          </w:r>
          <w:r>
            <w:rPr>
              <w:rFonts w:ascii="Helvetica" w:hAnsi="Helvetica"/>
              <w:noProof/>
            </w:rPr>
            <w:t>81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Items for consideration within Work Stream 2</w:t>
          </w:r>
          <w:r>
            <w:rPr>
              <w:rFonts w:ascii="Helvetica" w:hAnsi="Helvetica"/>
              <w:noProof/>
            </w:rPr>
            <w:tab/>
          </w:r>
          <w:r>
            <w:rPr>
              <w:rFonts w:ascii="Helvetica" w:hAnsi="Helvetica"/>
              <w:noProof/>
            </w:rPr>
            <w:fldChar w:fldCharType="begin"/>
          </w:r>
          <w:r>
            <w:rPr>
              <w:rFonts w:ascii="Helvetica" w:hAnsi="Helvetica"/>
              <w:noProof/>
            </w:rPr>
            <w:instrText xml:space="preserve"> PAGEREF _Toc292010187 \h </w:instrText>
          </w:r>
          <w:r>
            <w:rPr>
              <w:rFonts w:ascii="Helvetica" w:hAnsi="Helvetica"/>
              <w:noProof/>
            </w:rPr>
            <w:fldChar w:fldCharType="separate"/>
          </w:r>
          <w:r>
            <w:rPr>
              <w:rFonts w:ascii="Helvetica" w:hAnsi="Helvetica"/>
              <w:noProof/>
            </w:rPr>
            <w:t>82</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5) Implementation Plan Including Timing</w:t>
          </w:r>
          <w:r>
            <w:rPr>
              <w:rFonts w:ascii="Helvetica" w:hAnsi="Helvetica"/>
              <w:noProof/>
            </w:rPr>
            <w:tab/>
          </w:r>
          <w:r>
            <w:rPr>
              <w:rFonts w:ascii="Helvetica" w:hAnsi="Helvetica"/>
              <w:noProof/>
            </w:rPr>
            <w:fldChar w:fldCharType="begin"/>
          </w:r>
          <w:r>
            <w:rPr>
              <w:rFonts w:ascii="Helvetica" w:hAnsi="Helvetica"/>
              <w:noProof/>
            </w:rPr>
            <w:instrText xml:space="preserve"> PAGEREF _Toc292010188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5.1 Timeline</w:t>
          </w:r>
          <w:r>
            <w:rPr>
              <w:rFonts w:ascii="Helvetica" w:hAnsi="Helvetica"/>
              <w:noProof/>
            </w:rPr>
            <w:tab/>
          </w:r>
          <w:r>
            <w:rPr>
              <w:rFonts w:ascii="Helvetica" w:hAnsi="Helvetica"/>
              <w:noProof/>
            </w:rPr>
            <w:fldChar w:fldCharType="begin"/>
          </w:r>
          <w:r>
            <w:rPr>
              <w:rFonts w:ascii="Helvetica" w:hAnsi="Helvetica"/>
              <w:noProof/>
            </w:rPr>
            <w:instrText xml:space="preserve"> PAGEREF _Toc292010189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5.2 Next Steps</w:t>
          </w:r>
          <w:r>
            <w:rPr>
              <w:rFonts w:ascii="Helvetica" w:hAnsi="Helvetica"/>
              <w:noProof/>
            </w:rPr>
            <w:tab/>
          </w:r>
          <w:r>
            <w:rPr>
              <w:rFonts w:ascii="Helvetica" w:hAnsi="Helvetica"/>
              <w:noProof/>
            </w:rPr>
            <w:fldChar w:fldCharType="begin"/>
          </w:r>
          <w:r>
            <w:rPr>
              <w:rFonts w:ascii="Helvetica" w:hAnsi="Helvetica"/>
              <w:noProof/>
            </w:rPr>
            <w:instrText xml:space="preserve"> PAGEREF _Toc292010190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5.3 Implementation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_Toc292010191 \h </w:instrText>
          </w:r>
          <w:r>
            <w:rPr>
              <w:rFonts w:ascii="Helvetica" w:hAnsi="Helvetica"/>
              <w:noProof/>
            </w:rPr>
            <w:fldChar w:fldCharType="separate"/>
          </w:r>
          <w:r>
            <w:rPr>
              <w:rFonts w:ascii="Helvetica" w:hAnsi="Helvetica"/>
              <w:noProof/>
            </w:rPr>
            <w:t>84</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noProof/>
            </w:rPr>
          </w:pPr>
          <w:r>
            <w:rPr>
              <w:rFonts w:ascii="Helvetica" w:hAnsi="Helvetica"/>
              <w:noProof/>
            </w:rPr>
            <w:t>6) Public Comment Input</w:t>
          </w:r>
          <w:r>
            <w:rPr>
              <w:rFonts w:ascii="Helvetica" w:hAnsi="Helvetica"/>
              <w:noProof/>
            </w:rPr>
            <w:tab/>
          </w:r>
          <w:r>
            <w:rPr>
              <w:rFonts w:ascii="Helvetica" w:hAnsi="Helvetica"/>
              <w:noProof/>
            </w:rPr>
            <w:fldChar w:fldCharType="begin"/>
          </w:r>
          <w:r>
            <w:rPr>
              <w:rFonts w:ascii="Helvetica" w:hAnsi="Helvetica"/>
              <w:noProof/>
            </w:rPr>
            <w:instrText xml:space="preserve"> PAGEREF _Toc292010192 \h </w:instrText>
          </w:r>
          <w:r>
            <w:rPr>
              <w:rFonts w:ascii="Helvetica" w:hAnsi="Helvetica"/>
              <w:noProof/>
            </w:rPr>
            <w:fldChar w:fldCharType="separate"/>
          </w:r>
          <w:r>
            <w:rPr>
              <w:rFonts w:ascii="Helvetica" w:hAnsi="Helvetica"/>
              <w:noProof/>
            </w:rPr>
            <w:t>87</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pPr>
          <w:r>
            <w:rPr>
              <w:rFonts w:ascii="Helvetica" w:hAnsi="Helvetica"/>
              <w:noProof/>
            </w:rPr>
            <w:t>Glossary</w:t>
          </w:r>
          <w:r>
            <w:rPr>
              <w:rFonts w:ascii="Helvetica" w:hAnsi="Helvetica"/>
              <w:noProof/>
            </w:rPr>
            <w:tab/>
          </w:r>
          <w:r>
            <w:rPr>
              <w:rFonts w:ascii="Helvetica" w:hAnsi="Helvetica"/>
              <w:noProof/>
            </w:rPr>
            <w:fldChar w:fldCharType="begin"/>
          </w:r>
          <w:r>
            <w:rPr>
              <w:rFonts w:ascii="Helvetica" w:hAnsi="Helvetica"/>
              <w:noProof/>
            </w:rPr>
            <w:instrText xml:space="preserve"> PAGEREF _Toc292010193 \h </w:instrText>
          </w:r>
          <w:r>
            <w:rPr>
              <w:rFonts w:ascii="Helvetica" w:hAnsi="Helvetica"/>
              <w:noProof/>
            </w:rPr>
            <w:fldChar w:fldCharType="separate"/>
          </w:r>
          <w:r>
            <w:rPr>
              <w:rFonts w:ascii="Helvetica" w:hAnsi="Helvetica"/>
              <w:noProof/>
            </w:rPr>
            <w:t>90</w:t>
          </w:r>
          <w:r>
            <w:rPr>
              <w:rFonts w:ascii="Helvetica" w:hAnsi="Helvetica"/>
              <w:noProof/>
            </w:rPr>
            <w:fldChar w:fldCharType="end"/>
          </w:r>
          <w:r>
            <w:rPr>
              <w:rFonts w:ascii="Helvetica" w:hAnsi="Helvetica"/>
              <w:b w:val="0"/>
              <w:bCs/>
              <w:noProof/>
            </w:rPr>
            <w:fldChar w:fldCharType="end"/>
          </w:r>
        </w:p>
      </w:sdtContent>
    </w:sdt>
    <w:p>
      <w:pPr>
        <w:numPr>
          <w:ilvl w:val="0"/>
          <w:numId w:val="0"/>
        </w:numPr>
        <w:rPr>
          <w:rStyle w:val="SectionTile"/>
        </w:rPr>
      </w:pPr>
    </w:p>
    <w:p>
      <w:pPr>
        <w:numPr>
          <w:ilvl w:val="0"/>
          <w:numId w:val="0"/>
        </w:numPr>
        <w:rPr>
          <w:rStyle w:val="SectionTile"/>
        </w:rPr>
      </w:pPr>
    </w:p>
    <w:p>
      <w:pPr>
        <w:numPr>
          <w:ilvl w:val="0"/>
          <w:numId w:val="0"/>
        </w:numPr>
        <w:rPr>
          <w:rStyle w:val="SectionTile"/>
        </w:rPr>
      </w:pPr>
    </w:p>
    <w:p>
      <w:pPr>
        <w:numPr>
          <w:ilvl w:val="0"/>
          <w:numId w:val="0"/>
        </w:numPr>
        <w:rPr>
          <w:rStyle w:val="SectionTile"/>
          <w:b w:val="0"/>
          <w:color w:val="1F497D" w:themeColor="text2"/>
        </w:rPr>
      </w:pPr>
      <w:r>
        <w:rPr>
          <w:rStyle w:val="SectionTile"/>
          <w:b w:val="0"/>
          <w:color w:val="1F497D" w:themeColor="text2"/>
        </w:rPr>
        <w:br w:type="page"/>
      </w:r>
    </w:p>
    <w:p>
      <w:pPr>
        <w:numPr>
          <w:ilvl w:val="0"/>
          <w:numId w:val="0"/>
        </w:numPr>
        <w:ind w:left="720" w:hanging="540"/>
        <w:rPr>
          <w:rStyle w:val="SectionTile"/>
          <w:sz w:val="48"/>
          <w:szCs w:val="48"/>
        </w:rPr>
      </w:pPr>
      <w:r>
        <w:rPr>
          <w:rStyle w:val="SectionTile"/>
          <w:sz w:val="48"/>
          <w:szCs w:val="48"/>
        </w:rPr>
        <w:t>Executive Summary</w:t>
      </w:r>
      <w:bookmarkEnd w:id="0"/>
    </w:p>
    <w:p>
      <w:pPr>
        <w:numPr>
          <w:ilvl w:val="0"/>
          <w:numId w:val="0"/>
        </w:numPr>
        <w:ind w:left="720" w:hanging="540"/>
        <w:rPr>
          <w:b/>
          <w:bCs/>
          <w:szCs w:val="22"/>
        </w:rPr>
      </w:pPr>
    </w:p>
    <w:p>
      <w:pPr>
        <w:rPr>
          <w:szCs w:val="22"/>
        </w:rPr>
      </w:pPr>
      <w:r>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rPr>
          <w:szCs w:val="22"/>
        </w:rPr>
      </w:pPr>
    </w:p>
    <w:p>
      <w:pPr>
        <w:rPr>
          <w:szCs w:val="22"/>
        </w:rPr>
      </w:pPr>
      <w:r>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szCs w:val="22"/>
        </w:rPr>
      </w:pPr>
    </w:p>
    <w:p>
      <w:r>
        <w:t>This report for public comment represents the current work product of the CCWG-Accountability. It is focused on draft Work Stream 1 recommendations (Work Stream 1 is the CCWG-Accountability’s work on changes to ICANN’s accountability arrangements which must be in place, or committed to, prior to the IANA Stewardship transition), which were the focus of the first five months of work (from December 2014 until May 2015). These recommendations do not reflect CCWG-Accountability consensus at this point. The CCWG-Accountability is seeking confirmation of its approach, and guidance upon several options, from the community.</w:t>
      </w:r>
    </w:p>
    <w:p>
      <w:pPr>
        <w:numPr>
          <w:ilvl w:val="0"/>
          <w:numId w:val="0"/>
        </w:numPr>
      </w:pPr>
    </w:p>
    <w:p>
      <w:pPr>
        <w:rPr>
          <w:szCs w:val="22"/>
        </w:rPr>
      </w:pPr>
      <w:r>
        <w:rPr>
          <w:szCs w:val="22"/>
        </w:rPr>
        <w:t xml:space="preserve">The CCWG-Accountability Charter has been endorsed by the GNSO, ALAC, ccNSO, GAC and ASO. The CCWG-Accountability is composed of 25 members, appointed by each endorsing organization, and 154 participants. Participation in the group is open to any party. The CCWG-Accountability work was conducted through weekly conference calls, attended on average by 44 participants and members, and it held face-to-face meetings in Frankfurt (19-20 January 2015), Singapore (9-12 February 2015) and Istanbul (23-24 March 2015) </w:t>
      </w:r>
      <w:r>
        <w:t>as well as two intense work days (23-24 April 2015) with each 6 hours of telephone conferences.</w:t>
      </w:r>
    </w:p>
    <w:p>
      <w:pPr>
        <w:numPr>
          <w:ilvl w:val="0"/>
          <w:numId w:val="0"/>
        </w:numPr>
        <w:rPr>
          <w:szCs w:val="22"/>
        </w:rPr>
      </w:pPr>
    </w:p>
    <w:p>
      <w:r>
        <w:t xml:space="preserve">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numPr>
          <w:ilvl w:val="0"/>
          <w:numId w:val="0"/>
        </w:numPr>
      </w:pPr>
    </w:p>
    <w:p>
      <w:r>
        <w:t xml:space="preserve">The CCWG-Accountability has established a set of requirements that need to be fulfilled in order to enhance ICANN’s accountability. In order to do so, the CCWG-Accountability has established </w:t>
      </w:r>
    </w:p>
    <w:p>
      <w:pPr>
        <w:numPr>
          <w:ilvl w:val="0"/>
          <w:numId w:val="0"/>
        </w:numPr>
      </w:pPr>
    </w:p>
    <w:p>
      <w:pPr>
        <w:pStyle w:val="Bullets"/>
        <w:rPr>
          <w:b w:val="0"/>
        </w:rPr>
      </w:pPr>
      <w:r>
        <w:rPr>
          <w:b w:val="0"/>
        </w:rPr>
        <w:t>An inventory of existing accountability mechanisms;</w:t>
      </w:r>
    </w:p>
    <w:p>
      <w:pPr>
        <w:pStyle w:val="Bullets"/>
        <w:rPr>
          <w:b w:val="0"/>
        </w:rPr>
      </w:pPr>
      <w:r>
        <w:rPr>
          <w:b w:val="0"/>
        </w:rPr>
        <w:t xml:space="preserve">An inventory of contingencies that ICANN must be safeguarded against; and </w:t>
      </w:r>
    </w:p>
    <w:p>
      <w:pPr>
        <w:pStyle w:val="Bullets"/>
        <w:rPr>
          <w:b w:val="0"/>
        </w:rPr>
      </w:pPr>
      <w:r>
        <w:rPr>
          <w:b w:val="0"/>
        </w:rPr>
        <w:t>A set of 26 stress tests to establish whether the newly designed accountability architecture efficiently protects ICANN from the contingencies identified.</w:t>
      </w:r>
    </w:p>
    <w:p>
      <w:pPr>
        <w:rPr>
          <w:szCs w:val="22"/>
        </w:rPr>
      </w:pPr>
      <w:r>
        <w:rPr>
          <w:szCs w:val="22"/>
        </w:rPr>
        <w:t xml:space="preserve">The CCWG-Accountability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CCWG-Accountability is seeking additional input and guidance from the community. </w:t>
      </w:r>
    </w:p>
    <w:p>
      <w:pPr>
        <w:numPr>
          <w:ilvl w:val="0"/>
          <w:numId w:val="0"/>
        </w:numPr>
        <w:ind w:left="360"/>
        <w:rPr>
          <w:szCs w:val="22"/>
        </w:rPr>
      </w:pPr>
    </w:p>
    <w:p>
      <w:pPr>
        <w:rPr>
          <w:szCs w:val="22"/>
        </w:rPr>
      </w:pPr>
      <w:r>
        <w:rPr>
          <w:szCs w:val="22"/>
        </w:rPr>
        <w:t>To date, the CCWG-Accountability has defined the following requirements:</w:t>
      </w:r>
    </w:p>
    <w:p>
      <w:pPr>
        <w:numPr>
          <w:ilvl w:val="0"/>
          <w:numId w:val="0"/>
        </w:numPr>
        <w:rPr>
          <w:szCs w:val="22"/>
        </w:rPr>
      </w:pPr>
    </w:p>
    <w:p>
      <w:pPr>
        <w:rPr>
          <w:szCs w:val="22"/>
        </w:rPr>
      </w:pPr>
      <w:r>
        <w:rPr>
          <w:szCs w:val="22"/>
        </w:rPr>
        <w:t xml:space="preserve">The CCWG-Accountability identified four building blocks that need to be in place and that would form the accountability mechanisms required to improve accountability. These building blocks are: </w:t>
      </w:r>
    </w:p>
    <w:p>
      <w:pPr>
        <w:pStyle w:val="Bullets"/>
        <w:rPr>
          <w:b w:val="0"/>
        </w:rPr>
      </w:pPr>
      <w:r>
        <w:rPr>
          <w:b w:val="0"/>
        </w:rPr>
        <w:t>Principles that form the Mission and core values of ICANN</w:t>
      </w:r>
    </w:p>
    <w:p>
      <w:pPr>
        <w:pStyle w:val="Bullets"/>
        <w:rPr>
          <w:b w:val="0"/>
        </w:rPr>
      </w:pPr>
      <w:r>
        <w:rPr>
          <w:b w:val="0"/>
        </w:rPr>
        <w:t>The Board of Directors</w:t>
      </w:r>
    </w:p>
    <w:p>
      <w:pPr>
        <w:pStyle w:val="Bullets"/>
        <w:rPr>
          <w:b w:val="0"/>
        </w:rPr>
      </w:pPr>
      <w:r>
        <w:rPr>
          <w:b w:val="0"/>
        </w:rPr>
        <w:t>An empowered community</w:t>
      </w:r>
    </w:p>
    <w:p>
      <w:pPr>
        <w:pStyle w:val="Bullets"/>
        <w:rPr>
          <w:b w:val="0"/>
        </w:rPr>
      </w:pPr>
      <w:r>
        <w:rPr>
          <w:b w:val="0"/>
        </w:rPr>
        <w:t>Independent appeal mechanisms</w:t>
      </w:r>
    </w:p>
    <w:p>
      <w:pPr>
        <w:pStyle w:val="Bullets"/>
        <w:numPr>
          <w:ilvl w:val="0"/>
          <w:numId w:val="0"/>
        </w:numPr>
        <w:ind w:left="1440"/>
        <w:rPr>
          <w:b w:val="0"/>
        </w:rPr>
      </w:pPr>
    </w:p>
    <w:p>
      <w:pPr>
        <w:rPr>
          <w:szCs w:val="22"/>
        </w:rPr>
      </w:pPr>
      <w:r>
        <w:rPr>
          <w:szCs w:val="22"/>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rPr>
          <w:b w:val="0"/>
        </w:rPr>
      </w:pPr>
      <w:r>
        <w:rPr>
          <w:b w:val="0"/>
        </w:rPr>
        <w:t>The Mission;</w:t>
      </w:r>
    </w:p>
    <w:p>
      <w:pPr>
        <w:pStyle w:val="Bullets"/>
        <w:rPr>
          <w:b w:val="0"/>
        </w:rPr>
      </w:pPr>
      <w:r>
        <w:rPr>
          <w:b w:val="0"/>
        </w:rPr>
        <w:t>The Independent Review Process;</w:t>
      </w:r>
    </w:p>
    <w:p>
      <w:pPr>
        <w:pStyle w:val="Bullets"/>
        <w:rPr>
          <w:b w:val="0"/>
        </w:rPr>
      </w:pPr>
      <w:r>
        <w:rPr>
          <w:b w:val="0"/>
        </w:rPr>
        <w:t>The power to veto non-fundamental Bylaw changes and to approve changes to Fundamental Bylaws;</w:t>
      </w:r>
    </w:p>
    <w:p>
      <w:pPr>
        <w:pStyle w:val="Bullets"/>
        <w:rPr>
          <w:b w:val="0"/>
        </w:rPr>
      </w:pPr>
      <w:r>
        <w:rPr>
          <w:b w:val="0"/>
        </w:rPr>
        <w:t>Any reviews required by the CWG-Stewardship (e.g. the IANA Function Review and Separation Review);</w:t>
      </w:r>
    </w:p>
    <w:p>
      <w:pPr>
        <w:pStyle w:val="Bullets"/>
        <w:rPr>
          <w:b w:val="0"/>
        </w:rPr>
      </w:pPr>
      <w:r>
        <w:rPr>
          <w:b w:val="0"/>
        </w:rPr>
        <w:t>New community powers such as recall of the Board.</w:t>
      </w:r>
    </w:p>
    <w:p>
      <w:pPr>
        <w:pStyle w:val="Bullets"/>
        <w:numPr>
          <w:ilvl w:val="0"/>
          <w:numId w:val="0"/>
        </w:numPr>
        <w:ind w:left="1440"/>
        <w:rPr>
          <w:b w:val="0"/>
        </w:rPr>
      </w:pPr>
    </w:p>
    <w:p>
      <w:r>
        <w:t xml:space="preserve">The group also recommends bringing the regular reviews, which are required by the Affirmation of Commitments (such as the accountability and transparency reviews) into ICANN's Bylaws. In response to the recommendation in the CWG-Stewardship proposal, the IANA Function Review and the Separation Review would be added as a Fundamental Bylaw. </w:t>
      </w:r>
    </w:p>
    <w:p>
      <w:pPr>
        <w:numPr>
          <w:ilvl w:val="0"/>
          <w:numId w:val="0"/>
        </w:numPr>
        <w:ind w:left="360"/>
        <w:rPr>
          <w:szCs w:val="22"/>
        </w:rPr>
      </w:pPr>
    </w:p>
    <w:p>
      <w:pPr>
        <w:rPr>
          <w:szCs w:val="22"/>
        </w:rPr>
      </w:pPr>
      <w:r>
        <w:rPr>
          <w:szCs w:val="22"/>
        </w:rPr>
        <w:t>A key recommendation of the CCWG-Accountability is to empower the community to have more influence on certain Board decisions. The group identified powers and associated mechanisms including the ability to:</w:t>
      </w:r>
    </w:p>
    <w:p>
      <w:pPr>
        <w:pStyle w:val="Bullets"/>
        <w:rPr>
          <w:b w:val="0"/>
        </w:rPr>
      </w:pPr>
      <w:r>
        <w:rPr>
          <w:b w:val="0"/>
        </w:rPr>
        <w:t>Recall the ICANN Board of Directors;</w:t>
      </w:r>
    </w:p>
    <w:p>
      <w:pPr>
        <w:pStyle w:val="Bullets"/>
        <w:rPr>
          <w:b w:val="0"/>
        </w:rPr>
      </w:pPr>
      <w:r>
        <w:rPr>
          <w:b w:val="0"/>
        </w:rPr>
        <w:t>Remove individual Board Directors;</w:t>
      </w:r>
    </w:p>
    <w:p>
      <w:pPr>
        <w:pStyle w:val="Bullets"/>
        <w:rPr>
          <w:b w:val="0"/>
        </w:rPr>
      </w:pPr>
      <w:r>
        <w:rPr>
          <w:b w:val="0"/>
        </w:rPr>
        <w:t>Veto or approve changes to the ICANN Bylaws, Mission and Core Values;</w:t>
      </w:r>
    </w:p>
    <w:p>
      <w:pPr>
        <w:pStyle w:val="Bullets"/>
        <w:rPr>
          <w:b w:val="0"/>
        </w:rPr>
      </w:pPr>
      <w:r>
        <w:rPr>
          <w:b w:val="0"/>
        </w:rPr>
        <w:t>Reject Board decisions on Strategic Plan and budget, where the Board has failed to appropriately reflect community input in these documents.</w:t>
      </w:r>
    </w:p>
    <w:p>
      <w:pPr>
        <w:numPr>
          <w:ilvl w:val="0"/>
          <w:numId w:val="0"/>
        </w:numPr>
        <w:ind w:left="360"/>
        <w:rPr>
          <w:szCs w:val="22"/>
        </w:rPr>
      </w:pPr>
      <w:r>
        <w:rPr>
          <w:szCs w:val="22"/>
        </w:rPr>
        <w:t xml:space="preserve">In addition to the aforementioned powers, the CCWG-Accountability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Panel would be binding for the ICANN Board. The CCWG-Accountability also recommends improvements in the Panel's accessibility, especially the cost of access. </w:t>
      </w:r>
    </w:p>
    <w:p>
      <w:pPr>
        <w:numPr>
          <w:ilvl w:val="0"/>
          <w:numId w:val="0"/>
        </w:numPr>
        <w:ind w:left="360"/>
        <w:rPr>
          <w:szCs w:val="22"/>
        </w:rPr>
      </w:pPr>
    </w:p>
    <w:p>
      <w:pPr>
        <w:rPr>
          <w:szCs w:val="22"/>
        </w:rPr>
      </w:pPr>
      <w:r>
        <w:rPr>
          <w:szCs w:val="22"/>
        </w:rPr>
        <w:t xml:space="preserve">Finally, the CCWG-Accountability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 a Request for Reconsideration from 15 to 30 days.  </w:t>
      </w:r>
    </w:p>
    <w:p>
      <w:pPr>
        <w:pStyle w:val="Heading4"/>
      </w:pPr>
      <w:r>
        <w:t>Implementation:</w:t>
      </w:r>
    </w:p>
    <w:p>
      <w:pPr>
        <w:rPr>
          <w:szCs w:val="22"/>
        </w:rPr>
      </w:pPr>
      <w:r>
        <w:rPr>
          <w:szCs w:val="22"/>
        </w:rPr>
        <w:t xml:space="preserve">In its deliberations and in discussion with its independent legal counsel, it has become clear that all requirements established by the CCWG-Accountability may be implemented within ICANN’s current setup as a non-profit public benefit corporation based in California. Specifically, ICANN’s Articles of Incorporation and Bylaws may be amended to empower the multistakeholder community as proposed by the CCWG-Accountability. </w:t>
      </w:r>
    </w:p>
    <w:p>
      <w:pPr>
        <w:numPr>
          <w:ilvl w:val="0"/>
          <w:numId w:val="0"/>
        </w:numPr>
        <w:ind w:left="360" w:hanging="360"/>
        <w:rPr>
          <w:szCs w:val="22"/>
        </w:rPr>
      </w:pPr>
    </w:p>
    <w:p>
      <w:r>
        <w:t>The CCWG-Accountability proposes the creation of a formal membership with power to hold the ICANN Board accountable.  This “SO/AC Membership Model” is the approach that, based on analysis so far, fits requirements best. This model, referred to here as the Reference Mechanism would have the following key characteristics:</w:t>
      </w:r>
    </w:p>
    <w:p>
      <w:pPr>
        <w:numPr>
          <w:ilvl w:val="0"/>
          <w:numId w:val="0"/>
        </w:numPr>
      </w:pPr>
    </w:p>
    <w:p>
      <w:pPr>
        <w:pStyle w:val="ListParagraph"/>
        <w:numPr>
          <w:ilvl w:val="0"/>
          <w:numId w:val="110"/>
        </w:numPr>
        <w:ind w:left="1440"/>
        <w:rPr>
          <w:szCs w:val="22"/>
        </w:rPr>
      </w:pPr>
      <w:r>
        <w:rPr>
          <w:szCs w:val="22"/>
        </w:rPr>
        <w:t xml:space="preserve">The ICANN Supporting Organizations (SOs) and Advisory Committees (ACs) who have the right to name directors (as opposed to non-voting observers) to the ICANN board would each establish a “Member Entity” of ICANN to provide these SOs and ACs the legal status required of ICANN’s Members.  These Member Entities would be established as unincorporated associations.  Through these unincorporated associations, the SOs and ACs would exercise the community powers set out in the Report that are reserved to ICANN’s Members.  No third party and no individuals would become Members of ICANN. </w:t>
      </w:r>
    </w:p>
    <w:p>
      <w:pPr>
        <w:pStyle w:val="ListParagraph"/>
        <w:numPr>
          <w:ilvl w:val="0"/>
          <w:numId w:val="110"/>
        </w:numPr>
        <w:ind w:left="1440"/>
        <w:rPr>
          <w:szCs w:val="22"/>
        </w:rPr>
      </w:pPr>
      <w:r>
        <w:rPr>
          <w:szCs w:val="22"/>
        </w:rPr>
        <w:t>There would be no need for individuals or organizations to change the ways in which they participate in ICANN or in the SOs or ACs as a result of creating the new “Member Entities” as “unincorporated associations.”</w:t>
      </w:r>
    </w:p>
    <w:p>
      <w:pPr>
        <w:pStyle w:val="ListParagraph"/>
        <w:numPr>
          <w:ilvl w:val="0"/>
          <w:numId w:val="110"/>
        </w:numPr>
        <w:ind w:left="1440"/>
        <w:rPr>
          <w:szCs w:val="22"/>
        </w:rPr>
      </w:pPr>
      <w:r>
        <w:rPr>
          <w:szCs w:val="22"/>
        </w:rPr>
        <w:t xml:space="preserve">Conversely, the SOs and ACs that designate observers to the Board do not become ICANN Members (and will not have the rights of Members) and do not need to be unincorporated associations to give effect to this Reference Mechanism.  In addition, a broader community group (including both Member and non-Member Sos and ACs) would be able to exercise certain community powers, namely, triggering reviews of some Board actions (but not rejection or approval).  This broader community would consist of the following bodies, with 29 votes allocated as follows: 5 for the gNSO, the ccNSO, the ASO, the GAC and ALAC; 2 each for SSAC and RSSAC. </w:t>
      </w:r>
      <w:r>
        <w:rPr>
          <w:szCs w:val="22"/>
          <w:highlight w:val="yellow"/>
        </w:rPr>
        <w:t>[</w:t>
      </w:r>
      <w:r>
        <w:rPr>
          <w:b/>
          <w:i/>
          <w:szCs w:val="22"/>
          <w:highlight w:val="yellow"/>
        </w:rPr>
        <w:t>Sidley note</w:t>
      </w:r>
      <w:r>
        <w:rPr>
          <w:szCs w:val="22"/>
          <w:highlight w:val="yellow"/>
        </w:rPr>
        <w:t>: Need to clarify how this group relates to the Members.  A fuller description of the relationship between this group and the Members is needed.  We have made some edits to Section 2.6 to help clarify.]</w:t>
      </w:r>
    </w:p>
    <w:p>
      <w:pPr>
        <w:pStyle w:val="ListParagraph"/>
        <w:numPr>
          <w:ilvl w:val="0"/>
          <w:numId w:val="110"/>
        </w:numPr>
        <w:ind w:left="1440"/>
        <w:rPr>
          <w:szCs w:val="22"/>
        </w:rPr>
      </w:pPr>
      <w:r>
        <w:rPr>
          <w:szCs w:val="22"/>
        </w:rPr>
        <w:t xml:space="preserve">Our legal counsel have advised that through this structure, there would be no material increase in the risks and liabilities individual ICANN participants face today. </w:t>
      </w:r>
    </w:p>
    <w:p>
      <w:pPr>
        <w:numPr>
          <w:ilvl w:val="0"/>
          <w:numId w:val="0"/>
        </w:numPr>
        <w:rPr>
          <w:szCs w:val="22"/>
        </w:rPr>
      </w:pPr>
    </w:p>
    <w:p>
      <w:pPr>
        <w:rPr>
          <w:szCs w:val="22"/>
        </w:rPr>
      </w:pPr>
      <w:r>
        <w:rPr>
          <w:szCs w:val="22"/>
        </w:rPr>
        <w:t xml:space="preserve">The group discussed variations of these mechanisms and seeks guidance from the community regarding the proposed options. </w:t>
      </w:r>
    </w:p>
    <w:p>
      <w:pPr>
        <w:numPr>
          <w:ilvl w:val="0"/>
          <w:numId w:val="0"/>
        </w:numPr>
        <w:ind w:left="360"/>
        <w:rPr>
          <w:szCs w:val="22"/>
        </w:rPr>
      </w:pPr>
    </w:p>
    <w:p>
      <w:pPr>
        <w:rPr>
          <w:szCs w:val="22"/>
        </w:rPr>
      </w:pPr>
      <w:r>
        <w:rPr>
          <w:szCs w:val="22"/>
        </w:rPr>
        <w:t xml:space="preserve">An essential part of the CCWG-Accountability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szCs w:val="22"/>
        </w:rPr>
        <w:br/>
      </w:r>
    </w:p>
    <w:p>
      <w:pPr>
        <w:rPr>
          <w:szCs w:val="22"/>
        </w:rPr>
      </w:pPr>
      <w:r>
        <w:rPr>
          <w:szCs w:val="22"/>
        </w:rPr>
        <w:t xml:space="preserve">Applied to the recommendations, the stress tests demonstrate that these Work Stream 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numPr>
          <w:ilvl w:val="0"/>
          <w:numId w:val="0"/>
        </w:numPr>
        <w:ind w:left="360"/>
        <w:rPr>
          <w:szCs w:val="22"/>
        </w:rPr>
      </w:pPr>
    </w:p>
    <w:p>
      <w:pPr>
        <w:rPr>
          <w:szCs w:val="22"/>
        </w:rPr>
      </w:pPr>
      <w:r>
        <w:rPr>
          <w:szCs w:val="22"/>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p>
    <w:p>
      <w:pPr>
        <w:numPr>
          <w:ilvl w:val="0"/>
          <w:numId w:val="0"/>
        </w:numPr>
        <w:ind w:left="360"/>
        <w:rPr>
          <w:szCs w:val="22"/>
        </w:rPr>
      </w:pPr>
    </w:p>
    <w:p>
      <w:pPr>
        <w:rPr>
          <w:szCs w:val="22"/>
        </w:rPr>
      </w:pPr>
      <w:r>
        <w:rPr>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with regards to ccTLD related issues. The group is grateful to the CWG-Stewardship for the constructive collaboration that was set up across the groups. </w:t>
      </w:r>
      <w:r>
        <w:rPr>
          <w:szCs w:val="22"/>
        </w:rPr>
        <w:br/>
      </w:r>
    </w:p>
    <w:p>
      <w:pPr>
        <w:rPr>
          <w:szCs w:val="22"/>
        </w:rPr>
      </w:pPr>
      <w:r>
        <w:rPr>
          <w:szCs w:val="22"/>
        </w:rPr>
        <w:t xml:space="preserve">During the public comment period, the CCWG-Accountability will pursue its efforts in order to finalize its proposals and facilitate implementation. An indicative, best-case implementation plan is provided in this report. </w:t>
      </w:r>
    </w:p>
    <w:p>
      <w:pPr>
        <w:numPr>
          <w:ilvl w:val="0"/>
          <w:numId w:val="0"/>
        </w:numPr>
        <w:ind w:left="360"/>
        <w:rPr>
          <w:b/>
          <w:bCs/>
          <w:szCs w:val="22"/>
        </w:rPr>
      </w:pPr>
    </w:p>
    <w:p>
      <w:pPr>
        <w:pStyle w:val="Heading1"/>
        <w:numPr>
          <w:ilvl w:val="0"/>
          <w:numId w:val="59"/>
        </w:numPr>
        <w:ind w:right="0"/>
        <w:rPr>
          <w:rStyle w:val="SectionTile"/>
          <w:b w:val="0"/>
          <w:color w:val="1F497D" w:themeColor="text2"/>
          <w:sz w:val="48"/>
          <w:szCs w:val="48"/>
        </w:rPr>
      </w:pPr>
      <w:bookmarkStart w:id="1" w:name="_Toc292025292"/>
      <w:bookmarkStart w:id="2" w:name="_Toc292010141"/>
      <w:bookmarkStart w:id="3" w:name="_Toc291848680"/>
      <w:r>
        <w:rPr>
          <w:rStyle w:val="SectionTile"/>
          <w:b w:val="0"/>
          <w:color w:val="1F497D" w:themeColor="text2"/>
          <w:sz w:val="48"/>
          <w:szCs w:val="48"/>
        </w:rPr>
        <w:t>Introduction &amp; Background</w:t>
      </w:r>
      <w:bookmarkEnd w:id="1"/>
      <w:bookmarkEnd w:id="2"/>
    </w:p>
    <w:p>
      <w:pPr>
        <w:numPr>
          <w:ilvl w:val="0"/>
          <w:numId w:val="0"/>
        </w:numPr>
        <w:rPr>
          <w:rStyle w:val="Introductorytext"/>
          <w:rFonts w:ascii="Helvetica" w:hAnsi="Helvetica"/>
          <w:i/>
          <w:sz w:val="22"/>
          <w:szCs w:val="22"/>
        </w:rPr>
      </w:pPr>
      <w:r>
        <w:rPr>
          <w:rStyle w:val="Introductorytext"/>
          <w:rFonts w:ascii="Helvetica" w:hAnsi="Helvetica"/>
          <w:i/>
          <w:sz w:val="22"/>
          <w:szCs w:val="22"/>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numPr>
          <w:ilvl w:val="1"/>
          <w:numId w:val="59"/>
        </w:numPr>
      </w:pPr>
      <w:bookmarkStart w:id="4" w:name="_Toc292025293"/>
      <w:bookmarkStart w:id="5" w:name="_Toc292010142"/>
      <w:r>
        <w:t>Introduction</w:t>
      </w:r>
      <w:bookmarkEnd w:id="4"/>
      <w:bookmarkEnd w:id="5"/>
    </w:p>
    <w:p>
      <w:pPr>
        <w:numPr>
          <w:ilvl w:val="0"/>
          <w:numId w:val="0"/>
        </w:numPr>
        <w:ind w:left="360" w:hanging="360"/>
      </w:pPr>
    </w:p>
    <w:p>
      <w:pPr>
        <w:ind w:hanging="540"/>
      </w:pPr>
      <w:r>
        <w:t xml:space="preserve">On 14 March 2014 the National Telecommunications and Information Administration (NTIA) </w:t>
      </w:r>
      <w:r>
        <w:fldChar w:fldCharType="begin"/>
      </w:r>
      <w:r>
        <w:instrText xml:space="preserve"> HYPERLINK "http://www.ntia.doc.gov/press-release/2014/ntia-announces-intent-transition-key-internet-domain-name-functions" </w:instrText>
      </w:r>
      <w:r>
        <w:fldChar w:fldCharType="separate"/>
      </w:r>
      <w:r>
        <w:rPr>
          <w:rStyle w:val="Hyperlink"/>
          <w:bCs/>
          <w:szCs w:val="22"/>
        </w:rPr>
        <w:t xml:space="preserve">announced </w:t>
      </w:r>
      <w:r>
        <w:fldChar w:fldCharType="end"/>
      </w:r>
      <w: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pPr>
    </w:p>
    <w:p>
      <w:pPr>
        <w:ind w:hanging="540"/>
        <w:rPr>
          <w:bCs/>
          <w:szCs w:val="22"/>
        </w:rPr>
      </w:pPr>
      <w:r>
        <w:rPr>
          <w:bCs/>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bCs/>
          <w:szCs w:val="22"/>
        </w:rPr>
      </w:pPr>
    </w:p>
    <w:p>
      <w:pPr>
        <w:ind w:hanging="540"/>
        <w:rPr>
          <w:bCs/>
          <w:szCs w:val="22"/>
        </w:rPr>
      </w:pPr>
      <w:r>
        <w:rPr>
          <w:bCs/>
          <w:szCs w:val="22"/>
        </w:rPr>
        <w:t xml:space="preserve">Informed by community discussions </w:t>
      </w:r>
      <w:r>
        <w:t xml:space="preserve">and public comment periods, the </w:t>
      </w:r>
      <w:r>
        <w:rPr>
          <w:bCs/>
          <w:szCs w:val="22"/>
        </w:rPr>
        <w:t xml:space="preserve">final </w:t>
      </w:r>
      <w:r>
        <w:fldChar w:fldCharType="begin"/>
      </w:r>
      <w:r>
        <w:instrText xml:space="preserve"> HYPERLINK "https://www.icann.org/resources/pages/process-next-steps-2014-10-10-en" </w:instrText>
      </w:r>
      <w:r>
        <w:fldChar w:fldCharType="separate"/>
      </w:r>
      <w:r>
        <w:rPr>
          <w:rStyle w:val="Hyperlink"/>
          <w:bCs/>
          <w:szCs w:val="22"/>
        </w:rPr>
        <w:t>Revised Enhancing ICANN Accountability: Process and Next Steps</w:t>
      </w:r>
      <w:r>
        <w:fldChar w:fldCharType="end"/>
      </w:r>
      <w:r>
        <w:rPr>
          <w:bCs/>
          <w:szCs w:val="22"/>
        </w:rPr>
        <w:t xml:space="preserve"> includes considering how ICANN's broader accountability mechanisms should be strengthened in light of the transition, including a review of existing accountability mechanisms such as those within the</w:t>
      </w:r>
      <w:r>
        <w:fldChar w:fldCharType="begin"/>
      </w:r>
      <w:r>
        <w:instrText xml:space="preserve"> HYPERLINK "https://www.icann.org/resources/pages/governance/bylaws-en" </w:instrText>
      </w:r>
      <w:r>
        <w:fldChar w:fldCharType="separate"/>
      </w:r>
      <w:r>
        <w:rPr>
          <w:rStyle w:val="Hyperlink"/>
          <w:bCs/>
          <w:szCs w:val="22"/>
        </w:rPr>
        <w:t xml:space="preserve"> ICANN Bylaws</w:t>
      </w:r>
      <w:r>
        <w:fldChar w:fldCharType="end"/>
      </w:r>
      <w:r>
        <w:rPr>
          <w:bCs/>
          <w:szCs w:val="22"/>
        </w:rPr>
        <w:t xml:space="preserve"> and the </w:t>
      </w:r>
      <w:r>
        <w:fldChar w:fldCharType="begin"/>
      </w:r>
      <w:r>
        <w:instrText xml:space="preserve"> HYPERLINK "https://www.icann.org/resources/pages/governance/aoc-en" </w:instrText>
      </w:r>
      <w:r>
        <w:fldChar w:fldCharType="separate"/>
      </w:r>
      <w:r>
        <w:rPr>
          <w:rStyle w:val="Hyperlink"/>
          <w:bCs/>
          <w:szCs w:val="22"/>
        </w:rPr>
        <w:t>Affirmation of Commitments</w:t>
      </w:r>
      <w:r>
        <w:fldChar w:fldCharType="end"/>
      </w:r>
      <w:r>
        <w:rPr>
          <w:bCs/>
          <w:szCs w:val="22"/>
        </w:rPr>
        <w:t xml:space="preserve">. </w:t>
      </w:r>
    </w:p>
    <w:p>
      <w:pPr>
        <w:numPr>
          <w:ilvl w:val="0"/>
          <w:numId w:val="0"/>
        </w:numPr>
        <w:ind w:left="360"/>
        <w:rPr>
          <w:bCs/>
          <w:szCs w:val="22"/>
        </w:rPr>
      </w:pPr>
    </w:p>
    <w:p>
      <w:pPr>
        <w:ind w:hanging="540"/>
        <w:rPr>
          <w:bCs/>
          <w:szCs w:val="22"/>
        </w:rPr>
      </w:pPr>
      <w:r>
        <w:rPr>
          <w:bCs/>
          <w:szCs w:val="22"/>
        </w:rPr>
        <w:t>The Cross Community Working Group on Enhancing ICANN Accountability (</w:t>
      </w:r>
      <w:r>
        <w:fldChar w:fldCharType="begin"/>
      </w:r>
      <w:r>
        <w:instrText xml:space="preserve"> HYPERLINK "https://community.icann.org/display/acctcrosscomm/CCWG+on+Enhancing+ICANN+Accountability" </w:instrText>
      </w:r>
      <w:r>
        <w:fldChar w:fldCharType="separate"/>
      </w:r>
      <w:r>
        <w:rPr>
          <w:rStyle w:val="Hyperlink"/>
          <w:bCs/>
          <w:szCs w:val="22"/>
        </w:rPr>
        <w:t>CCWG-Accountability</w:t>
      </w:r>
      <w:r>
        <w:fldChar w:fldCharType="end"/>
      </w:r>
      <w:r>
        <w:rPr>
          <w:bCs/>
          <w:szCs w:val="22"/>
        </w:rPr>
        <w:t xml:space="preserve">) was convened, designed and approved by a Drafting Team (DT) composed of five ICANN community groups. The CCWG-Accountability </w:t>
      </w:r>
      <w:r>
        <w:fldChar w:fldCharType="begin"/>
      </w:r>
      <w:r>
        <w:instrText xml:space="preserve"> HYPERLINK "https://community.icann.org/display/acctcrosscomm/Charter" </w:instrText>
      </w:r>
      <w:r>
        <w:fldChar w:fldCharType="separate"/>
      </w:r>
      <w:r>
        <w:rPr>
          <w:rStyle w:val="Hyperlink"/>
          <w:bCs/>
          <w:szCs w:val="22"/>
        </w:rPr>
        <w:t>Charter</w:t>
      </w:r>
      <w:r>
        <w:fldChar w:fldCharType="end"/>
      </w:r>
      <w:r>
        <w:rPr>
          <w:bCs/>
          <w:szCs w:val="22"/>
        </w:rPr>
        <w:t xml:space="preserve"> was circulated for adoption on 3 November – see appendix B.</w:t>
      </w:r>
    </w:p>
    <w:p>
      <w:pPr>
        <w:numPr>
          <w:ilvl w:val="0"/>
          <w:numId w:val="0"/>
        </w:numPr>
        <w:ind w:left="360"/>
        <w:rPr>
          <w:bCs/>
          <w:szCs w:val="22"/>
        </w:rPr>
      </w:pPr>
    </w:p>
    <w:p>
      <w:pPr>
        <w:ind w:hanging="540"/>
        <w:rPr>
          <w:bCs/>
          <w:szCs w:val="22"/>
        </w:rPr>
      </w:pPr>
      <w:r>
        <w:rPr>
          <w:bCs/>
          <w:szCs w:val="22"/>
        </w:rPr>
        <w:t xml:space="preserve">The CCWG-Accountability consists of 222 </w:t>
      </w:r>
      <w:r>
        <w:fldChar w:fldCharType="begin"/>
      </w:r>
      <w:r>
        <w:instrText xml:space="preserve"> HYPERLINK "https://community.icann.org/pages/viewpage.action?pageId=50823970" </w:instrText>
      </w:r>
      <w:r>
        <w:fldChar w:fldCharType="separate"/>
      </w:r>
      <w:r>
        <w:rPr>
          <w:rStyle w:val="Hyperlink"/>
          <w:bCs/>
          <w:szCs w:val="22"/>
        </w:rPr>
        <w:t>people</w:t>
      </w:r>
      <w:r>
        <w:fldChar w:fldCharType="end"/>
      </w:r>
      <w:r>
        <w:rPr>
          <w:bCs/>
          <w:szCs w:val="22"/>
        </w:rPr>
        <w:t xml:space="preserve">, organized as 26 </w:t>
      </w:r>
      <w:r>
        <w:fldChar w:fldCharType="begin"/>
      </w:r>
      <w:r>
        <w:instrText xml:space="preserve"> HYPERLINK "https://community.icann.org/pages/viewpage.action?pageId=50823968" </w:instrText>
      </w:r>
      <w:r>
        <w:fldChar w:fldCharType="separate"/>
      </w:r>
      <w:r>
        <w:rPr>
          <w:rStyle w:val="Hyperlink"/>
          <w:bCs/>
          <w:szCs w:val="22"/>
        </w:rPr>
        <w:t>members</w:t>
      </w:r>
      <w:r>
        <w:fldChar w:fldCharType="end"/>
      </w:r>
      <w:r>
        <w:rPr>
          <w:bCs/>
          <w:szCs w:val="22"/>
        </w:rPr>
        <w:t xml:space="preserve">, appointed by and accountable to the CCWG-Accountability chartering organizations, 154 </w:t>
      </w:r>
      <w:r>
        <w:fldChar w:fldCharType="begin"/>
      </w:r>
      <w:r>
        <w:instrText xml:space="preserve"> HYPERLINK "https://community.icann.org/pages/viewpage.action?pageId=50823968" </w:instrText>
      </w:r>
      <w:r>
        <w:fldChar w:fldCharType="separate"/>
      </w:r>
      <w:r>
        <w:rPr>
          <w:rStyle w:val="Hyperlink"/>
          <w:bCs/>
          <w:szCs w:val="22"/>
        </w:rPr>
        <w:t>participants</w:t>
      </w:r>
      <w:r>
        <w:fldChar w:fldCharType="end"/>
      </w:r>
      <w:r>
        <w:rPr>
          <w:bCs/>
          <w:szCs w:val="22"/>
        </w:rPr>
        <w:t xml:space="preserve">, who participate as individuals, and 48 </w:t>
      </w:r>
      <w:r>
        <w:fldChar w:fldCharType="begin"/>
      </w:r>
      <w:r>
        <w:instrText xml:space="preserve"> HYPERLINK "https://community.icann.org/display/acctcrosscomm/Mailing+List+Observers" </w:instrText>
      </w:r>
      <w:r>
        <w:fldChar w:fldCharType="separate"/>
      </w:r>
      <w:r>
        <w:rPr>
          <w:rStyle w:val="Hyperlink"/>
          <w:bCs/>
          <w:szCs w:val="22"/>
        </w:rPr>
        <w:t>mailing list observers</w:t>
      </w:r>
      <w:r>
        <w:fldChar w:fldCharType="end"/>
      </w:r>
      <w:r>
        <w:rPr>
          <w:bCs/>
          <w:szCs w:val="22"/>
        </w:rPr>
        <w:t xml:space="preserve">. </w:t>
      </w:r>
    </w:p>
    <w:p>
      <w:pPr>
        <w:numPr>
          <w:ilvl w:val="0"/>
          <w:numId w:val="0"/>
        </w:numPr>
        <w:rPr>
          <w:bCs/>
          <w:szCs w:val="22"/>
        </w:rPr>
      </w:pPr>
    </w:p>
    <w:p>
      <w:pPr>
        <w:ind w:hanging="540"/>
        <w:rPr>
          <w:bCs/>
          <w:szCs w:val="22"/>
        </w:rPr>
      </w:pPr>
      <w:r>
        <w:rPr>
          <w:bCs/>
          <w:szCs w:val="22"/>
        </w:rPr>
        <w:t>The CCWG-Accountability also includes:</w:t>
      </w:r>
    </w:p>
    <w:p>
      <w:pPr>
        <w:pStyle w:val="Bullets"/>
        <w:numPr>
          <w:ilvl w:val="1"/>
          <w:numId w:val="1"/>
        </w:numPr>
        <w:ind w:left="1440"/>
        <w:rPr>
          <w:b w:val="0"/>
        </w:rPr>
      </w:pPr>
      <w:r>
        <w:rPr>
          <w:b w:val="0"/>
        </w:rPr>
        <w:t>1 ICANN Board liaison who brings the voice of the Board and Board experience to activities and deliberations</w:t>
      </w:r>
      <w:r>
        <w:rPr>
          <w:rStyle w:val="FootnoteReference"/>
          <w:b w:val="0"/>
        </w:rPr>
        <w:footnoteReference w:id="2"/>
      </w:r>
      <w:r>
        <w:rPr>
          <w:b w:val="0"/>
        </w:rPr>
        <w:t xml:space="preserve">; </w:t>
      </w:r>
    </w:p>
    <w:p>
      <w:pPr>
        <w:pStyle w:val="Bullets"/>
        <w:numPr>
          <w:ilvl w:val="1"/>
          <w:numId w:val="1"/>
        </w:numPr>
        <w:ind w:left="1440"/>
        <w:rPr>
          <w:b w:val="0"/>
        </w:rPr>
      </w:pPr>
      <w:r>
        <w:rPr>
          <w:b w:val="0"/>
        </w:rPr>
        <w:t>1 ICANN staff representative who provides input into the deliberations</w:t>
      </w:r>
      <w:r>
        <w:rPr>
          <w:rStyle w:val="FootnoteReference"/>
          <w:b w:val="0"/>
        </w:rPr>
        <w:footnoteReference w:id="3"/>
      </w:r>
      <w:r>
        <w:rPr>
          <w:b w:val="0"/>
        </w:rPr>
        <w:t>;</w:t>
      </w:r>
    </w:p>
    <w:p>
      <w:pPr>
        <w:pStyle w:val="Bullets"/>
        <w:numPr>
          <w:ilvl w:val="1"/>
          <w:numId w:val="1"/>
        </w:numPr>
        <w:ind w:left="1440"/>
        <w:rPr>
          <w:b w:val="0"/>
        </w:rPr>
      </w:pPr>
      <w:r>
        <w:rPr>
          <w:b w:val="0"/>
        </w:rPr>
        <w:t>1 former ATRT member who serves as a liaison and brings perspective and ensures that there is no duplication of work</w:t>
      </w:r>
      <w:r>
        <w:rPr>
          <w:rStyle w:val="FootnoteReference"/>
          <w:b w:val="0"/>
        </w:rPr>
        <w:footnoteReference w:id="4"/>
      </w:r>
      <w:r>
        <w:rPr>
          <w:b w:val="0"/>
        </w:rPr>
        <w:t>;</w:t>
      </w:r>
    </w:p>
    <w:p>
      <w:pPr>
        <w:pStyle w:val="Bullets"/>
        <w:numPr>
          <w:ilvl w:val="1"/>
          <w:numId w:val="1"/>
        </w:numPr>
        <w:ind w:left="1440"/>
        <w:rPr>
          <w:b w:val="0"/>
        </w:rPr>
      </w:pPr>
      <w:r>
        <w:rPr>
          <w:b w:val="0"/>
        </w:rPr>
        <w:t>4 ICG members who participate in the CCWG-Accountability, including two who serve as liaisons between the two groups.</w:t>
      </w:r>
    </w:p>
    <w:p>
      <w:pPr>
        <w:numPr>
          <w:ilvl w:val="0"/>
          <w:numId w:val="0"/>
        </w:numPr>
        <w:ind w:left="360"/>
        <w:rPr>
          <w:b/>
          <w:bCs/>
          <w:szCs w:val="22"/>
        </w:rPr>
      </w:pPr>
    </w:p>
    <w:p>
      <w:pPr>
        <w:ind w:hanging="540"/>
        <w:rPr>
          <w:bCs/>
          <w:szCs w:val="22"/>
        </w:rPr>
      </w:pPr>
      <w:r>
        <w:rPr>
          <w:bCs/>
          <w:szCs w:val="22"/>
        </w:rPr>
        <w:t xml:space="preserve">Seven </w:t>
      </w:r>
      <w:r>
        <w:fldChar w:fldCharType="begin"/>
      </w:r>
      <w:r>
        <w:instrText xml:space="preserve"> HYPERLINK "https://www.icann.org/news/announcement-2014-12-17-en" </w:instrText>
      </w:r>
      <w:r>
        <w:fldChar w:fldCharType="separate"/>
      </w:r>
      <w:r>
        <w:rPr>
          <w:rStyle w:val="Hyperlink"/>
          <w:bCs/>
          <w:szCs w:val="22"/>
        </w:rPr>
        <w:t>Advisors</w:t>
      </w:r>
      <w:r>
        <w:fldChar w:fldCharType="end"/>
      </w:r>
      <w:r>
        <w:rPr>
          <w:bCs/>
          <w:szCs w:val="22"/>
        </w:rPr>
        <w:t xml:space="preserve"> have also been appointed by a </w:t>
      </w:r>
      <w:r>
        <w:fldChar w:fldCharType="begin"/>
      </w:r>
      <w:r>
        <w:instrText xml:space="preserve"> HYPERLINK "https://community.icann.org/display/acctcrosscomm/Public+Experts+Group" </w:instrText>
      </w:r>
      <w:r>
        <w:fldChar w:fldCharType="separate"/>
      </w:r>
      <w:r>
        <w:rPr>
          <w:rStyle w:val="Hyperlink"/>
          <w:bCs/>
          <w:szCs w:val="22"/>
        </w:rPr>
        <w:t>Public Experts Group (PEG)</w:t>
      </w:r>
      <w:r>
        <w:fldChar w:fldCharType="end"/>
      </w:r>
      <w:r>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pPr>
        <w:numPr>
          <w:ilvl w:val="0"/>
          <w:numId w:val="0"/>
        </w:numPr>
        <w:ind w:left="360" w:hanging="360"/>
        <w:rPr>
          <w:bCs/>
          <w:szCs w:val="22"/>
        </w:rPr>
      </w:pPr>
    </w:p>
    <w:p>
      <w:pPr>
        <w:ind w:hanging="540"/>
      </w:pPr>
      <w:r>
        <w:t>More information on the background, please refer to Appendix A</w:t>
      </w:r>
    </w:p>
    <w:p>
      <w:pPr>
        <w:numPr>
          <w:ilvl w:val="0"/>
          <w:numId w:val="0"/>
        </w:numPr>
        <w:ind w:left="360" w:hanging="360"/>
        <w:rPr>
          <w:bCs/>
          <w:szCs w:val="22"/>
        </w:rPr>
      </w:pPr>
    </w:p>
    <w:p>
      <w:pPr>
        <w:pStyle w:val="Heading2"/>
      </w:pPr>
      <w:bookmarkStart w:id="6" w:name="_Toc292025294"/>
      <w:bookmarkStart w:id="7" w:name="_Toc292010143"/>
      <w:r>
        <w:t>1.2 Definitions &amp; Legal Scoping</w:t>
      </w:r>
      <w:bookmarkEnd w:id="6"/>
      <w:bookmarkEnd w:id="7"/>
      <w:r>
        <w:t xml:space="preserve"> </w:t>
      </w:r>
    </w:p>
    <w:p>
      <w:pPr>
        <w:ind w:hanging="540"/>
        <w:rPr>
          <w:bCs/>
          <w:szCs w:val="22"/>
        </w:rPr>
      </w:pPr>
      <w:r>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numPr>
          <w:ilvl w:val="0"/>
          <w:numId w:val="0"/>
        </w:numPr>
        <w:ind w:left="360"/>
        <w:rPr>
          <w:bCs/>
          <w:szCs w:val="22"/>
        </w:rPr>
      </w:pPr>
    </w:p>
    <w:p>
      <w:pPr>
        <w:ind w:hanging="540"/>
        <w:rPr>
          <w:bCs/>
          <w:szCs w:val="22"/>
        </w:rPr>
      </w:pPr>
      <w:r>
        <w:rPr>
          <w:bCs/>
          <w:szCs w:val="22"/>
        </w:rPr>
        <w:t>As a general concept, the group proposed that accountability encompassed processes whereby an actor answers to others for the effects on them of its actions and omissions. For the CCWG-Accountability, then, accountability involves the processes whereby ICANN answers to its stakeholders for the impacts on those stakeholders of ICANN's decisions, policies and programs. </w:t>
      </w:r>
    </w:p>
    <w:p>
      <w:pPr>
        <w:numPr>
          <w:ilvl w:val="0"/>
          <w:numId w:val="0"/>
        </w:numPr>
        <w:ind w:left="360"/>
        <w:rPr>
          <w:bCs/>
          <w:szCs w:val="22"/>
        </w:rPr>
      </w:pPr>
    </w:p>
    <w:p>
      <w:pPr>
        <w:ind w:hanging="540"/>
        <w:rPr>
          <w:bCs/>
          <w:szCs w:val="22"/>
        </w:rPr>
      </w:pPr>
      <w:r>
        <w:rPr>
          <w:bCs/>
          <w:szCs w:val="22"/>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pPr>
        <w:numPr>
          <w:ilvl w:val="0"/>
          <w:numId w:val="0"/>
        </w:numPr>
        <w:ind w:left="360"/>
        <w:rPr>
          <w:bCs/>
          <w:szCs w:val="22"/>
        </w:rPr>
      </w:pPr>
    </w:p>
    <w:p>
      <w:pPr>
        <w:ind w:hanging="540"/>
        <w:rPr>
          <w:bCs/>
          <w:szCs w:val="22"/>
        </w:rPr>
      </w:pPr>
      <w:r>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bCs/>
          <w:szCs w:val="22"/>
        </w:rPr>
        <w:br/>
      </w:r>
    </w:p>
    <w:p>
      <w:pPr>
        <w:ind w:hanging="540"/>
        <w:rPr>
          <w:bCs/>
          <w:szCs w:val="22"/>
        </w:rPr>
      </w:pPr>
      <w:r>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the CCWG-Accountability’s activities: </w:t>
      </w:r>
    </w:p>
    <w:p>
      <w:pPr>
        <w:pStyle w:val="Bullets"/>
        <w:numPr>
          <w:ilvl w:val="1"/>
          <w:numId w:val="1"/>
        </w:numPr>
        <w:ind w:left="1440"/>
        <w:rPr>
          <w:b w:val="0"/>
        </w:rPr>
      </w:pPr>
      <w:r>
        <w:rPr>
          <w:b w:val="0"/>
        </w:rPr>
        <w:t>ICANN accountability requires that it comply with its own rules and processes (part of “due process”, as a quality of fairness and justice);</w:t>
      </w:r>
    </w:p>
    <w:p>
      <w:pPr>
        <w:pStyle w:val="Bullets"/>
        <w:numPr>
          <w:ilvl w:val="1"/>
          <w:numId w:val="1"/>
        </w:numPr>
        <w:ind w:left="1440"/>
        <w:rPr>
          <w:b w:val="0"/>
        </w:rPr>
      </w:pPr>
      <w:r>
        <w:rPr>
          <w:b w:val="0"/>
        </w:rPr>
        <w:t>ICANN accountability requires compliance with applicable legislation, in jurisdictions where it operates;</w:t>
      </w:r>
    </w:p>
    <w:p>
      <w:pPr>
        <w:pStyle w:val="Bullets"/>
        <w:numPr>
          <w:ilvl w:val="1"/>
          <w:numId w:val="1"/>
        </w:numPr>
        <w:ind w:left="1440"/>
        <w:rPr>
          <w:b w:val="0"/>
        </w:rPr>
      </w:pPr>
      <w:r>
        <w:rPr>
          <w:b w:val="0"/>
        </w:rPr>
        <w:t>ICANN should be accountable to achieving certain levels of performance as well as security;</w:t>
      </w:r>
    </w:p>
    <w:p>
      <w:pPr>
        <w:pStyle w:val="Bullets"/>
        <w:numPr>
          <w:ilvl w:val="1"/>
          <w:numId w:val="1"/>
        </w:numPr>
        <w:ind w:left="1440"/>
        <w:rPr>
          <w:b w:val="0"/>
        </w:rPr>
      </w:pPr>
      <w:r>
        <w:rPr>
          <w:b w:val="0"/>
        </w:rPr>
        <w:t>ICANN should be accountable to ensure that its decisions are for the benefit of the public, not just in the interests of a particular set of stakeholders or ICANN the organization.</w:t>
      </w:r>
    </w:p>
    <w:p>
      <w:pPr>
        <w:numPr>
          <w:ilvl w:val="0"/>
          <w:numId w:val="0"/>
        </w:numPr>
        <w:ind w:left="360"/>
        <w:rPr>
          <w:bCs/>
          <w:i/>
          <w:iCs/>
          <w:szCs w:val="22"/>
        </w:rPr>
      </w:pPr>
    </w:p>
    <w:p>
      <w:pPr>
        <w:ind w:hanging="540"/>
        <w:rPr>
          <w:bCs/>
          <w:i/>
          <w:iCs/>
          <w:szCs w:val="22"/>
        </w:rPr>
      </w:pPr>
      <w:r>
        <w:rPr>
          <w:bCs/>
          <w:i/>
          <w:iCs/>
          <w:szCs w:val="22"/>
        </w:rPr>
        <w:t>See Appendix C "CCWG-Accountability Accountability – Problem definition" (current version, 13 March 2015) for more information.</w:t>
      </w:r>
    </w:p>
    <w:p>
      <w:pPr>
        <w:numPr>
          <w:ilvl w:val="0"/>
          <w:numId w:val="0"/>
        </w:numPr>
        <w:ind w:left="360" w:hanging="360"/>
        <w:rPr>
          <w:bCs/>
          <w:i/>
          <w:iCs/>
          <w:szCs w:val="22"/>
        </w:rPr>
      </w:pPr>
    </w:p>
    <w:p>
      <w:pPr>
        <w:pStyle w:val="Heading2"/>
      </w:pPr>
      <w:bookmarkStart w:id="8" w:name="_Toc292025295"/>
      <w:bookmarkStart w:id="9" w:name="_Toc292010144"/>
      <w:r>
        <w:t>1.3 Legal Advice</w:t>
      </w:r>
      <w:bookmarkEnd w:id="8"/>
      <w:bookmarkEnd w:id="9"/>
      <w:r>
        <w:t xml:space="preserve">  </w:t>
      </w:r>
    </w:p>
    <w:p>
      <w:pPr>
        <w:ind w:hanging="540"/>
        <w:rPr>
          <w:bCs/>
          <w:szCs w:val="22"/>
        </w:rPr>
      </w:pPr>
      <w:r>
        <w:rPr>
          <w:bCs/>
          <w:szCs w:val="22"/>
        </w:rPr>
        <w:t xml:space="preserve">The CCWG-Accountability engaged two law firms to provide advice on the feasibility of its proposed frameworks and mechanisms, Adler &amp; Colvin and Sidley Austin LLP.  The firms’ work was coordinated through the Legal Sub-Team of the CCWG-Accountability.  See Appendix B for more information on the legal sub-team methodology. The legal advice was key to the CCWG-Accountability in formulating its recommendations. </w:t>
      </w:r>
    </w:p>
    <w:p>
      <w:pPr>
        <w:numPr>
          <w:ilvl w:val="0"/>
          <w:numId w:val="0"/>
        </w:numPr>
        <w:ind w:left="360"/>
        <w:rPr>
          <w:bCs/>
          <w:szCs w:val="22"/>
        </w:rPr>
      </w:pPr>
    </w:p>
    <w:p>
      <w:pPr>
        <w:ind w:hanging="540"/>
        <w:rPr>
          <w:bCs/>
          <w:szCs w:val="22"/>
        </w:rPr>
      </w:pPr>
      <w:r>
        <w:rPr>
          <w:bCs/>
          <w:szCs w:val="22"/>
        </w:rPr>
        <w:t>The CCWG-Accountability Legal Sub-Team's rules of engagement and working methodologies are described in Appendix D.</w:t>
      </w:r>
    </w:p>
    <w:p>
      <w:pPr>
        <w:numPr>
          <w:ilvl w:val="0"/>
          <w:numId w:val="0"/>
        </w:numPr>
      </w:pPr>
    </w:p>
    <w:p>
      <w:pPr>
        <w:pStyle w:val="Heading2"/>
        <w:rPr>
          <w:rStyle w:val="SectionTile"/>
          <w:rFonts w:eastAsia="MS Mincho"/>
          <w:b w:val="0"/>
          <w:bCs w:val="0"/>
          <w:color w:val="auto"/>
          <w:sz w:val="32"/>
          <w:szCs w:val="32"/>
        </w:rPr>
      </w:pPr>
      <w:bookmarkStart w:id="10" w:name="_Toc292025296"/>
      <w:bookmarkStart w:id="11" w:name="_Toc292010145"/>
      <w:r>
        <w:rPr>
          <w:rStyle w:val="SectionTile"/>
          <w:b w:val="0"/>
          <w:color w:val="auto"/>
          <w:sz w:val="32"/>
          <w:szCs w:val="32"/>
        </w:rPr>
        <w:t>1.4 Input Gathered from the Community: Required Community Powers</w:t>
      </w:r>
      <w:bookmarkEnd w:id="10"/>
      <w:bookmarkEnd w:id="11"/>
    </w:p>
    <w:p>
      <w:pPr>
        <w:ind w:hanging="540"/>
        <w:rPr>
          <w:bCs/>
          <w:szCs w:val="22"/>
        </w:rPr>
      </w:pPr>
      <w:r>
        <w:rPr>
          <w:bCs/>
          <w:szCs w:val="22"/>
        </w:rPr>
        <w:t>As indicated in the methodology section of Appendix A, the group reviewed the collection of public comments received during the development of the Enhancing ICANN Accountability and categorized these as Work Stream 1 and Work Stream 2. 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numPr>
          <w:ilvl w:val="0"/>
          <w:numId w:val="0"/>
        </w:numPr>
        <w:ind w:left="360"/>
        <w:rPr>
          <w:bCs/>
          <w:szCs w:val="22"/>
        </w:rPr>
      </w:pPr>
    </w:p>
    <w:p>
      <w:pPr>
        <w:ind w:hanging="540"/>
        <w:rPr>
          <w:bCs/>
          <w:szCs w:val="22"/>
        </w:rPr>
      </w:pPr>
      <w:r>
        <w:rPr>
          <w:bCs/>
          <w:szCs w:val="22"/>
        </w:rPr>
        <w:t xml:space="preserve">The mechanisms were divided in three sections: </w:t>
      </w:r>
    </w:p>
    <w:p>
      <w:pPr>
        <w:numPr>
          <w:ilvl w:val="0"/>
          <w:numId w:val="0"/>
        </w:numPr>
      </w:pPr>
    </w:p>
    <w:p>
      <w:pPr>
        <w:numPr>
          <w:ilvl w:val="1"/>
          <w:numId w:val="44"/>
        </w:numPr>
        <w:rPr>
          <w:bCs/>
          <w:szCs w:val="22"/>
        </w:rPr>
      </w:pPr>
      <w:r>
        <w:rPr>
          <w:b/>
        </w:rPr>
        <w:t>Mechanisms giving the ICANN community ultimate authority over the ICANN corporation.  </w:t>
      </w:r>
      <w:r>
        <w:t>Most of these were initially designated as Work Stream 1, since community members need the leverage of IANA transition to obtain these Bylaws changes.</w:t>
      </w:r>
    </w:p>
    <w:p>
      <w:pPr>
        <w:numPr>
          <w:ilvl w:val="0"/>
          <w:numId w:val="0"/>
        </w:numPr>
        <w:ind w:left="1080"/>
        <w:rPr>
          <w:bCs/>
          <w:szCs w:val="22"/>
        </w:rPr>
      </w:pPr>
    </w:p>
    <w:p>
      <w:pPr>
        <w:numPr>
          <w:ilvl w:val="1"/>
          <w:numId w:val="44"/>
        </w:numPr>
        <w:rPr>
          <w:bCs/>
          <w:szCs w:val="22"/>
        </w:rPr>
      </w:pPr>
      <w:r>
        <w:rPr>
          <w:b/>
        </w:rPr>
        <w:t>Mechanisms to restrict actions of the Board and management of the ICANN corporation.  </w:t>
      </w:r>
      <w:r>
        <w:t>Most of these are initially designated as Work Stream 2, since the Members could veto certain Board decisions reserved for Members if Members are empowered in Work Stream 1 (1, above).</w:t>
      </w:r>
    </w:p>
    <w:p>
      <w:pPr>
        <w:numPr>
          <w:ilvl w:val="0"/>
          <w:numId w:val="0"/>
        </w:numPr>
        <w:ind w:left="360" w:hanging="360"/>
        <w:rPr>
          <w:bCs/>
          <w:szCs w:val="22"/>
        </w:rPr>
      </w:pPr>
    </w:p>
    <w:p>
      <w:pPr>
        <w:numPr>
          <w:ilvl w:val="1"/>
          <w:numId w:val="44"/>
        </w:numPr>
        <w:rPr>
          <w:bCs/>
          <w:szCs w:val="22"/>
        </w:rPr>
      </w:pPr>
      <w:r>
        <w:rPr>
          <w:b/>
        </w:rPr>
        <w:t>Mechanisms to prescribe actions of the ICANN corporation.</w:t>
      </w:r>
      <w:r>
        <w:t xml:space="preserve"> Most of these are initially designated as Work Stream 1, since the Members could veto certain Board decisions reserved for Members if Members are empowered in Work Stream 1 (above).  For example, a bottom-up consensus process to change ICANN Bylaws might be rejected by the ICANN Board, but the Members could then veto that decision.</w:t>
      </w:r>
    </w:p>
    <w:p>
      <w:pPr>
        <w:numPr>
          <w:ilvl w:val="0"/>
          <w:numId w:val="0"/>
        </w:numPr>
        <w:ind w:left="360"/>
        <w:rPr>
          <w:bCs/>
          <w:szCs w:val="22"/>
        </w:rPr>
      </w:pPr>
    </w:p>
    <w:p>
      <w:pPr>
        <w:ind w:hanging="540"/>
        <w:rPr>
          <w:bCs/>
          <w:szCs w:val="22"/>
        </w:rPr>
      </w:pPr>
      <w:r>
        <w:rPr>
          <w:bCs/>
          <w:szCs w:val="22"/>
        </w:rPr>
        <w:t>Work Stream 1 accountability mechanisms are presented in detail in Section 2.</w:t>
      </w:r>
    </w:p>
    <w:p>
      <w:pPr>
        <w:numPr>
          <w:ilvl w:val="0"/>
          <w:numId w:val="0"/>
        </w:numPr>
        <w:ind w:left="360"/>
        <w:rPr>
          <w:bCs/>
          <w:szCs w:val="22"/>
        </w:rPr>
      </w:pPr>
    </w:p>
    <w:p>
      <w:pPr>
        <w:ind w:hanging="540"/>
        <w:rPr>
          <w:bCs/>
          <w:szCs w:val="22"/>
        </w:rPr>
      </w:pPr>
      <w:r>
        <w:rPr>
          <w:bCs/>
          <w:szCs w:val="22"/>
        </w:rPr>
        <w:t xml:space="preserve">In addition, the CWG-Stewardship has advised the CCWG, including in a </w:t>
      </w:r>
      <w:r>
        <w:fldChar w:fldCharType="begin"/>
      </w:r>
      <w:r>
        <w:instrText xml:space="preserve"> HYPERLINK "https://community.icann.org/pages/viewpage.action?pageId=52897357" </w:instrText>
      </w:r>
      <w:r>
        <w:fldChar w:fldCharType="separate"/>
      </w:r>
      <w:r>
        <w:rPr>
          <w:rStyle w:val="Hyperlink"/>
          <w:bCs/>
          <w:szCs w:val="22"/>
        </w:rPr>
        <w:t>correspondence</w:t>
      </w:r>
      <w:r>
        <w:fldChar w:fldCharType="end"/>
      </w:r>
      <w:r>
        <w:rPr>
          <w:bCs/>
          <w:szCs w:val="22"/>
        </w:rPr>
        <w:t xml:space="preserve"> from the CWG-Stewardship co-chairs dated 15 April 2015, the expectations from their group with regards to CCWG-Accountability accountability Work Stream 1 recommendations.  These expectations are:</w:t>
      </w:r>
    </w:p>
    <w:p>
      <w:pPr>
        <w:pStyle w:val="Bullets"/>
        <w:numPr>
          <w:ilvl w:val="1"/>
          <w:numId w:val="1"/>
        </w:numPr>
        <w:ind w:left="1440"/>
        <w:rPr>
          <w:b w:val="0"/>
        </w:rPr>
      </w:pPr>
      <w:r>
        <w:t>ICANN budget:</w:t>
      </w:r>
      <w:r>
        <w:rPr>
          <w:b w:val="0"/>
        </w:rPr>
        <w:t xml:space="preserve"> The CWG-Stewardship supports the ability for the community to approve a budget, including on IANA functions’ costs. This expectation is dealt with in section 2.6.2.</w:t>
      </w:r>
    </w:p>
    <w:p>
      <w:pPr>
        <w:pStyle w:val="Bullets"/>
        <w:numPr>
          <w:ilvl w:val="1"/>
          <w:numId w:val="1"/>
        </w:numPr>
        <w:ind w:left="1440"/>
        <w:rPr>
          <w:b w:val="0"/>
        </w:rPr>
      </w:pPr>
      <w:r>
        <w:t>Community empowerment mechanisms:</w:t>
      </w:r>
      <w:r>
        <w:rPr>
          <w:b w:val="0"/>
        </w:rPr>
        <w:t xml:space="preserve"> The CWG-Stewardship will be relying on the community empowerment and accountability mechanisms that the CCWG-Accountability is currently considering and developing being in place at the time of the stewardship transition. In particular, mechanisms such as: the ability to recall the ICANN Board decisions relating to periodic or special reviews of the IANA functions undertaken through the IANA Function Review (IFR); the ability to approve changes to Fundamental Bylaws as well as the related creation of a stakeholder community / member group in order ensure the ability to exercise these kinds of rights. This expectation is dealt with in section 2.6. </w:t>
      </w:r>
    </w:p>
    <w:p>
      <w:pPr>
        <w:pStyle w:val="Bullets"/>
        <w:numPr>
          <w:ilvl w:val="1"/>
          <w:numId w:val="1"/>
        </w:numPr>
        <w:ind w:left="1440"/>
        <w:rPr>
          <w:b w:val="0"/>
        </w:rPr>
      </w:pPr>
      <w:r>
        <w:rPr>
          <w:rFonts w:ascii="Arial" w:hAnsi="Arial" w:cs="Arial"/>
        </w:rPr>
        <w:t>Creation of a customer standing committee</w:t>
      </w:r>
      <w:r>
        <w:rPr>
          <w:rFonts w:ascii="Arial" w:hAnsi="Arial" w:cs="Arial"/>
          <w:b w:val="0"/>
        </w:rPr>
        <w:t>:  The CWG-Stewardship will be relying on the creation of a customer standing committee (CSC) within the ICANN Bylaws.  Additionally, under the current CWG-Stewardship proposal, if not currently within their mandates, the ccNSO and/or GNSO would be empowered to address matters escalated by the CSC</w:t>
      </w:r>
    </w:p>
    <w:p>
      <w:pPr>
        <w:pStyle w:val="Bullets"/>
        <w:numPr>
          <w:ilvl w:val="1"/>
          <w:numId w:val="1"/>
        </w:numPr>
        <w:ind w:left="1440"/>
        <w:rPr>
          <w:b w:val="0"/>
        </w:rPr>
      </w:pPr>
      <w:r>
        <w:t>Review and redress mechanisms:</w:t>
      </w:r>
      <w:r>
        <w:rPr>
          <w:b w:val="0"/>
        </w:rPr>
        <w:t xml:space="preserve"> The CWG-Stewardship would like to have the assurance that an IANA Function Review (or related special review) could be incorporated as part of the AoC mandated reviews integration into ICANN’s Bylaws as a Fundamental Bylaw. This expectation is dealt with in section 2.7.2.  The CWG-Stewardship is also relying on a mechanism for a separation review once certain remedies are exhausted which would trigger a separation of the Post-Transition Iana entity (PTI) from ICANN. </w:t>
      </w:r>
    </w:p>
    <w:p>
      <w:pPr>
        <w:pStyle w:val="Bullets"/>
        <w:numPr>
          <w:ilvl w:val="1"/>
          <w:numId w:val="1"/>
        </w:numPr>
        <w:ind w:left="1440"/>
        <w:rPr>
          <w:b w:val="0"/>
        </w:rPr>
      </w:pPr>
      <w:r>
        <w:t>Appeal mechanisms (especially with regard to ccTLD related issues):</w:t>
      </w:r>
      <w:r>
        <w:rPr>
          <w:b w:val="0"/>
        </w:rPr>
        <w:t xml:space="preserve"> The CWG-Stewardship recommends that the CCWG-Accountability should be mindful of the recommendations of the CWG-Stewardship in relation to an appeals mechanism for ccTLDs in delegation and re-delegation.  The CWG-Stewardship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CCWG-Accountability should not cover ccTLD delegation / re-delegation issues as these are expected to be developed by the ccTLD community through the appropriate processes. However, the CWG-Stewardship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pStyle w:val="Bullets"/>
        <w:numPr>
          <w:ilvl w:val="1"/>
          <w:numId w:val="1"/>
        </w:numPr>
        <w:ind w:left="1440"/>
        <w:rPr>
          <w:b w:val="0"/>
        </w:rPr>
      </w:pPr>
      <w:r>
        <w:t>Fundamental Bylaws</w:t>
      </w:r>
      <w:r>
        <w:rPr>
          <w:b w:val="0"/>
        </w:rPr>
        <w:t>:  To address the various matters above, the CWG-Stewardship is also relying on these mechansisms being included as Fundamental Bylaws.</w:t>
      </w:r>
    </w:p>
    <w:p>
      <w:pPr>
        <w:numPr>
          <w:ilvl w:val="0"/>
          <w:numId w:val="0"/>
        </w:numPr>
        <w:ind w:left="360"/>
        <w:rPr>
          <w:bCs/>
          <w:szCs w:val="22"/>
        </w:rPr>
      </w:pPr>
    </w:p>
    <w:p>
      <w:pPr>
        <w:numPr>
          <w:ilvl w:val="0"/>
          <w:numId w:val="0"/>
        </w:numPr>
        <w:ind w:left="360"/>
        <w:rPr>
          <w:bCs/>
          <w:szCs w:val="22"/>
        </w:rPr>
      </w:pPr>
      <w:r>
        <w:rPr>
          <w:bCs/>
          <w:szCs w:val="22"/>
        </w:rPr>
        <w:pict>
          <v:rect id="_x0000_i1025" style="height:1.5pt;width:0" o:hralign="center" o:hrstd="t" o:hr="t" fillcolor="#aaa" stroked="f"/>
        </w:pict>
      </w:r>
    </w:p>
    <w:p>
      <w:pPr>
        <w:ind w:hanging="540"/>
        <w:rPr>
          <w:bCs/>
          <w:i/>
          <w:szCs w:val="22"/>
        </w:rPr>
      </w:pPr>
      <w:r>
        <w:rPr>
          <w:bCs/>
          <w:i/>
          <w:szCs w:val="22"/>
        </w:rPr>
        <w:t>[1] As a note of clarification, the CWG-Stewardship has been referring previously to this appeals mechanism as IAP (Independent Appeals Panel) but understands that the CCWG-Accountability is referring to this mechanism as Independent Review Mechanism (IRP) which would also include the option for appeal. As such the CWG-Stewardship will be updating its references.</w:t>
      </w:r>
    </w:p>
    <w:p>
      <w:pPr>
        <w:numPr>
          <w:ilvl w:val="0"/>
          <w:numId w:val="0"/>
        </w:numPr>
        <w:ind w:left="360"/>
      </w:pPr>
    </w:p>
    <w:p>
      <w:pPr>
        <w:numPr>
          <w:ilvl w:val="0"/>
          <w:numId w:val="0"/>
        </w:numPr>
        <w:ind w:left="360"/>
        <w:rPr>
          <w:rStyle w:val="SectionTile"/>
          <w:b w:val="0"/>
          <w:bCs/>
          <w:i/>
          <w:color w:val="auto"/>
          <w:sz w:val="22"/>
          <w:szCs w:val="22"/>
        </w:rPr>
      </w:pPr>
    </w:p>
    <w:p>
      <w:pPr>
        <w:pStyle w:val="Heading1"/>
        <w:ind w:left="540" w:right="0" w:hanging="540"/>
        <w:rPr>
          <w:rStyle w:val="SectionTile"/>
          <w:b w:val="0"/>
          <w:color w:val="1F497D" w:themeColor="text2"/>
          <w:sz w:val="48"/>
          <w:szCs w:val="48"/>
        </w:rPr>
      </w:pPr>
      <w:bookmarkStart w:id="12" w:name="_Toc292025297"/>
      <w:bookmarkStart w:id="13" w:name="_Toc292010146"/>
      <w:r>
        <w:rPr>
          <w:rStyle w:val="SectionTile"/>
          <w:b w:val="0"/>
          <w:color w:val="1F497D" w:themeColor="text2"/>
          <w:sz w:val="48"/>
          <w:szCs w:val="48"/>
        </w:rPr>
        <w:t>2) Accountability Mechanisms</w:t>
      </w:r>
      <w:bookmarkEnd w:id="3"/>
      <w:bookmarkEnd w:id="12"/>
      <w:bookmarkEnd w:id="13"/>
    </w:p>
    <w:p>
      <w:pPr>
        <w:pStyle w:val="Heading2"/>
      </w:pPr>
      <w:bookmarkStart w:id="14" w:name="_Toc291848681"/>
      <w:bookmarkStart w:id="15" w:name="_Toc292025298"/>
      <w:bookmarkStart w:id="16" w:name="_Toc292010147"/>
      <w:r>
        <w:t>2.1 Description of Overall Accountability Architecture</w:t>
      </w:r>
      <w:bookmarkEnd w:id="14"/>
      <w:bookmarkEnd w:id="15"/>
      <w:bookmarkEnd w:id="16"/>
    </w:p>
    <w:p>
      <w:pPr>
        <w:ind w:hanging="540"/>
      </w:pPr>
      <w:r>
        <w:t xml:space="preserve">The CCWG-Accountability identifies four building blocks that would form the accountability mechanisms required to improve accountability. </w:t>
      </w:r>
    </w:p>
    <w:p>
      <w:pPr>
        <w:numPr>
          <w:ilvl w:val="0"/>
          <w:numId w:val="0"/>
        </w:numPr>
        <w:ind w:left="360"/>
        <w:rPr>
          <w:b/>
          <w:bCs/>
          <w:szCs w:val="22"/>
        </w:rPr>
      </w:pPr>
    </w:p>
    <w:p>
      <w:pPr>
        <w:numPr>
          <w:ilvl w:val="0"/>
          <w:numId w:val="0"/>
        </w:numPr>
        <w:ind w:left="360"/>
        <w:jc w:val="center"/>
        <w:rPr>
          <w:b/>
          <w:bCs/>
          <w:szCs w:val="22"/>
        </w:rPr>
      </w:pPr>
      <w:r>
        <w:rPr>
          <w:b/>
          <w:bCs/>
          <w:noProof/>
          <w:szCs w:val="22"/>
        </w:rPr>
        <w:drawing>
          <wp:inline distT="0" distB="0" distL="0" distR="0">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73142" cy="2884506"/>
                    </a:xfrm>
                    <a:prstGeom prst="rect">
                      <a:avLst/>
                    </a:prstGeom>
                    <a:noFill/>
                    <a:ln>
                      <a:noFill/>
                    </a:ln>
                  </pic:spPr>
                </pic:pic>
              </a:graphicData>
            </a:graphic>
          </wp:inline>
        </w:drawing>
      </w:r>
    </w:p>
    <w:p>
      <w:pPr>
        <w:numPr>
          <w:ilvl w:val="0"/>
          <w:numId w:val="0"/>
        </w:numPr>
        <w:rPr>
          <w:b/>
          <w:bCs/>
          <w:szCs w:val="22"/>
        </w:rPr>
      </w:pPr>
    </w:p>
    <w:p>
      <w:pPr>
        <w:numPr>
          <w:ilvl w:val="0"/>
          <w:numId w:val="0"/>
        </w:numPr>
        <w:ind w:left="360"/>
        <w:rPr>
          <w:b/>
          <w:bCs/>
          <w:szCs w:val="22"/>
        </w:rPr>
      </w:pPr>
    </w:p>
    <w:p>
      <w:pPr>
        <w:ind w:hanging="540"/>
        <w:rPr>
          <w:b/>
          <w:bCs/>
          <w:szCs w:val="22"/>
        </w:rPr>
      </w:pPr>
      <w:r>
        <w:rPr>
          <w:b/>
          <w:bCs/>
          <w:szCs w:val="22"/>
        </w:rPr>
        <w:t>Drawing a state analogy:</w:t>
      </w:r>
    </w:p>
    <w:p>
      <w:pPr>
        <w:pStyle w:val="Bullets"/>
        <w:numPr>
          <w:ilvl w:val="1"/>
          <w:numId w:val="1"/>
        </w:numPr>
        <w:ind w:left="1440"/>
        <w:rPr>
          <w:b w:val="0"/>
        </w:rPr>
      </w:pPr>
      <w:r>
        <w:rPr>
          <w:b w:val="0"/>
        </w:rPr>
        <w:t xml:space="preserve">Empowered community refers to the powers that allow the community i.e., the people, to take action should ICANN breach the principles. </w:t>
      </w:r>
      <w:r>
        <w:rPr>
          <w:b w:val="0"/>
          <w:highlight w:val="yellow"/>
        </w:rPr>
        <w:t>[</w:t>
      </w:r>
      <w:r>
        <w:rPr>
          <w:i/>
          <w:highlight w:val="yellow"/>
        </w:rPr>
        <w:t>Adler note</w:t>
      </w:r>
      <w:r>
        <w:rPr>
          <w:b w:val="0"/>
          <w:highlight w:val="yellow"/>
        </w:rPr>
        <w:t>: “i.e. the people” may serve as a source of confusions.]</w:t>
      </w:r>
    </w:p>
    <w:p>
      <w:pPr>
        <w:pStyle w:val="Bullets"/>
        <w:numPr>
          <w:ilvl w:val="2"/>
          <w:numId w:val="1"/>
        </w:numPr>
        <w:ind w:left="2880"/>
        <w:rPr>
          <w:b w:val="0"/>
        </w:rPr>
      </w:pPr>
      <w:r>
        <w:rPr>
          <w:b w:val="0"/>
        </w:rPr>
        <w:t>The group identified powers and associated mechanisms including the ability to:</w:t>
      </w:r>
    </w:p>
    <w:p>
      <w:pPr>
        <w:pStyle w:val="Bullets"/>
        <w:numPr>
          <w:ilvl w:val="3"/>
          <w:numId w:val="1"/>
        </w:numPr>
        <w:rPr>
          <w:b w:val="0"/>
        </w:rPr>
      </w:pPr>
      <w:r>
        <w:rPr>
          <w:b w:val="0"/>
        </w:rPr>
        <w:t>Remove individual directors or recall the ICANN Board of Directors;</w:t>
      </w:r>
    </w:p>
    <w:p>
      <w:pPr>
        <w:pStyle w:val="Bullets"/>
        <w:numPr>
          <w:ilvl w:val="3"/>
          <w:numId w:val="1"/>
        </w:numPr>
        <w:rPr>
          <w:b w:val="0"/>
        </w:rPr>
      </w:pPr>
      <w:r>
        <w:rPr>
          <w:b w:val="0"/>
        </w:rPr>
        <w:t xml:space="preserve">Approve or veto changes to the ICANN Bylaws, Mission, Commitments and Core Values </w:t>
      </w:r>
      <w:r>
        <w:rPr>
          <w:b w:val="0"/>
          <w:highlight w:val="yellow"/>
        </w:rPr>
        <w:t>[</w:t>
      </w:r>
      <w:r>
        <w:rPr>
          <w:i/>
          <w:highlight w:val="yellow"/>
        </w:rPr>
        <w:t>Adler note</w:t>
      </w:r>
      <w:r>
        <w:rPr>
          <w:b w:val="0"/>
          <w:highlight w:val="yellow"/>
        </w:rPr>
        <w:t>: “Mission” is capitalized inconsistently throughout sections 2.1, 2.2, and 2.3]</w:t>
      </w:r>
    </w:p>
    <w:p>
      <w:pPr>
        <w:pStyle w:val="Bullets"/>
        <w:numPr>
          <w:ilvl w:val="3"/>
          <w:numId w:val="1"/>
        </w:numPr>
        <w:rPr>
          <w:b w:val="0"/>
        </w:rPr>
      </w:pPr>
      <w:r>
        <w:rPr>
          <w:b w:val="0"/>
        </w:rPr>
        <w:t>Reject Board decisions on Strategic Plan and budget, where the Board has failed to appropriately consider community input</w:t>
      </w:r>
    </w:p>
    <w:p>
      <w:pPr>
        <w:pStyle w:val="Bullets"/>
        <w:numPr>
          <w:ilvl w:val="2"/>
          <w:numId w:val="1"/>
        </w:numPr>
        <w:ind w:left="2880"/>
        <w:rPr>
          <w:b w:val="0"/>
        </w:rPr>
      </w:pPr>
      <w:r>
        <w:rPr>
          <w:b w:val="0"/>
        </w:rPr>
        <w:t>Principles form the Mission, Commitments and Core Values of the organization (i.e., the Constitution).</w:t>
      </w:r>
    </w:p>
    <w:p>
      <w:pPr>
        <w:pStyle w:val="Bullets"/>
        <w:numPr>
          <w:ilvl w:val="2"/>
          <w:numId w:val="1"/>
        </w:numPr>
        <w:ind w:left="2880" w:right="140"/>
        <w:rPr>
          <w:b w:val="0"/>
        </w:rPr>
      </w:pPr>
      <w:r>
        <w:rPr>
          <w:b w:val="0"/>
        </w:rPr>
        <w:t>The group proposes changes that should be made to the Mission, Commitments and Core Values in ICANN's Bylaws. For example, the group discussed how key provisions of the</w:t>
      </w:r>
      <w:r>
        <w:fldChar w:fldCharType="begin"/>
      </w:r>
      <w:r>
        <w:instrText xml:space="preserve"> HYPERLINK "https://www.icann.org/en/about/agreements/aoc/affirmation-of-commitments-30sep09-en.htm" </w:instrText>
      </w:r>
      <w:r>
        <w:fldChar w:fldCharType="separate"/>
      </w:r>
      <w:r>
        <w:rPr>
          <w:rStyle w:val="Hyperlink"/>
          <w:b w:val="0"/>
        </w:rPr>
        <w:t xml:space="preserve"> Affirmation of Commitments</w:t>
      </w:r>
      <w:r>
        <w:fldChar w:fldCharType="end"/>
      </w:r>
      <w:r>
        <w:rPr>
          <w:b w:val="0"/>
        </w:rPr>
        <w:t xml:space="preserve"> (AoC) could be reflected into the Bylaws</w:t>
      </w:r>
    </w:p>
    <w:p>
      <w:pPr>
        <w:pStyle w:val="Bullets"/>
        <w:numPr>
          <w:ilvl w:val="1"/>
          <w:numId w:val="1"/>
        </w:numPr>
        <w:ind w:left="1440" w:right="140"/>
        <w:rPr>
          <w:b w:val="0"/>
        </w:rPr>
      </w:pPr>
      <w:r>
        <w:rPr>
          <w:b w:val="0"/>
        </w:rPr>
        <w:t>ICANN Board represents the executive entity the community may act against, as appropriate</w:t>
      </w:r>
    </w:p>
    <w:p>
      <w:pPr>
        <w:pStyle w:val="Bullets"/>
        <w:numPr>
          <w:ilvl w:val="1"/>
          <w:numId w:val="1"/>
        </w:numPr>
        <w:ind w:left="1440" w:right="140"/>
        <w:rPr>
          <w:b w:val="0"/>
        </w:rPr>
      </w:pPr>
      <w:r>
        <w:rPr>
          <w:b w:val="0"/>
        </w:rPr>
        <w:t>Independent Review Mechanisms, (i.e., the judiciary) confers the power to review and provide redress, as needed</w:t>
      </w:r>
    </w:p>
    <w:p>
      <w:pPr>
        <w:pStyle w:val="Bullets"/>
        <w:numPr>
          <w:ilvl w:val="2"/>
          <w:numId w:val="1"/>
        </w:numPr>
        <w:ind w:left="2880" w:right="140"/>
        <w:rPr>
          <w:b w:val="0"/>
        </w:rPr>
      </w:pPr>
      <w:r>
        <w:rPr>
          <w:b w:val="0"/>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numPr>
          <w:ilvl w:val="0"/>
          <w:numId w:val="0"/>
        </w:numPr>
        <w:ind w:left="360"/>
        <w:rPr>
          <w:b/>
          <w:bCs/>
          <w:szCs w:val="22"/>
        </w:rPr>
      </w:pPr>
    </w:p>
    <w:p>
      <w:pPr>
        <w:ind w:hanging="540"/>
        <w:rPr>
          <w:bCs/>
          <w:szCs w:val="22"/>
        </w:rPr>
      </w:pPr>
      <w:r>
        <w:rPr>
          <w:bCs/>
          <w:szCs w:val="22"/>
        </w:rPr>
        <w:t xml:space="preserve">This section of the public comment report details the key recommendations upon which the CCWG-Accountability would like to receive input from the community. These recommendations do not reflect CCWG-Accountability consensus at this point. </w:t>
      </w:r>
      <w:bookmarkStart w:id="17" w:name="_Toc291848682"/>
      <w:r>
        <w:rPr>
          <w:bCs/>
          <w:szCs w:val="22"/>
        </w:rPr>
        <w:br/>
      </w:r>
    </w:p>
    <w:p>
      <w:pPr>
        <w:pStyle w:val="Heading2"/>
      </w:pPr>
      <w:bookmarkStart w:id="18" w:name="_Toc292025299"/>
      <w:bookmarkStart w:id="19" w:name="_Toc292010148"/>
      <w:r>
        <w:t>2.2 Revised Mission, Commitments &amp; Core Values</w:t>
      </w:r>
      <w:bookmarkEnd w:id="17"/>
      <w:bookmarkEnd w:id="18"/>
      <w:bookmarkEnd w:id="19"/>
    </w:p>
    <w:p>
      <w:pPr>
        <w:ind w:hanging="540"/>
      </w:pPr>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pPr>
        <w:numPr>
          <w:ilvl w:val="0"/>
          <w:numId w:val="0"/>
        </w:numPr>
        <w:ind w:left="360"/>
      </w:pPr>
    </w:p>
    <w:p>
      <w:pPr>
        <w:ind w:hanging="540"/>
      </w:pPr>
      <w: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pPr>
        <w:pStyle w:val="Bullets"/>
        <w:numPr>
          <w:ilvl w:val="1"/>
          <w:numId w:val="1"/>
        </w:numPr>
        <w:ind w:left="1440"/>
        <w:rPr>
          <w:b w:val="0"/>
        </w:rPr>
      </w:pPr>
      <w:r>
        <w:rPr>
          <w:b w:val="0"/>
        </w:rPr>
        <w:t>ICANN’s Mission statement needs clarification with respect to the scope of ICANN’s policy authority;</w:t>
      </w:r>
    </w:p>
    <w:p>
      <w:pPr>
        <w:pStyle w:val="Bullets"/>
        <w:numPr>
          <w:ilvl w:val="1"/>
          <w:numId w:val="1"/>
        </w:numPr>
        <w:ind w:left="1440"/>
        <w:rPr>
          <w:b w:val="0"/>
        </w:rPr>
      </w:pPr>
      <w:r>
        <w:rPr>
          <w:b w:val="0"/>
        </w:rPr>
        <w:t>The language in the Bylaws describing how ICANN should apply its Core Values is weak and permits ICANN decision makers to exercise excessive discretion;</w:t>
      </w:r>
    </w:p>
    <w:p>
      <w:pPr>
        <w:pStyle w:val="Bullets"/>
        <w:numPr>
          <w:ilvl w:val="1"/>
          <w:numId w:val="1"/>
        </w:numPr>
        <w:ind w:left="1440"/>
        <w:rPr>
          <w:b w:val="0"/>
        </w:rPr>
      </w:pPr>
      <w:r>
        <w:rPr>
          <w:b w:val="0"/>
        </w:rPr>
        <w:t>The current Bylaws do not reflect key elements of the Affirmation of Commitments; and</w:t>
      </w:r>
    </w:p>
    <w:p>
      <w:pPr>
        <w:pStyle w:val="Bullets"/>
        <w:numPr>
          <w:ilvl w:val="1"/>
          <w:numId w:val="1"/>
        </w:numPr>
        <w:ind w:left="1440"/>
        <w:rPr>
          <w:b w:val="0"/>
        </w:rPr>
      </w:pPr>
      <w:r>
        <w:rPr>
          <w:b w:val="0"/>
        </w:rPr>
        <w:t>The Board should have only a limited ability to change these key accountability provisions of ICANN’s Bylaws.</w:t>
      </w:r>
    </w:p>
    <w:p>
      <w:pPr>
        <w:pStyle w:val="Heading4"/>
        <w:ind w:hanging="540"/>
      </w:pPr>
      <w:r>
        <w:t>Summary of Recommended Changes</w:t>
      </w:r>
    </w:p>
    <w:p>
      <w:pPr>
        <w:ind w:hanging="540"/>
        <w:rPr>
          <w:u w:color="0000FF"/>
        </w:rPr>
      </w:pPr>
      <w:bookmarkStart w:id="20" w:name="_cp_blt_1_112"/>
      <w:bookmarkStart w:id="21" w:name="_cp_text_1_113"/>
      <w:r>
        <w:rPr>
          <w:u w:color="0000FF"/>
        </w:rPr>
        <w:t>[</w:t>
      </w:r>
      <w:bookmarkEnd w:id="20"/>
      <w:r>
        <w:rPr>
          <w:b/>
          <w:i/>
          <w:u w:color="0000FF"/>
        </w:rPr>
        <w:t>Note</w:t>
      </w:r>
      <w:r>
        <w:rPr>
          <w:u w:color="0000FF"/>
        </w:rPr>
        <w:t>:  Legal counsel have not reviewed the underlying proposed Bylaw revisions at this stage.  The proposed language for Bylaw revisions is conceptual in nature at this stage; once there is consensus about direction developed through this comment process, the legal team will need time to draft appropriate language for revisions to the Articles of Incorporation and Bylaws.]</w:t>
      </w:r>
    </w:p>
    <w:p>
      <w:pPr>
        <w:numPr>
          <w:ilvl w:val="0"/>
          <w:numId w:val="0"/>
        </w:numPr>
        <w:ind w:left="360"/>
      </w:pPr>
      <w:bookmarkEnd w:id="21"/>
    </w:p>
    <w:p>
      <w:pPr>
        <w:ind w:hanging="540"/>
      </w:pPr>
      <w:r>
        <w:t xml:space="preserve">The CCWG-Accountability is seeking input on a number of recommended changes to the ICANN Bylaws to address the deficiencies described above.  We have deliberately attempted to minimize language changes, and in the charts that follow,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spacing w:line="240" w:lineRule="auto"/>
        <w:ind w:left="1440" w:hanging="540"/>
        <w:rPr>
          <w:rFonts w:cs="Times New Roman"/>
          <w:bCs/>
          <w:szCs w:val="22"/>
        </w:rPr>
      </w:pPr>
      <w:r>
        <w:rPr>
          <w:rFonts w:cs="Times New Roman"/>
          <w:b/>
          <w:bCs/>
          <w:iCs/>
          <w:szCs w:val="22"/>
        </w:rPr>
        <w:t>ICANN Mission Statement</w:t>
      </w:r>
      <w:r>
        <w:rPr>
          <w:rFonts w:cs="Times New Roman"/>
          <w:bCs/>
          <w:iCs/>
          <w:szCs w:val="22"/>
        </w:rPr>
        <w:t xml:space="preserve">.  The </w:t>
      </w:r>
      <w:r>
        <w:rPr>
          <w:rFonts w:cs="Times New Roman"/>
          <w:bCs/>
          <w:szCs w:val="22"/>
        </w:rPr>
        <w:t>CCWG-Accountability recommends the following changes to ICANN’s “Mission Statement,” (Bylaws, Article I, Section 1):</w:t>
      </w:r>
    </w:p>
    <w:p>
      <w:pPr>
        <w:pStyle w:val="ListParagraph"/>
        <w:numPr>
          <w:ilvl w:val="1"/>
          <w:numId w:val="2"/>
        </w:numPr>
        <w:spacing w:line="240" w:lineRule="auto"/>
        <w:ind w:left="2880" w:hanging="540"/>
        <w:rPr>
          <w:rFonts w:cs="Times New Roman"/>
          <w:bCs/>
          <w:szCs w:val="22"/>
        </w:rPr>
      </w:pPr>
      <w:r>
        <w:rPr>
          <w:rFonts w:cs="Times New Roman"/>
          <w:bCs/>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Mission does not include the regulation of services that use the DNS or the regulation of the content these services carry or provide. Regulation of content is inconsistent with ICANN’s limited technical mission.</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pPr>
        <w:pStyle w:val="ListParagraph"/>
        <w:numPr>
          <w:ilvl w:val="1"/>
          <w:numId w:val="2"/>
        </w:numPr>
        <w:spacing w:line="240" w:lineRule="auto"/>
        <w:ind w:left="2880" w:hanging="540"/>
        <w:rPr>
          <w:rFonts w:cs="Times New Roman"/>
          <w:bCs/>
          <w:szCs w:val="22"/>
        </w:rPr>
      </w:pPr>
      <w:r>
        <w:rPr>
          <w:rFonts w:cs="Helvetica"/>
          <w:szCs w:val="22"/>
        </w:rPr>
        <w:t xml:space="preserve">The group discussed how to balance the needs of limiting ICANN’s mission and the necessary ability of the organization to adjust to a changing environment. </w:t>
      </w:r>
      <w:r>
        <w:rPr>
          <w:rFonts w:cs="Helvetica"/>
          <w:szCs w:val="22"/>
          <w:highlight w:val="yellow"/>
        </w:rPr>
        <w:t>[</w:t>
      </w:r>
      <w:r>
        <w:rPr>
          <w:rFonts w:cs="Helvetica"/>
          <w:b/>
          <w:i/>
          <w:szCs w:val="22"/>
          <w:highlight w:val="yellow"/>
        </w:rPr>
        <w:t>Adler</w:t>
      </w:r>
      <w:r>
        <w:rPr>
          <w:rFonts w:cs="Helvetica"/>
          <w:szCs w:val="22"/>
          <w:highlight w:val="yellow"/>
        </w:rPr>
        <w:t>:  This is a general observation as opposed to a recommended change to the Mission statement.  Consider moving this subsection d to the lead-in paragraph under “ICANN Mission Statement” above.]</w:t>
      </w:r>
      <w:r>
        <w:rPr>
          <w:rFonts w:cs="Helvetica"/>
          <w:szCs w:val="22"/>
        </w:rPr>
        <w:br/>
      </w:r>
    </w:p>
    <w:p>
      <w:pPr>
        <w:pStyle w:val="ListParagraph"/>
        <w:numPr>
          <w:ilvl w:val="0"/>
          <w:numId w:val="2"/>
        </w:numPr>
        <w:spacing w:line="240" w:lineRule="auto"/>
        <w:ind w:left="1440" w:hanging="540"/>
        <w:rPr>
          <w:rFonts w:cs="Times New Roman"/>
          <w:bCs/>
          <w:szCs w:val="22"/>
        </w:rPr>
      </w:pPr>
      <w:r>
        <w:rPr>
          <w:rFonts w:cs="Times New Roman"/>
          <w:b/>
          <w:bCs/>
          <w:iCs/>
          <w:szCs w:val="22"/>
        </w:rPr>
        <w:t>Core Values</w:t>
      </w:r>
      <w:r>
        <w:rPr>
          <w:rFonts w:cs="Times New Roman"/>
          <w:bCs/>
          <w:iCs/>
          <w:szCs w:val="22"/>
        </w:rPr>
        <w:t xml:space="preserve">.  The </w:t>
      </w:r>
      <w:r>
        <w:rPr>
          <w:rFonts w:cs="Times New Roman"/>
          <w:bCs/>
          <w:szCs w:val="22"/>
        </w:rPr>
        <w:t>CCWG-Accountability recommends the following changes to ICANN’s “Core Values” (Bylaws, Article I, Section 2 and Article II, Section 3):</w:t>
      </w:r>
    </w:p>
    <w:p>
      <w:pPr>
        <w:pStyle w:val="ListParagraph"/>
        <w:numPr>
          <w:ilvl w:val="1"/>
          <w:numId w:val="2"/>
        </w:numPr>
        <w:spacing w:line="240" w:lineRule="auto"/>
        <w:ind w:left="2880" w:hanging="540"/>
        <w:rPr>
          <w:rFonts w:cs="Times New Roman"/>
          <w:bCs/>
          <w:szCs w:val="22"/>
        </w:rPr>
      </w:pPr>
      <w:r>
        <w:rPr>
          <w:rFonts w:cs="Times New Roman"/>
          <w:bCs/>
          <w:szCs w:val="22"/>
        </w:rPr>
        <w:t xml:space="preserve">Divide the existing Core Values provisions into </w:t>
      </w:r>
      <w:r>
        <w:t xml:space="preserve">Commitments </w:t>
      </w:r>
      <w:r>
        <w:rPr>
          <w:rFonts w:cs="Times New Roman"/>
          <w:bCs/>
          <w:szCs w:val="22"/>
        </w:rPr>
        <w:t>and “Core Values.”</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Incorporate into the Bylaws ICANN’s obligation to operate for the benefit of the Internet community as a whole, carry out its activities in accordance with applicable law and international law and conventions through open and transparent processes that enable competition.  These </w:t>
      </w:r>
      <w:r>
        <w:t>obligations</w:t>
      </w:r>
      <w:r>
        <w:rPr>
          <w:rFonts w:cs="Times New Roman"/>
          <w:bCs/>
          <w:szCs w:val="22"/>
        </w:rPr>
        <w:t xml:space="preserve"> are now contained in ICANN’s Articles of Incorporation.</w:t>
      </w:r>
    </w:p>
    <w:p>
      <w:pPr>
        <w:pStyle w:val="ListParagraph"/>
        <w:numPr>
          <w:ilvl w:val="2"/>
          <w:numId w:val="2"/>
        </w:numPr>
        <w:spacing w:line="240" w:lineRule="auto"/>
        <w:ind w:left="4320" w:hanging="540"/>
        <w:rPr>
          <w:rFonts w:cs="Times New Roman"/>
          <w:bCs/>
          <w:szCs w:val="22"/>
        </w:rPr>
      </w:pPr>
      <w:r>
        <w:rPr>
          <w:rFonts w:cs="Times New Roman"/>
          <w:bCs/>
          <w:szCs w:val="22"/>
        </w:rPr>
        <w:t>Designate certain Core Values as “</w:t>
      </w:r>
      <w:r>
        <w:t>Commitments”</w:t>
      </w:r>
      <w:r>
        <w:rPr>
          <w:rFonts w:cs="Times New Roman"/>
          <w:bCs/>
          <w:szCs w:val="22"/>
        </w:rPr>
        <w:t xml:space="preserve">. These values are so fundamental to ICANN’s operation that they should rarely need to be balanced against each other.  Those </w:t>
      </w:r>
      <w:r>
        <w:t>Commitments</w:t>
      </w:r>
      <w:r>
        <w:rPr>
          <w:rFonts w:cs="Times New Roman"/>
          <w:bCs/>
          <w:szCs w:val="22"/>
        </w:rPr>
        <w:t xml:space="preserve"> include ICANN’s obligations to:</w:t>
      </w:r>
    </w:p>
    <w:p>
      <w:pPr>
        <w:pStyle w:val="ListParagraph"/>
        <w:numPr>
          <w:ilvl w:val="3"/>
          <w:numId w:val="2"/>
        </w:numPr>
        <w:spacing w:line="240" w:lineRule="auto"/>
        <w:ind w:left="5760" w:hanging="540"/>
        <w:rPr>
          <w:rFonts w:cs="Times New Roman"/>
          <w:bCs/>
          <w:szCs w:val="22"/>
        </w:rPr>
      </w:pPr>
      <w:r>
        <w:rPr>
          <w:rFonts w:cs="Times New Roman"/>
          <w:bCs/>
          <w:szCs w:val="22"/>
        </w:rPr>
        <w:t>Preserve and enhance the stability, reliability, security, global interoperability, resilience, and openness of the DNS and the Internet;</w:t>
      </w:r>
    </w:p>
    <w:p>
      <w:pPr>
        <w:pStyle w:val="ListParagraph"/>
        <w:numPr>
          <w:ilvl w:val="3"/>
          <w:numId w:val="2"/>
        </w:numPr>
        <w:spacing w:line="240" w:lineRule="auto"/>
        <w:ind w:left="5760" w:hanging="540"/>
        <w:rPr>
          <w:rFonts w:cs="Times New Roman"/>
          <w:bCs/>
          <w:szCs w:val="22"/>
        </w:rPr>
      </w:pPr>
      <w:r>
        <w:rPr>
          <w:rFonts w:cs="Times New Roman"/>
          <w:bCs/>
          <w:szCs w:val="22"/>
        </w:rPr>
        <w:t>Limit its activities to those within ICANN’s Mission and require or significantly benefit from global coordination;</w:t>
      </w:r>
    </w:p>
    <w:p>
      <w:pPr>
        <w:pStyle w:val="ListParagraph"/>
        <w:numPr>
          <w:ilvl w:val="3"/>
          <w:numId w:val="2"/>
        </w:numPr>
        <w:spacing w:line="240" w:lineRule="auto"/>
        <w:ind w:left="5760" w:hanging="540"/>
        <w:rPr>
          <w:rFonts w:cs="Times New Roman"/>
          <w:bCs/>
          <w:szCs w:val="22"/>
        </w:rPr>
      </w:pPr>
      <w:r>
        <w:rPr>
          <w:rFonts w:cs="Times New Roman"/>
          <w:bCs/>
          <w:szCs w:val="22"/>
        </w:rPr>
        <w:t>Employ open, transparent, bottom-up, multistakeholder processes; and</w:t>
      </w:r>
    </w:p>
    <w:p>
      <w:pPr>
        <w:pStyle w:val="ListParagraph"/>
        <w:numPr>
          <w:ilvl w:val="3"/>
          <w:numId w:val="2"/>
        </w:numPr>
        <w:spacing w:line="240" w:lineRule="auto"/>
        <w:ind w:left="5760" w:hanging="540"/>
        <w:rPr>
          <w:rFonts w:cs="Times New Roman"/>
          <w:bCs/>
          <w:szCs w:val="22"/>
        </w:rPr>
      </w:pPr>
      <w:r>
        <w:rPr>
          <w:rFonts w:cs="Times New Roman"/>
          <w:bCs/>
          <w:szCs w:val="22"/>
        </w:rPr>
        <w:t>Apply policies consistently, neutrally, objectively and fairly, without singling any party out for discriminatory treatment.</w:t>
      </w:r>
    </w:p>
    <w:p>
      <w:pPr>
        <w:pStyle w:val="ListParagraph"/>
        <w:numPr>
          <w:ilvl w:val="2"/>
          <w:numId w:val="2"/>
        </w:numPr>
        <w:spacing w:line="240" w:lineRule="auto"/>
        <w:ind w:left="4320" w:hanging="540"/>
        <w:rPr>
          <w:rFonts w:cs="Times New Roman"/>
          <w:bCs/>
          <w:szCs w:val="22"/>
        </w:rPr>
      </w:pPr>
      <w:r>
        <w:rPr>
          <w:rFonts w:cs="Times New Roman"/>
          <w:bCs/>
          <w:szCs w:val="22"/>
        </w:rPr>
        <w:t>Slightly modify the remaining Core Values to:</w:t>
      </w:r>
    </w:p>
    <w:p>
      <w:pPr>
        <w:pStyle w:val="ListParagraph"/>
        <w:numPr>
          <w:ilvl w:val="3"/>
          <w:numId w:val="2"/>
        </w:numPr>
        <w:spacing w:line="240" w:lineRule="auto"/>
        <w:ind w:left="5760" w:hanging="540"/>
        <w:rPr>
          <w:rFonts w:cs="Times New Roman"/>
          <w:bCs/>
          <w:szCs w:val="22"/>
        </w:rPr>
      </w:pPr>
      <w:r>
        <w:rPr>
          <w:rFonts w:cs="Times New Roman"/>
          <w:bCs/>
          <w:szCs w:val="22"/>
        </w:rPr>
        <w:t>Reflect various provisions in the Affirmation of Commitments, e.g., efficiency, operational excellence, and fiscal responsibility;</w:t>
      </w:r>
    </w:p>
    <w:p>
      <w:pPr>
        <w:pStyle w:val="ListParagraph"/>
        <w:numPr>
          <w:ilvl w:val="3"/>
          <w:numId w:val="2"/>
        </w:numPr>
        <w:spacing w:line="240" w:lineRule="auto"/>
        <w:ind w:left="5760" w:hanging="540"/>
        <w:rPr>
          <w:rFonts w:cs="Times New Roman"/>
          <w:bCs/>
          <w:szCs w:val="22"/>
        </w:rPr>
      </w:pPr>
      <w:r>
        <w:rPr>
          <w:rFonts w:cs="Times New Roman"/>
          <w:bCs/>
          <w:szCs w:val="22"/>
        </w:rPr>
        <w:t xml:space="preserve">Clarify that any decision to defer to input from public authorities must be consistent with ICANN’s </w:t>
      </w:r>
      <w:r>
        <w:t>Commitments</w:t>
      </w:r>
      <w:r>
        <w:rPr>
          <w:rFonts w:cs="Times New Roman"/>
          <w:bCs/>
          <w:szCs w:val="22"/>
        </w:rPr>
        <w:t xml:space="preserve">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spacing w:line="240" w:lineRule="auto"/>
        <w:ind w:left="5760" w:hanging="540"/>
        <w:rPr>
          <w:rFonts w:cs="Times New Roman"/>
          <w:bCs/>
          <w:szCs w:val="22"/>
        </w:rPr>
      </w:pPr>
      <w:r>
        <w:rPr>
          <w:rFonts w:cs="Times New Roman"/>
          <w:bCs/>
          <w:szCs w:val="22"/>
        </w:rPr>
        <w:t xml:space="preserve">Add an obligation to avoid capture. </w:t>
      </w:r>
    </w:p>
    <w:p>
      <w:pPr>
        <w:pStyle w:val="ListParagraph"/>
        <w:numPr>
          <w:ilvl w:val="0"/>
          <w:numId w:val="2"/>
        </w:numPr>
        <w:spacing w:line="240" w:lineRule="auto"/>
        <w:ind w:left="1440" w:hanging="540"/>
        <w:rPr>
          <w:rFonts w:cs="Times New Roman"/>
          <w:b/>
          <w:bCs/>
          <w:szCs w:val="22"/>
        </w:rPr>
      </w:pPr>
      <w:r>
        <w:rPr>
          <w:rFonts w:cs="Times New Roman"/>
          <w:b/>
          <w:bCs/>
          <w:iCs/>
          <w:szCs w:val="22"/>
        </w:rPr>
        <w:t>Balancing or Reconciliation Test</w:t>
      </w:r>
    </w:p>
    <w:p>
      <w:pPr>
        <w:pStyle w:val="ListParagraph"/>
        <w:numPr>
          <w:ilvl w:val="1"/>
          <w:numId w:val="2"/>
        </w:numPr>
        <w:spacing w:line="240" w:lineRule="auto"/>
        <w:ind w:left="2880" w:hanging="540"/>
        <w:rPr>
          <w:rFonts w:cs="Times New Roman"/>
          <w:bCs/>
          <w:szCs w:val="22"/>
        </w:rPr>
      </w:pPr>
      <w:r>
        <w:rPr>
          <w:rFonts w:cs="Times New Roman"/>
          <w:bCs/>
          <w:szCs w:val="22"/>
        </w:rPr>
        <w:t>Modify the “balancing” language in the Bylaws to clarify the manner in which this balancing or reconciliation takes place.  Specifically:</w:t>
      </w:r>
    </w:p>
    <w:p>
      <w:pPr>
        <w:pStyle w:val="ListParagraph"/>
        <w:numPr>
          <w:ilvl w:val="2"/>
          <w:numId w:val="2"/>
        </w:numPr>
        <w:spacing w:line="240" w:lineRule="auto"/>
        <w:ind w:left="4320" w:hanging="540"/>
        <w:rPr>
          <w:rFonts w:cs="Times New Roman"/>
          <w:bCs/>
          <w:szCs w:val="22"/>
        </w:rPr>
      </w:pPr>
      <w:r>
        <w:rPr>
          <w:rFonts w:cs="Times New Roman"/>
          <w:bCs/>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 any situation where one Core Value must be reconciled with another, potentially competing Core Value, the balancing must further an </w:t>
      </w:r>
      <w:r>
        <w:rPr>
          <w:rFonts w:cs="Times New Roman"/>
          <w:bCs/>
          <w:iCs/>
          <w:szCs w:val="22"/>
        </w:rPr>
        <w:t>important</w:t>
      </w:r>
      <w:r>
        <w:rPr>
          <w:rFonts w:cs="Times New Roman"/>
          <w:bCs/>
          <w:szCs w:val="22"/>
        </w:rPr>
        <w:t xml:space="preserve"> public interest in a way that is substantially related to that interest.</w:t>
      </w:r>
    </w:p>
    <w:p>
      <w:pPr>
        <w:pStyle w:val="ListParagraph"/>
        <w:numPr>
          <w:ilvl w:val="0"/>
          <w:numId w:val="2"/>
        </w:numPr>
        <w:spacing w:line="240" w:lineRule="auto"/>
        <w:ind w:left="5760" w:hanging="540"/>
        <w:rPr>
          <w:rFonts w:cs="Times New Roman"/>
          <w:bCs/>
          <w:szCs w:val="22"/>
        </w:rPr>
      </w:pPr>
      <w:r>
        <w:rPr>
          <w:rFonts w:cs="Times New Roman"/>
          <w:bCs/>
          <w:iCs/>
          <w:szCs w:val="22"/>
        </w:rPr>
        <w:t>Fundamental (Durable or Enduring) Bylaws Provisions</w:t>
      </w:r>
      <w:r>
        <w:rPr>
          <w:rFonts w:cs="Times New Roman"/>
          <w:bCs/>
          <w:szCs w:val="22"/>
        </w:rPr>
        <w:t xml:space="preserve">.  The CCWG-Accountability recommends that the revised Mission Statement, </w:t>
      </w:r>
      <w:r>
        <w:t>Commitments</w:t>
      </w:r>
      <w:r>
        <w:rPr>
          <w:rFonts w:cs="Times New Roman"/>
          <w:bCs/>
          <w:szCs w:val="22"/>
        </w:rPr>
        <w:t xml:space="preserve"> and Core Values be adopted as “durable” or “enduring” elements of the ICANN Bylaws.  Any modification to these Bylaws provisions would be subject to heightened standards including, for example, community ratification or subject to community veto.</w:t>
      </w:r>
    </w:p>
    <w:p>
      <w:pPr>
        <w:pStyle w:val="Heading4"/>
        <w:numPr>
          <w:ilvl w:val="0"/>
          <w:numId w:val="0"/>
        </w:numPr>
        <w:ind w:left="360"/>
      </w:pPr>
      <w:r>
        <w:t>Discussion</w:t>
      </w:r>
    </w:p>
    <w:p>
      <w:pPr>
        <w:ind w:hanging="540"/>
      </w:pPr>
      <w: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pPr>
        <w:pStyle w:val="Heading4"/>
        <w:numPr>
          <w:ilvl w:val="0"/>
          <w:numId w:val="0"/>
        </w:numPr>
        <w:ind w:left="360"/>
      </w:pPr>
      <w:r>
        <w:t>QUESTIONS AND OPEN ISSUES:</w:t>
      </w:r>
    </w:p>
    <w:p>
      <w:pPr>
        <w:pStyle w:val="Bullets"/>
        <w:numPr>
          <w:ilvl w:val="0"/>
          <w:numId w:val="79"/>
        </w:numPr>
        <w:rPr>
          <w:b w:val="0"/>
        </w:rPr>
      </w:pPr>
      <w:r>
        <w:rPr>
          <w:b w:val="0"/>
        </w:rPr>
        <w:t>Do you agree that these recommended changes to ICANN’s Mission, Commitments and Core Values would enhance ICANN's accountability?</w:t>
      </w:r>
    </w:p>
    <w:p>
      <w:pPr>
        <w:pStyle w:val="Bullets"/>
        <w:numPr>
          <w:ilvl w:val="0"/>
          <w:numId w:val="79"/>
        </w:numPr>
        <w:rPr>
          <w:b w:val="0"/>
        </w:rPr>
      </w:pPr>
      <w:r>
        <w:rPr>
          <w:b w:val="0"/>
        </w:rPr>
        <w:t>Do you agree with the list of requirements for this recommendation? If not, please detail how you would amend these requirements.</w:t>
      </w:r>
    </w:p>
    <w:p>
      <w:pPr>
        <w:ind w:hanging="540"/>
        <w:rPr>
          <w:bCs/>
          <w:szCs w:val="22"/>
        </w:rPr>
      </w:pPr>
      <w:r>
        <w:rPr>
          <w:bCs/>
          <w:szCs w:val="22"/>
        </w:rPr>
        <w:t xml:space="preserve">The proposed language is intended to convey the substance of the proposed Bylaws changes related to ICANN’s </w:t>
      </w:r>
      <w:r>
        <w:t>Mission, Commitments and Core Values</w:t>
      </w:r>
      <w:r>
        <w:rPr>
          <w:bCs/>
          <w:szCs w:val="22"/>
        </w:rPr>
        <w:t xml:space="preserve">. </w:t>
      </w:r>
      <w:bookmarkStart w:id="22" w:name="_cp_text_1_128"/>
      <w:r>
        <w:rPr>
          <w:color w:val="0000FF"/>
          <w:kern w:val="20"/>
          <w:u w:val="double" w:color="0000FF"/>
        </w:rPr>
        <w:t xml:space="preserve">Legal counsel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w:t>
      </w:r>
      <w:bookmarkEnd w:id="22"/>
      <w:r>
        <w:rPr>
          <w:color w:val="0000FF"/>
          <w:kern w:val="20"/>
          <w:u w:val="double" w:color="0000FF"/>
        </w:rPr>
        <w:t>Bylaws</w:t>
      </w:r>
      <w:r>
        <w:rPr>
          <w:kern w:val="20"/>
        </w:rPr>
        <w:t xml:space="preserve"> </w:t>
      </w:r>
      <w:r>
        <w:rPr>
          <w:bCs/>
          <w:szCs w:val="22"/>
        </w:rPr>
        <w:t>will be subject to public consultation.</w:t>
      </w:r>
    </w:p>
    <w:p>
      <w:pPr>
        <w:numPr>
          <w:ilvl w:val="0"/>
          <w:numId w:val="0"/>
        </w:numPr>
        <w:ind w:left="360"/>
        <w:rPr>
          <w:bCs/>
          <w:szCs w:val="22"/>
        </w:rPr>
      </w:pPr>
    </w:p>
    <w:p>
      <w:pPr>
        <w:ind w:hanging="540"/>
        <w:rPr>
          <w:bCs/>
          <w:szCs w:val="22"/>
        </w:rPr>
      </w:pPr>
      <w:r>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numPr>
          <w:ilvl w:val="0"/>
          <w:numId w:val="0"/>
        </w:numPr>
        <w:ind w:left="360"/>
        <w:rPr>
          <w:b/>
          <w:bCs/>
          <w:szCs w:val="22"/>
        </w:rPr>
      </w:pPr>
    </w:p>
    <w:p>
      <w:pPr>
        <w:numPr>
          <w:ilvl w:val="0"/>
          <w:numId w:val="0"/>
        </w:numPr>
        <w:ind w:left="360"/>
        <w:rPr>
          <w:b/>
          <w:bCs/>
          <w:szCs w:val="22"/>
        </w:rPr>
      </w:pPr>
      <w:r>
        <w:rPr>
          <w:b/>
          <w:bCs/>
          <w:szCs w:val="22"/>
        </w:rPr>
        <w:t>MISSION</w:t>
      </w:r>
    </w:p>
    <w:p>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tblPr>
      <w:tblGrid>
        <w:gridCol w:w="3481"/>
        <w:gridCol w:w="3482"/>
        <w:gridCol w:w="3482"/>
      </w:tblGrid>
      <w:tr>
        <w:tblPrEx>
          <w:tblW w:w="10445" w:type="dxa"/>
          <w:tblInd w:w="-75" w:type="dxa"/>
          <w:tblLayout w:type="fixed"/>
          <w:tblCellMar>
            <w:top w:w="15" w:type="dxa"/>
            <w:left w:w="15" w:type="dxa"/>
            <w:bottom w:w="15" w:type="dxa"/>
            <w:right w:w="15" w:type="dxa"/>
          </w:tblCellMar>
          <w:tblLook w:val="04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Working Draft</w:t>
            </w:r>
          </w:p>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 xml:space="preserve">New/changed text appears in </w:t>
            </w:r>
            <w:r>
              <w:rPr>
                <w:rFonts w:ascii="Helvetica" w:hAnsi="Helvetica"/>
                <w:b/>
                <w:bCs/>
                <w:color w:val="FF0000"/>
                <w:sz w:val="20"/>
                <w:szCs w:val="20"/>
              </w:rPr>
              <w:t xml:space="preserve">red </w:t>
            </w:r>
            <w:r>
              <w:rPr>
                <w:rFonts w:ascii="Helvetica" w:hAnsi="Helvetica"/>
                <w:b/>
                <w:bCs/>
                <w:sz w:val="20"/>
                <w:szCs w:val="20"/>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Notes, Comments, Questions</w:t>
            </w:r>
          </w:p>
        </w:tc>
      </w:tr>
      <w:tr>
        <w:tblPrEx>
          <w:tblW w:w="10445" w:type="dxa"/>
          <w:tblInd w:w="-75" w:type="dxa"/>
          <w:tblLayout w:type="fixed"/>
          <w:tblCellMar>
            <w:top w:w="15" w:type="dxa"/>
            <w:left w:w="15" w:type="dxa"/>
            <w:bottom w:w="15" w:type="dxa"/>
            <w:right w:w="15" w:type="dxa"/>
          </w:tblCellMar>
          <w:tblLook w:val="04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75"/>
              <w:rPr>
                <w:rStyle w:val="DefaultParagraphFont"/>
                <w:rFonts w:ascii="Helvetica" w:hAnsi="Helvetica"/>
                <w:bCs/>
                <w:sz w:val="20"/>
                <w:szCs w:val="20"/>
              </w:rPr>
            </w:pPr>
            <w:r>
              <w:rPr>
                <w:rFonts w:ascii="Helvetica" w:hAnsi="Helvetica"/>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firstLine="0"/>
              <w:rPr>
                <w:rStyle w:val="DefaultParagraphFont"/>
                <w:rFonts w:ascii="Helvetica" w:hAnsi="Helvetica"/>
                <w:bCs/>
                <w:sz w:val="20"/>
                <w:szCs w:val="20"/>
              </w:rPr>
            </w:pP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operation and evolution of the DNS root name server system</w:t>
            </w: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36"/>
              <w:rPr>
                <w:rStyle w:val="DefaultParagraphFont"/>
                <w:rFonts w:ascii="Helvetica" w:hAnsi="Helvetica"/>
                <w:bCs/>
                <w:sz w:val="20"/>
                <w:szCs w:val="20"/>
              </w:rPr>
            </w:pPr>
            <w:r>
              <w:rPr>
                <w:rFonts w:ascii="Helvetica" w:hAnsi="Helvetica"/>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firstLine="0"/>
              <w:rPr>
                <w:rStyle w:val="DefaultParagraphFont"/>
                <w:rFonts w:ascii="Helvetica" w:hAnsi="Helvetica"/>
                <w:bCs/>
                <w:sz w:val="20"/>
                <w:szCs w:val="20"/>
              </w:rPr>
            </w:pP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operation and evolution of the DNS root name server system</w:t>
            </w: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policy development reasonably and appropriately related to these technical functions.</w:t>
            </w: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domain names, ICANN’s mission is to coordinate the development and implementation of </w:t>
            </w:r>
            <w:r>
              <w:rPr>
                <w:rFonts w:ascii="Helvetica" w:hAnsi="Helvetica"/>
                <w:bCs/>
                <w:color w:val="FF0000"/>
                <w:sz w:val="20"/>
                <w:szCs w:val="20"/>
              </w:rPr>
              <w:t xml:space="preserve">policy developed through a bottom-up, consensus-based multistakeholder process that is designed to </w:t>
            </w:r>
            <w:r>
              <w:rPr>
                <w:rFonts w:ascii="Helvetica" w:hAnsi="Helvetica"/>
                <w:bCs/>
                <w:i/>
                <w:iCs/>
                <w:color w:val="FF0000"/>
                <w:sz w:val="20"/>
                <w:szCs w:val="20"/>
              </w:rPr>
              <w:t>ensure the stable and secure operation of the Internet’s unique names systems, and for which uniform or coordinated resolution is reasonably necessary to facilitate the openness, interoperability, resilience, security and/or stability of the DNS.</w:t>
            </w:r>
          </w:p>
          <w:p>
            <w:pPr>
              <w:numPr>
                <w:ilvl w:val="0"/>
                <w:numId w:val="0"/>
              </w:numPr>
              <w:ind w:left="36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IP addresses and AS numbers, ICANN’s mission is </w:t>
            </w:r>
            <w:r>
              <w:rPr>
                <w:rFonts w:ascii="Helvetica" w:hAnsi="Helvetica"/>
                <w:bCs/>
                <w:color w:val="FF0000"/>
                <w:sz w:val="20"/>
                <w:szCs w:val="20"/>
              </w:rPr>
              <w:t>described in the ASO MoU between ICANN and RIRs</w:t>
            </w:r>
          </w:p>
          <w:p>
            <w:pPr>
              <w:numPr>
                <w:ilvl w:val="0"/>
                <w:numId w:val="0"/>
              </w:numPr>
              <w:ind w:left="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protocol port and parameter numbers, ICANN’s mission is to </w:t>
            </w:r>
            <w:r>
              <w:rPr>
                <w:rFonts w:ascii="Helvetica" w:hAnsi="Helvetica"/>
                <w:bCs/>
                <w:i/>
                <w:iCs/>
                <w:color w:val="FF0000"/>
                <w:sz w:val="20"/>
                <w:szCs w:val="20"/>
                <w:highlight w:val="yellow"/>
              </w:rPr>
              <w:t>[to be provided by the IETF]</w:t>
            </w:r>
          </w:p>
          <w:p>
            <w:pPr>
              <w:numPr>
                <w:ilvl w:val="0"/>
                <w:numId w:val="0"/>
              </w:numPr>
              <w:ind w:left="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i/>
                <w:iCs/>
                <w:color w:val="FF0000"/>
                <w:sz w:val="20"/>
                <w:szCs w:val="20"/>
              </w:rPr>
            </w:pPr>
            <w:r>
              <w:rPr>
                <w:rFonts w:ascii="Helvetica" w:hAnsi="Helvetica"/>
                <w:bCs/>
                <w:i/>
                <w:iCs/>
                <w:color w:val="FF0000"/>
                <w:sz w:val="20"/>
                <w:szCs w:val="20"/>
              </w:rPr>
              <w:t xml:space="preserve">In this role, with respect to the DNS root server system, ICANN’s mission is to </w:t>
            </w:r>
            <w:r>
              <w:rPr>
                <w:rFonts w:ascii="Helvetica" w:hAnsi="Helvetica"/>
                <w:bCs/>
                <w:i/>
                <w:iCs/>
                <w:color w:val="FF0000"/>
                <w:sz w:val="20"/>
                <w:szCs w:val="20"/>
                <w:highlight w:val="yellow"/>
              </w:rPr>
              <w:t>[to be provided by root server operators]</w:t>
            </w:r>
            <w:r>
              <w:rPr>
                <w:rStyle w:val="FootnoteReference"/>
                <w:rFonts w:ascii="Helvetica" w:hAnsi="Helvetica"/>
                <w:bCs/>
                <w:i/>
                <w:iCs/>
                <w:color w:val="FF0000"/>
                <w:sz w:val="20"/>
                <w:szCs w:val="20"/>
                <w:highlight w:val="yellow"/>
                <w:vertAlign w:val="superscript"/>
              </w:rPr>
              <w:t xml:space="preserve"> </w:t>
            </w:r>
          </w:p>
          <w:p>
            <w:pPr>
              <w:numPr>
                <w:ilvl w:val="0"/>
                <w:numId w:val="0"/>
              </w:numPr>
              <w:ind w:left="360" w:firstLine="0"/>
              <w:rPr>
                <w:rStyle w:val="DefaultParagraphFont"/>
                <w:rFonts w:ascii="Helvetica" w:hAnsi="Helvetica"/>
                <w:bCs/>
                <w:i/>
                <w:iCs/>
                <w:color w:val="FF0000"/>
                <w:sz w:val="20"/>
                <w:szCs w:val="20"/>
              </w:rPr>
            </w:pPr>
          </w:p>
          <w:p>
            <w:pPr>
              <w:numPr>
                <w:numId w:val="24"/>
              </w:numPr>
              <w:ind w:left="360" w:hanging="436"/>
              <w:rPr>
                <w:rStyle w:val="DefaultParagraphFont"/>
                <w:rFonts w:ascii="Helvetica" w:hAnsi="Helvetica"/>
                <w:bCs/>
                <w:sz w:val="20"/>
                <w:szCs w:val="20"/>
              </w:rPr>
            </w:pPr>
            <w:r>
              <w:rPr>
                <w:rFonts w:ascii="Helvetica" w:hAnsi="Helvetica"/>
                <w:bCs/>
                <w:color w:val="FF0000"/>
                <w:sz w:val="20"/>
                <w:szCs w:val="20"/>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08"/>
              <w:rPr>
                <w:rStyle w:val="DefaultParagraphFont"/>
                <w:rFonts w:ascii="Helvetica" w:hAnsi="Helvetica"/>
                <w:bCs/>
                <w:sz w:val="20"/>
                <w:szCs w:val="20"/>
              </w:rPr>
            </w:pPr>
            <w:r>
              <w:rPr>
                <w:rFonts w:ascii="Helvetica" w:hAnsi="Helvetica"/>
                <w:bCs/>
                <w:i/>
                <w:iCs/>
                <w:sz w:val="20"/>
                <w:szCs w:val="20"/>
              </w:rPr>
              <w:t>The additional language is intended clarify, but not to either diminish or expand ICANN’s current Mission. The proposed Mission statement also reflects ICANN’s obligation under the</w:t>
            </w:r>
            <w:r>
              <w:fldChar w:fldCharType="begin"/>
            </w:r>
            <w:r>
              <w:rPr>
                <w:rFonts w:ascii="Helvetica" w:hAnsi="Helvetica"/>
                <w:sz w:val="22"/>
              </w:rPr>
              <w:instrText xml:space="preserve"> HYPERLINK "https://www.icann.org/resources/pages/affirmation-of-commitments-2009-09-30-en" </w:instrText>
            </w:r>
            <w:r>
              <w:fldChar w:fldCharType="separate"/>
            </w:r>
            <w:r>
              <w:rPr>
                <w:rStyle w:val="Hyperlink"/>
                <w:rFonts w:ascii="Helvetica" w:hAnsi="Helvetica"/>
                <w:bCs/>
                <w:i/>
                <w:iCs/>
                <w:color w:val="0000FF" w:themeColor="hyperlink"/>
                <w:sz w:val="20"/>
                <w:szCs w:val="20"/>
                <w:u w:val="single"/>
              </w:rPr>
              <w:t xml:space="preserve"> Affirmation of Commitment</w:t>
            </w:r>
            <w:r>
              <w:fldChar w:fldCharType="end"/>
            </w:r>
            <w:r>
              <w:rPr>
                <w:rFonts w:ascii="Helvetica" w:hAnsi="Helvetica"/>
                <w:bCs/>
                <w:i/>
                <w:iCs/>
                <w:sz w:val="20"/>
                <w:szCs w:val="20"/>
              </w:rPr>
              <w:t>s (AoC).</w:t>
            </w: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numId w:val="24"/>
              </w:numPr>
              <w:ind w:left="360" w:hanging="408"/>
              <w:rPr>
                <w:rStyle w:val="DefaultParagraphFont"/>
                <w:rFonts w:ascii="Helvetica" w:hAnsi="Helvetica"/>
                <w:sz w:val="22"/>
              </w:rPr>
            </w:pPr>
            <w:r>
              <w:rPr>
                <w:rFonts w:ascii="Helvetica" w:hAnsi="Helvetica"/>
                <w:sz w:val="22"/>
              </w:rPr>
              <w:t xml:space="preserve">Some members of the CCWG-Accountability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p>
          <w:p>
            <w:pPr>
              <w:numPr>
                <w:ilvl w:val="0"/>
                <w:numId w:val="0"/>
              </w:numPr>
              <w:ind w:left="360" w:hanging="360"/>
              <w:rPr>
                <w:rStyle w:val="DefaultParagraphFont"/>
                <w:rFonts w:ascii="Helvetica" w:hAnsi="Helvetica"/>
                <w:bCs/>
                <w:sz w:val="20"/>
                <w:szCs w:val="20"/>
              </w:rPr>
            </w:pPr>
          </w:p>
        </w:tc>
      </w:tr>
    </w:tbl>
    <w:p>
      <w:pPr>
        <w:numPr>
          <w:ilvl w:val="0"/>
          <w:numId w:val="0"/>
        </w:numPr>
        <w:ind w:left="360"/>
        <w:rPr>
          <w:b/>
          <w:bCs/>
          <w:szCs w:val="22"/>
        </w:rPr>
      </w:pPr>
    </w:p>
    <w:p>
      <w:pPr>
        <w:numPr>
          <w:ilvl w:val="0"/>
          <w:numId w:val="0"/>
        </w:numPr>
        <w:ind w:left="360"/>
        <w:rPr>
          <w:b/>
          <w:bCs/>
          <w:szCs w:val="22"/>
        </w:rPr>
      </w:pPr>
      <w:r>
        <w:rPr>
          <w:b/>
          <w:bCs/>
          <w:szCs w:val="22"/>
        </w:rPr>
        <w:t>COMMITMENTS AND CORE VALUES</w:t>
      </w:r>
    </w:p>
    <w:p>
      <w:pPr>
        <w:numPr>
          <w:ilvl w:val="0"/>
          <w:numId w:val="0"/>
        </w:numPr>
        <w:ind w:left="360"/>
        <w:rPr>
          <w:bCs/>
          <w:szCs w:val="22"/>
        </w:rPr>
      </w:pPr>
    </w:p>
    <w:p>
      <w:pPr>
        <w:tabs>
          <w:tab w:val="left" w:pos="9180"/>
        </w:tabs>
        <w:ind w:hanging="540"/>
        <w:rPr>
          <w:bCs/>
          <w:szCs w:val="22"/>
        </w:rPr>
      </w:pPr>
      <w:r>
        <w:rPr>
          <w:bCs/>
          <w:szCs w:val="22"/>
        </w:rPr>
        <w:t xml:space="preserve">The CCWG-Accountability proposes to ensure that all elements of the </w:t>
      </w:r>
      <w:r>
        <w:fldChar w:fldCharType="begin"/>
      </w:r>
      <w:r>
        <w:instrText xml:space="preserve"> HYPERLINK "https://www.icann.org/en/about/agreements/aoc/affirmation-of-commitments-30sep09-en.htm" </w:instrText>
      </w:r>
      <w:r>
        <w:fldChar w:fldCharType="separate"/>
      </w:r>
      <w:r>
        <w:rPr>
          <w:rStyle w:val="Hyperlink"/>
          <w:bCs/>
          <w:szCs w:val="22"/>
        </w:rPr>
        <w:t>Affirmation of Commitments</w:t>
      </w:r>
      <w:r>
        <w:fldChar w:fldCharType="end"/>
      </w:r>
      <w:r>
        <w:rPr>
          <w:bCs/>
          <w:szCs w:val="22"/>
        </w:rPr>
        <w:t xml:space="preserve"> 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8(b)</w:t>
      </w:r>
      <w:r>
        <w:rPr>
          <w:rFonts w:cs="Times New Roman"/>
          <w:bCs/>
          <w:szCs w:val="22"/>
        </w:rPr>
        <w:t xml:space="preserve">, ICANN commits to remain a not for profit corporation, headquartered in the United States of America with offices around the world to meet the needs of a global community. </w:t>
      </w:r>
    </w:p>
    <w:p>
      <w:pPr>
        <w:pStyle w:val="ListParagraph"/>
        <w:numPr>
          <w:ilvl w:val="1"/>
          <w:numId w:val="3"/>
        </w:numPr>
        <w:spacing w:line="240" w:lineRule="auto"/>
        <w:ind w:left="2880" w:hanging="540"/>
        <w:rPr>
          <w:rFonts w:cs="Times New Roman"/>
          <w:bCs/>
          <w:szCs w:val="22"/>
        </w:rPr>
      </w:pPr>
      <w:r>
        <w:rPr>
          <w:rFonts w:cs="Times New Roman"/>
          <w:bCs/>
          <w:szCs w:val="22"/>
        </w:rPr>
        <w:t>Article XVIII, Section 1 of the Bylaws currently provide that  </w:t>
      </w:r>
      <w:r>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spacing w:line="240" w:lineRule="auto"/>
        <w:ind w:left="2880" w:hanging="540"/>
        <w:rPr>
          <w:rFonts w:cs="Times New Roman"/>
          <w:bCs/>
          <w:szCs w:val="22"/>
        </w:rPr>
      </w:pPr>
      <w:r>
        <w:rPr>
          <w:rFonts w:cs="Times New Roman"/>
          <w:bCs/>
          <w:szCs w:val="22"/>
        </w:rPr>
        <w:t>As set forth in the current Articles of Incorporation,</w:t>
      </w:r>
      <w:r>
        <w:rPr>
          <w:rFonts w:cs="Times New Roman"/>
          <w:bCs/>
          <w:i/>
          <w:iCs/>
          <w:szCs w:val="22"/>
        </w:rPr>
        <w:t xml:space="preserve"> </w:t>
      </w:r>
      <w:r>
        <w:rPr>
          <w:rFonts w:cs="Times New Roman"/>
          <w:bCs/>
          <w:szCs w:val="22"/>
        </w:rPr>
        <w:t xml:space="preserve">ICANN’s is incorporated as a </w:t>
      </w:r>
      <w:r>
        <w:rPr>
          <w:rFonts w:cs="Times New Roman"/>
          <w:bCs/>
          <w:i/>
          <w:iCs/>
          <w:szCs w:val="22"/>
        </w:rPr>
        <w:t>“nonprofit public benefit corporation under the California Nonprofit Public Benefit Corporation Law for charitable and public purposes.”</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7</w:t>
      </w:r>
      <w:r>
        <w:rPr>
          <w:rFonts w:cs="Times New Roman"/>
          <w:bCs/>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CCWG-Accountability proposes to incorporate this commitment into Bylaws Article III, which governs transparency.</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4</w:t>
      </w:r>
      <w:r>
        <w:rPr>
          <w:rFonts w:cs="Times New Roman"/>
          <w:bCs/>
          <w:szCs w:val="22"/>
        </w:rPr>
        <w:t>, ICANN commits to perform and publish analysis of the positive and negative effects of its decisions on the public.   The CCWG-Accountability proposes to incorporate this commitment into Bylaws Article III, which governs transparency.</w:t>
      </w:r>
    </w:p>
    <w:p>
      <w:pPr>
        <w:ind w:hanging="540"/>
      </w:pPr>
      <w:r>
        <w:t xml:space="preserve">In each case above, any changes to the relevant governing documents would be subject to rejection by the community or a direction that the Board reconsider the proposed change in accordance with the recommendations set out in Section 2.6.3 of the CCWG-Accountability Draft Report. </w:t>
      </w:r>
    </w:p>
    <w:p>
      <w:pPr>
        <w:numPr>
          <w:ilvl w:val="0"/>
          <w:numId w:val="0"/>
        </w:numPr>
        <w:ind w:left="360"/>
        <w:rPr>
          <w:bCs/>
          <w:szCs w:val="22"/>
        </w:rPr>
      </w:pPr>
    </w:p>
    <w:tbl>
      <w:tblPr>
        <w:tblW w:w="0" w:type="auto"/>
        <w:tblInd w:w="0" w:type="dxa"/>
        <w:tblLayout w:type="fixed"/>
        <w:tblCellMar>
          <w:top w:w="15" w:type="dxa"/>
          <w:left w:w="15" w:type="dxa"/>
          <w:bottom w:w="15" w:type="dxa"/>
          <w:right w:w="15" w:type="dxa"/>
        </w:tblCellMar>
        <w:tblLook w:val="04A0"/>
      </w:tblPr>
      <w:tblGrid>
        <w:gridCol w:w="3356"/>
        <w:gridCol w:w="3357"/>
        <w:gridCol w:w="3357"/>
      </w:tblGrid>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Current Bylaws Language</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Working Draft</w:t>
            </w:r>
          </w:p>
          <w:p>
            <w:pPr>
              <w:numPr>
                <w:ilvl w:val="0"/>
                <w:numId w:val="0"/>
              </w:numPr>
              <w:ind w:left="0" w:firstLine="0"/>
              <w:rPr>
                <w:rStyle w:val="DefaultParagraphFont"/>
                <w:rFonts w:ascii="Helvetica" w:hAnsi="Helvetica"/>
                <w:b/>
                <w:bCs/>
                <w:sz w:val="20"/>
                <w:szCs w:val="20"/>
              </w:rPr>
            </w:pPr>
            <w:r>
              <w:rPr>
                <w:rFonts w:ascii="Helvetica" w:hAnsi="Helvetica"/>
                <w:b/>
                <w:bCs/>
                <w:sz w:val="20"/>
                <w:szCs w:val="20"/>
              </w:rPr>
              <w:t xml:space="preserve">New/changed text appears in </w:t>
            </w:r>
            <w:r>
              <w:rPr>
                <w:rFonts w:ascii="Helvetica" w:hAnsi="Helvetica"/>
                <w:b/>
                <w:bCs/>
                <w:color w:val="FF0000"/>
                <w:sz w:val="20"/>
                <w:szCs w:val="20"/>
              </w:rPr>
              <w:t>red</w:t>
            </w:r>
            <w:r>
              <w:rPr>
                <w:rFonts w:ascii="Helvetica" w:hAnsi="Helvetica"/>
                <w:b/>
                <w:bCs/>
                <w:sz w:val="20"/>
                <w:szCs w:val="20"/>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Notes, Comments, Questions</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60"/>
              <w:rPr>
                <w:rStyle w:val="DefaultParagraphFont"/>
                <w:rFonts w:ascii="Helvetica" w:hAnsi="Helvetica"/>
                <w:bCs/>
                <w:sz w:val="20"/>
                <w:szCs w:val="20"/>
              </w:rPr>
            </w:pPr>
            <w:r>
              <w:rPr>
                <w:rFonts w:ascii="Helvetica" w:hAnsi="Helvetica"/>
                <w:bCs/>
                <w:sz w:val="20"/>
                <w:szCs w:val="20"/>
              </w:rPr>
              <w:t>Bylaws re reconciling competing Core Values</w:t>
            </w:r>
          </w:p>
          <w:p>
            <w:pPr>
              <w:numPr>
                <w:ilvl w:val="0"/>
                <w:numId w:val="0"/>
              </w:numPr>
              <w:ind w:left="360" w:hanging="360"/>
              <w:rPr>
                <w:rStyle w:val="DefaultParagraphFont"/>
                <w:rFonts w:ascii="Helvetica" w:hAnsi="Helvetica"/>
                <w:bCs/>
                <w:sz w:val="20"/>
                <w:szCs w:val="20"/>
              </w:rPr>
            </w:pPr>
          </w:p>
          <w:p>
            <w:pPr>
              <w:numPr>
                <w:numId w:val="24"/>
              </w:numPr>
              <w:ind w:left="360" w:hanging="360"/>
              <w:rPr>
                <w:rStyle w:val="DefaultParagraphFont"/>
                <w:rFonts w:ascii="Helvetica" w:hAnsi="Helvetica"/>
                <w:bCs/>
                <w:sz w:val="20"/>
                <w:szCs w:val="20"/>
              </w:rPr>
            </w:pPr>
            <w:r>
              <w:rPr>
                <w:rFonts w:ascii="Helvetica" w:hAnsi="Helvetica"/>
                <w:bCs/>
                <w:sz w:val="20"/>
                <w:szCs w:val="20"/>
              </w:rPr>
              <w:t>In performing its Mission, the following core values should guide the decisions and actions of ICANN: [Core Values Listed]</w:t>
            </w:r>
          </w:p>
          <w:p>
            <w:pPr>
              <w:numPr>
                <w:ilvl w:val="0"/>
                <w:numId w:val="0"/>
              </w:numPr>
              <w:ind w:left="360" w:hanging="360"/>
              <w:rPr>
                <w:rStyle w:val="DefaultParagraphFont"/>
                <w:rFonts w:ascii="Helvetica" w:hAnsi="Helvetica"/>
                <w:bCs/>
                <w:sz w:val="20"/>
                <w:szCs w:val="20"/>
              </w:rPr>
            </w:pPr>
          </w:p>
          <w:p>
            <w:pPr>
              <w:numPr>
                <w:numId w:val="24"/>
              </w:numPr>
              <w:ind w:left="360" w:hanging="360"/>
              <w:rPr>
                <w:rStyle w:val="DefaultParagraphFont"/>
                <w:rFonts w:ascii="Helvetica" w:hAnsi="Helvetica"/>
                <w:bCs/>
                <w:sz w:val="20"/>
                <w:szCs w:val="20"/>
              </w:rPr>
            </w:pPr>
            <w:r>
              <w:rPr>
                <w:rFonts w:ascii="Helvetica" w:hAnsi="Helvetica"/>
                <w:bCs/>
                <w:sz w:val="20"/>
                <w:szCs w:val="20"/>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86"/>
              <w:rPr>
                <w:rStyle w:val="DefaultParagraphFont"/>
                <w:rFonts w:ascii="Helvetica" w:hAnsi="Helvetica"/>
                <w:bCs/>
                <w:sz w:val="20"/>
                <w:szCs w:val="20"/>
              </w:rPr>
            </w:pPr>
            <w:r>
              <w:rPr>
                <w:rFonts w:ascii="Helvetica" w:hAnsi="Helvetica"/>
                <w:bCs/>
                <w:color w:val="FF0000"/>
                <w:sz w:val="20"/>
                <w:szCs w:val="20"/>
              </w:rPr>
              <w:t>Commitments</w:t>
            </w:r>
            <w:r>
              <w:rPr>
                <w:rFonts w:ascii="Helvetica" w:hAnsi="Helvetica"/>
                <w:bCs/>
                <w:sz w:val="20"/>
                <w:szCs w:val="20"/>
              </w:rPr>
              <w:t xml:space="preserve"> and Core Values</w:t>
            </w:r>
          </w:p>
          <w:p>
            <w:pPr>
              <w:numPr>
                <w:ilvl w:val="0"/>
                <w:numId w:val="0"/>
              </w:numPr>
              <w:ind w:left="360" w:hanging="386"/>
              <w:rPr>
                <w:rStyle w:val="DefaultParagraphFont"/>
                <w:rFonts w:ascii="Helvetica" w:hAnsi="Helvetica"/>
                <w:bCs/>
                <w:sz w:val="20"/>
                <w:szCs w:val="20"/>
              </w:rPr>
            </w:pPr>
          </w:p>
          <w:p>
            <w:pPr>
              <w:numPr>
                <w:numId w:val="24"/>
              </w:numPr>
              <w:ind w:left="360" w:hanging="386"/>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strike/>
                <w:color w:val="FF0000"/>
                <w:sz w:val="20"/>
                <w:szCs w:val="20"/>
              </w:rPr>
              <w:t xml:space="preserve">performing </w:t>
            </w:r>
            <w:r>
              <w:rPr>
                <w:rFonts w:ascii="Helvetica" w:hAnsi="Helvetica"/>
                <w:bCs/>
                <w:color w:val="FF0000"/>
                <w:sz w:val="20"/>
                <w:szCs w:val="20"/>
              </w:rPr>
              <w:t>carrying out</w:t>
            </w:r>
            <w:r>
              <w:rPr>
                <w:rFonts w:ascii="Helvetica" w:hAnsi="Helvetica"/>
                <w:bCs/>
                <w:sz w:val="20"/>
                <w:szCs w:val="20"/>
              </w:rPr>
              <w:t xml:space="preserve"> its Mission, ICANN </w:t>
            </w:r>
            <w:r>
              <w:rPr>
                <w:rFonts w:ascii="Helvetica" w:hAnsi="Helvetica"/>
                <w:bCs/>
                <w:color w:val="FF0000"/>
                <w:sz w:val="20"/>
                <w:szCs w:val="20"/>
              </w:rPr>
              <w:t>will act in a manner that complies with and reflects ICANN’s Commitments and respects ICANN’s Core Values, both described below.</w:t>
            </w:r>
            <w:r>
              <w:rPr>
                <w:rFonts w:ascii="Helvetica" w:hAnsi="Helvetica"/>
                <w:bCs/>
                <w:sz w:val="20"/>
                <w:szCs w:val="20"/>
              </w:rPr>
              <w:t xml:space="preserve"> </w:t>
            </w:r>
          </w:p>
          <w:p>
            <w:pPr>
              <w:numPr>
                <w:ilvl w:val="0"/>
                <w:numId w:val="0"/>
              </w:numPr>
              <w:ind w:left="0" w:hanging="386"/>
              <w:rPr>
                <w:rStyle w:val="DefaultParagraphFont"/>
                <w:rFonts w:ascii="Helvetica" w:eastAsia="Times New Roman" w:hAnsi="Helvetica"/>
                <w:color w:val="333333"/>
                <w:sz w:val="20"/>
                <w:szCs w:val="20"/>
                <w:shd w:val="clear" w:color="auto" w:fill="FFFFFF"/>
              </w:rPr>
            </w:pPr>
          </w:p>
          <w:p>
            <w:pPr>
              <w:numPr>
                <w:numId w:val="24"/>
              </w:numPr>
              <w:ind w:left="360" w:hanging="386"/>
              <w:rPr>
                <w:rStyle w:val="DefaultParagraphFont"/>
                <w:rFonts w:ascii="Helvetica" w:hAnsi="Helvetica"/>
                <w:bCs/>
                <w:sz w:val="20"/>
                <w:szCs w:val="20"/>
              </w:rPr>
            </w:pPr>
            <w:r>
              <w:rPr>
                <w:rFonts w:ascii="Helvetica" w:eastAsia="Times New Roman" w:hAnsi="Helvetica"/>
                <w:color w:val="333333"/>
                <w:sz w:val="20"/>
                <w:szCs w:val="20"/>
                <w:shd w:val="clear" w:color="auto" w:fill="FFFFFF"/>
              </w:rPr>
              <w:t xml:space="preserve">These </w:t>
            </w:r>
            <w:r>
              <w:rPr>
                <w:rFonts w:ascii="Helvetica" w:eastAsia="Times New Roman" w:hAnsi="Helvetica"/>
                <w:color w:val="FF0000"/>
                <w:sz w:val="20"/>
                <w:szCs w:val="20"/>
                <w:shd w:val="clear" w:color="auto" w:fill="FFFFFF"/>
              </w:rPr>
              <w:t>Commitments</w:t>
            </w:r>
            <w:r>
              <w:rPr>
                <w:rFonts w:ascii="Helvetica" w:eastAsia="Times New Roman" w:hAnsi="Helvetica"/>
                <w:color w:val="333333"/>
                <w:sz w:val="20"/>
                <w:szCs w:val="20"/>
                <w:shd w:val="clear" w:color="auto" w:fill="FFFFFF"/>
              </w:rPr>
              <w:t xml:space="preserve"> and Core Values are </w:t>
            </w:r>
            <w:r>
              <w:rPr>
                <w:rFonts w:ascii="Helvetica" w:eastAsia="Times New Roman" w:hAnsi="Helvetica"/>
                <w:strike/>
                <w:color w:val="FF0000"/>
                <w:sz w:val="20"/>
                <w:szCs w:val="20"/>
                <w:shd w:val="clear" w:color="auto" w:fill="FFFFFF"/>
              </w:rPr>
              <w:t>deliberately expressed in very general terms, so that they may</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intended to</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apply</w:t>
            </w:r>
            <w:r>
              <w:rPr>
                <w:rFonts w:ascii="Helvetica" w:eastAsia="Times New Roman" w:hAnsi="Helvetica"/>
                <w:color w:val="333333"/>
                <w:sz w:val="20"/>
                <w:szCs w:val="20"/>
                <w:shd w:val="clear" w:color="auto" w:fill="FFFFFF"/>
              </w:rPr>
              <w:t xml:space="preserve"> </w:t>
            </w:r>
            <w:r>
              <w:rPr>
                <w:rFonts w:ascii="Helvetica" w:eastAsia="Times New Roman" w:hAnsi="Helvetica"/>
                <w:strike/>
                <w:color w:val="FF0000"/>
                <w:sz w:val="20"/>
                <w:szCs w:val="20"/>
                <w:shd w:val="clear" w:color="auto" w:fill="FFFFFF"/>
              </w:rPr>
              <w:t>provide useful and relevant guidance</w:t>
            </w:r>
            <w:r>
              <w:rPr>
                <w:rFonts w:ascii="Helvetica" w:eastAsia="Times New Roman" w:hAnsi="Helvetica"/>
                <w:color w:val="333333"/>
                <w:sz w:val="20"/>
                <w:szCs w:val="20"/>
                <w:shd w:val="clear" w:color="auto" w:fill="FFFFFF"/>
              </w:rPr>
              <w:t xml:space="preserve"> in the broadest possible range of circumstances. </w:t>
            </w:r>
            <w:r>
              <w:rPr>
                <w:rFonts w:ascii="Helvetica" w:eastAsia="Times New Roman" w:hAnsi="Helvetica"/>
                <w:strike/>
                <w:color w:val="FF0000"/>
                <w:sz w:val="20"/>
                <w:szCs w:val="20"/>
                <w:shd w:val="clear" w:color="auto" w:fill="FFFFFF"/>
              </w:rPr>
              <w:t>Because they are not narrowly prescriptive, the</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The</w:t>
            </w:r>
            <w:r>
              <w:rPr>
                <w:rFonts w:ascii="Helvetica" w:eastAsia="Times New Roman" w:hAnsi="Helvetica"/>
                <w:color w:val="333333"/>
                <w:sz w:val="20"/>
                <w:szCs w:val="20"/>
                <w:shd w:val="clear" w:color="auto" w:fill="FFFFFF"/>
              </w:rPr>
              <w:t xml:space="preserve"> specific way in which they apply, individually and collectively, to each new situation </w:t>
            </w:r>
            <w:r>
              <w:rPr>
                <w:rFonts w:ascii="Helvetica" w:eastAsia="Times New Roman" w:hAnsi="Helvetica"/>
                <w:strike/>
                <w:color w:val="FF0000"/>
                <w:sz w:val="20"/>
                <w:szCs w:val="20"/>
                <w:shd w:val="clear" w:color="auto" w:fill="FFFFFF"/>
              </w:rPr>
              <w:t>will necessarily</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may</w:t>
            </w:r>
            <w:r>
              <w:rPr>
                <w:rFonts w:ascii="Helvetica" w:eastAsia="Times New Roman" w:hAnsi="Helvetica"/>
                <w:color w:val="333333"/>
                <w:sz w:val="20"/>
                <w:szCs w:val="20"/>
                <w:shd w:val="clear" w:color="auto" w:fill="FFFFFF"/>
              </w:rPr>
              <w:t xml:space="preserve"> depend on many factors that cannot be fully anticipated or enumerated.  </w:t>
            </w:r>
            <w:r>
              <w:rPr>
                <w:rFonts w:ascii="Helvetica" w:eastAsia="Times New Roman" w:hAnsi="Helvetica"/>
                <w:strike/>
                <w:color w:val="FF0000"/>
                <w:sz w:val="20"/>
                <w:szCs w:val="20"/>
                <w:shd w:val="clear" w:color="auto" w:fill="FFFFFF"/>
              </w:rPr>
              <w:t>; and because they are statements of principle rather than practice,</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S</w:t>
            </w:r>
            <w:r>
              <w:rPr>
                <w:rFonts w:ascii="Helvetica" w:eastAsia="Times New Roman" w:hAnsi="Helvetica"/>
                <w:color w:val="333333"/>
                <w:sz w:val="20"/>
                <w:szCs w:val="20"/>
                <w:shd w:val="clear" w:color="auto" w:fill="FFFFFF"/>
              </w:rPr>
              <w:t xml:space="preserve">ituations </w:t>
            </w:r>
            <w:r>
              <w:rPr>
                <w:rFonts w:ascii="Helvetica" w:eastAsia="Times New Roman" w:hAnsi="Helvetica"/>
                <w:color w:val="FF0000"/>
                <w:sz w:val="20"/>
                <w:szCs w:val="20"/>
                <w:shd w:val="clear" w:color="auto" w:fill="FFFFFF"/>
              </w:rPr>
              <w:t>may</w:t>
            </w:r>
            <w:r>
              <w:rPr>
                <w:rFonts w:ascii="Helvetica" w:eastAsia="Times New Roman" w:hAnsi="Helvetica"/>
                <w:color w:val="333333"/>
                <w:sz w:val="20"/>
                <w:szCs w:val="20"/>
                <w:shd w:val="clear" w:color="auto" w:fill="FFFFFF"/>
              </w:rPr>
              <w:t xml:space="preserve"> </w:t>
            </w:r>
            <w:r>
              <w:rPr>
                <w:rFonts w:ascii="Helvetica" w:eastAsia="Times New Roman" w:hAnsi="Helvetica"/>
                <w:strike/>
                <w:color w:val="FF0000"/>
                <w:sz w:val="20"/>
                <w:szCs w:val="20"/>
                <w:shd w:val="clear" w:color="auto" w:fill="FFFFFF"/>
              </w:rPr>
              <w:t>will inevitably</w:t>
            </w:r>
            <w:r>
              <w:rPr>
                <w:rFonts w:ascii="Helvetica" w:eastAsia="Times New Roman" w:hAnsi="Helvetica"/>
                <w:color w:val="333333"/>
                <w:sz w:val="20"/>
                <w:szCs w:val="20"/>
                <w:shd w:val="clear" w:color="auto" w:fill="FFFFFF"/>
              </w:rPr>
              <w:t xml:space="preserve"> arise in which perfect fidelity to all </w:t>
            </w:r>
            <w:r>
              <w:rPr>
                <w:rFonts w:ascii="Helvetica" w:eastAsia="Times New Roman" w:hAnsi="Helvetica"/>
                <w:strike/>
                <w:color w:val="FF0000"/>
                <w:sz w:val="20"/>
                <w:szCs w:val="20"/>
                <w:shd w:val="clear" w:color="auto" w:fill="FFFFFF"/>
              </w:rPr>
              <w:t>eleven</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 xml:space="preserve">Fundamental </w:t>
            </w:r>
            <w:r>
              <w:rPr>
                <w:rFonts w:ascii="Helvetica" w:hAnsi="Helvetica"/>
                <w:color w:val="FF0000"/>
                <w:sz w:val="20"/>
                <w:szCs w:val="20"/>
              </w:rPr>
              <w:t>Commitments</w:t>
            </w:r>
            <w:r>
              <w:rPr>
                <w:rFonts w:ascii="Helvetica" w:eastAsia="Times New Roman" w:hAnsi="Helvetica"/>
                <w:color w:val="FF0000"/>
                <w:sz w:val="20"/>
                <w:szCs w:val="20"/>
                <w:shd w:val="clear" w:color="auto" w:fill="FFFFFF"/>
              </w:rPr>
              <w:t xml:space="preserve"> and</w:t>
            </w:r>
            <w:r>
              <w:rPr>
                <w:rFonts w:ascii="Helvetica" w:eastAsia="Times New Roman" w:hAnsi="Helvetica"/>
                <w:color w:val="333333"/>
                <w:sz w:val="20"/>
                <w:szCs w:val="20"/>
                <w:shd w:val="clear" w:color="auto" w:fill="FFFFFF"/>
              </w:rPr>
              <w:t xml:space="preserve"> Core Values simultaneously is not possible. </w:t>
            </w:r>
          </w:p>
          <w:p>
            <w:pPr>
              <w:numPr>
                <w:ilvl w:val="0"/>
                <w:numId w:val="0"/>
              </w:numPr>
              <w:ind w:left="0" w:hanging="386"/>
              <w:rPr>
                <w:rStyle w:val="DefaultParagraphFont"/>
                <w:rFonts w:ascii="Helvetica" w:hAnsi="Helvetica"/>
                <w:color w:val="FF0000"/>
                <w:sz w:val="20"/>
                <w:szCs w:val="20"/>
              </w:rPr>
            </w:pPr>
          </w:p>
          <w:p>
            <w:pPr>
              <w:numPr>
                <w:numId w:val="24"/>
              </w:numPr>
              <w:ind w:left="360" w:hanging="386"/>
              <w:rPr>
                <w:rStyle w:val="DefaultParagraphFont"/>
                <w:rFonts w:ascii="Helvetica" w:hAnsi="Helvetica"/>
                <w:bCs/>
                <w:sz w:val="20"/>
                <w:szCs w:val="20"/>
              </w:rPr>
            </w:pPr>
            <w:r>
              <w:rPr>
                <w:rFonts w:ascii="Helvetica" w:hAnsi="Helvetica"/>
                <w:color w:val="FF0000"/>
                <w:sz w:val="20"/>
                <w:szCs w:val="20"/>
              </w:rPr>
              <w:t xml:space="preserve">To the extent a Commitment must be reconciled with other Commitments and/or one or more Core Values in any particular situation, such reconciliation must be: </w:t>
            </w:r>
          </w:p>
          <w:p>
            <w:pPr>
              <w:numPr>
                <w:ilvl w:val="0"/>
                <w:numId w:val="0"/>
              </w:numPr>
              <w:ind w:left="360" w:hanging="386"/>
              <w:rPr>
                <w:rStyle w:val="DefaultParagraphFont"/>
                <w:rFonts w:ascii="Helvetica" w:hAnsi="Helvetica"/>
                <w:bCs/>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Justified by an important, specific, and articulated public interest goal that is within ICANN's Mission and consistent with a balanced application of ICANN's other Commitments and Core Values (a “Substantial and Compelling Reason in the Public Interest”); </w:t>
            </w:r>
          </w:p>
          <w:p>
            <w:pPr>
              <w:widowControl w:val="0"/>
              <w:numPr>
                <w:ilvl w:val="0"/>
                <w:numId w:val="0"/>
              </w:numPr>
              <w:autoSpaceDE w:val="0"/>
              <w:autoSpaceDN w:val="0"/>
              <w:adjustRightInd w:val="0"/>
              <w:ind w:left="0" w:hanging="386"/>
              <w:rPr>
                <w:rStyle w:val="DefaultParagraphFont"/>
                <w:rFonts w:ascii="Helvetica" w:hAnsi="Helvetica"/>
                <w:color w:val="FF0000"/>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Likely to promote that interest, taking into account competing public and private interests that are likely to be affected by the balancing; </w:t>
            </w:r>
          </w:p>
          <w:p>
            <w:pPr>
              <w:widowControl w:val="0"/>
              <w:numPr>
                <w:ilvl w:val="0"/>
                <w:numId w:val="0"/>
              </w:numPr>
              <w:autoSpaceDE w:val="0"/>
              <w:autoSpaceDN w:val="0"/>
              <w:adjustRightInd w:val="0"/>
              <w:ind w:left="0" w:hanging="386"/>
              <w:rPr>
                <w:rStyle w:val="DefaultParagraphFont"/>
                <w:rFonts w:ascii="Helvetica" w:hAnsi="Helvetica"/>
                <w:color w:val="FF0000"/>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Narrowly tailored using the least restrictive means reasonably available; and </w:t>
            </w:r>
          </w:p>
          <w:p>
            <w:pPr>
              <w:pStyle w:val="ARTICLEAL4"/>
              <w:numPr>
                <w:ilvl w:val="0"/>
                <w:numId w:val="0"/>
              </w:numPr>
              <w:tabs>
                <w:tab w:val="clear" w:pos="2880"/>
              </w:tabs>
              <w:autoSpaceDE w:val="0"/>
              <w:autoSpaceDN w:val="0"/>
              <w:adjustRightInd w:val="0"/>
              <w:spacing w:after="0"/>
              <w:ind w:left="360" w:firstLine="0"/>
              <w:outlineLvl w:val="3"/>
              <w:rPr>
                <w:rStyle w:val="DefaultParagraphFont"/>
                <w:rFonts w:ascii="Helvetica" w:eastAsia="SimSun" w:hAnsi="Helvetica"/>
                <w:color w:val="FF0000"/>
                <w:sz w:val="20"/>
                <w:szCs w:val="20"/>
              </w:rPr>
            </w:pPr>
            <w:r>
              <w:rPr>
                <w:rFonts w:ascii="Helvetica" w:eastAsia="SimSun" w:hAnsi="Helvetica"/>
                <w:color w:val="FF0000"/>
                <w:sz w:val="20"/>
                <w:szCs w:val="20"/>
              </w:rPr>
              <w:t>No broader than reasonably necessary to address the specified Substantial and Compelling Reason in the Public Interest.</w:t>
            </w:r>
          </w:p>
          <w:p>
            <w:pPr>
              <w:numPr>
                <w:ilvl w:val="0"/>
                <w:numId w:val="0"/>
              </w:numPr>
              <w:shd w:val="clear" w:color="auto" w:fill="FFFFFF"/>
              <w:ind w:left="360" w:hanging="386"/>
              <w:rPr>
                <w:rStyle w:val="DefaultParagraphFont"/>
                <w:rFonts w:ascii="Helvetica" w:hAnsi="Helvetica"/>
                <w:color w:val="333333"/>
                <w:sz w:val="20"/>
                <w:szCs w:val="20"/>
              </w:rPr>
            </w:pPr>
          </w:p>
          <w:p>
            <w:pPr>
              <w:numPr>
                <w:numId w:val="24"/>
              </w:numPr>
              <w:ind w:left="360" w:hanging="386"/>
              <w:rPr>
                <w:rStyle w:val="DefaultParagraphFont"/>
                <w:rFonts w:ascii="Helvetica" w:hAnsi="Helvetica"/>
                <w:color w:val="FF0000"/>
                <w:sz w:val="20"/>
                <w:szCs w:val="20"/>
              </w:rPr>
            </w:pPr>
            <w:r>
              <w:rPr>
                <w:rFonts w:ascii="Helvetica" w:hAnsi="Helvetica"/>
                <w:color w:val="FF0000"/>
                <w:sz w:val="20"/>
                <w:szCs w:val="20"/>
              </w:rPr>
              <w:t xml:space="preserve">In any situation where one Core Value must be reconciled with another, potentially competing Core Value, the balancing must </w:t>
            </w:r>
            <w:r>
              <w:rPr>
                <w:rFonts w:ascii="Helvetica" w:eastAsia="Times New Roman" w:hAnsi="Helvetica"/>
                <w:color w:val="FF0000"/>
                <w:sz w:val="20"/>
                <w:szCs w:val="20"/>
                <w:shd w:val="clear" w:color="auto" w:fill="FFFFFF"/>
              </w:rPr>
              <w:t>further an </w:t>
            </w:r>
            <w:r>
              <w:rPr>
                <w:rFonts w:ascii="Helvetica" w:eastAsia="Times New Roman" w:hAnsi="Helvetica"/>
                <w:iCs/>
                <w:color w:val="FF0000"/>
                <w:sz w:val="20"/>
                <w:szCs w:val="20"/>
                <w:shd w:val="clear" w:color="auto" w:fill="FFFFFF"/>
              </w:rPr>
              <w:t>important</w:t>
            </w:r>
            <w:r>
              <w:rPr>
                <w:rFonts w:ascii="Helvetica" w:eastAsia="Times New Roman" w:hAnsi="Helvetica"/>
                <w:color w:val="FF0000"/>
                <w:sz w:val="20"/>
                <w:szCs w:val="20"/>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i/>
                <w:iCs/>
                <w:sz w:val="20"/>
                <w:szCs w:val="20"/>
              </w:rPr>
            </w:pPr>
            <w:r>
              <w:rPr>
                <w:rFonts w:ascii="Helvetica" w:hAnsi="Helvetica"/>
                <w:bCs/>
                <w:i/>
                <w:iCs/>
                <w:sz w:val="20"/>
                <w:szCs w:val="20"/>
              </w:rPr>
              <w:t xml:space="preserve">ICANN’s Mission Statement articulates WHAT is in scope and includes examples of what is out of scope for ICANN.  ICANN’s “Core Values” articulate HOW ICANN is to carry out its Mission.  The CCWG-Accountability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i/>
                <w:iCs/>
                <w:sz w:val="20"/>
                <w:szCs w:val="20"/>
              </w:rPr>
            </w:pPr>
            <w:r>
              <w:rPr>
                <w:rFonts w:ascii="Helvetica" w:hAnsi="Helvetica"/>
                <w:bCs/>
                <w:i/>
                <w:iCs/>
                <w:sz w:val="20"/>
                <w:szCs w:val="20"/>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CCWG-Accountability proposes to create a two-tiered values statement consisting of ICANN “Commitments” and “Core Values.”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i/>
                <w:iCs/>
                <w:sz w:val="20"/>
                <w:szCs w:val="20"/>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rStyle w:val="DefaultParagraphFont"/>
                <w:rFonts w:ascii="Helvetica" w:hAnsi="Helvetica"/>
                <w:bCs/>
                <w:sz w:val="20"/>
                <w:szCs w:val="20"/>
              </w:rPr>
            </w:pPr>
            <w:r>
              <w:rPr>
                <w:rFonts w:ascii="Helvetica" w:hAnsi="Helvetica"/>
                <w:b/>
                <w:bCs/>
                <w:sz w:val="20"/>
                <w:szCs w:val="20"/>
              </w:rPr>
              <w:t>Section 2. CORE VALUES</w:t>
            </w:r>
            <w:r>
              <w:rPr>
                <w:rFonts w:ascii="Helvetica" w:hAnsi="Helvetica"/>
                <w:bCs/>
                <w:sz w:val="20"/>
                <w:szCs w:val="20"/>
              </w:rPr>
              <w:t>.  </w:t>
            </w:r>
          </w:p>
          <w:p>
            <w:pPr>
              <w:numPr>
                <w:numId w:val="24"/>
              </w:numPr>
              <w:ind w:left="360" w:hanging="450"/>
              <w:rPr>
                <w:rStyle w:val="DefaultParagraphFont"/>
                <w:rFonts w:ascii="Helvetica" w:hAnsi="Helvetica"/>
                <w:bCs/>
                <w:sz w:val="20"/>
                <w:szCs w:val="20"/>
              </w:rPr>
            </w:pPr>
            <w:r>
              <w:rPr>
                <w:rFonts w:ascii="Helvetica" w:hAnsi="Helvetica"/>
                <w:bCs/>
                <w:sz w:val="20"/>
                <w:szCs w:val="20"/>
              </w:rPr>
              <w:t>In performing its Mission, the following core values should guide the decisions and actions of ICANN:</w:t>
            </w:r>
          </w:p>
          <w:p>
            <w:pPr>
              <w:numPr>
                <w:ilvl w:val="0"/>
                <w:numId w:val="0"/>
              </w:numPr>
              <w:ind w:left="360" w:firstLine="0"/>
              <w:rPr>
                <w:rStyle w:val="DefaultParagraphFont"/>
                <w:rFonts w:ascii="Helvetica" w:hAnsi="Helvetica"/>
                <w:bCs/>
                <w:sz w:val="20"/>
                <w:szCs w:val="20"/>
              </w:rPr>
            </w:pP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Preserving and enhancing the operational stability, reliability, security, and global Interoperability of the Internet.</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widowControl w:val="0"/>
              <w:numPr>
                <w:numId w:val="24"/>
              </w:numPr>
              <w:tabs>
                <w:tab w:val="left" w:pos="4005"/>
              </w:tabs>
              <w:autoSpaceDE w:val="0"/>
              <w:autoSpaceDN w:val="0"/>
              <w:adjustRightInd w:val="0"/>
              <w:ind w:left="360" w:hanging="476"/>
              <w:rPr>
                <w:rStyle w:val="DefaultParagraphFont"/>
                <w:rFonts w:ascii="Helvetica" w:hAnsi="Helvetica"/>
                <w:sz w:val="20"/>
                <w:szCs w:val="20"/>
              </w:rPr>
            </w:pPr>
            <w:r>
              <w:rPr>
                <w:rFonts w:ascii="Helvetica" w:hAnsi="Helvetica"/>
                <w:color w:val="FF0000"/>
                <w:sz w:val="20"/>
                <w:szCs w:val="20"/>
              </w:rPr>
              <w:t>Commitments</w:t>
            </w:r>
            <w:r>
              <w:rPr>
                <w:rFonts w:ascii="Helvetica" w:hAnsi="Helvetica"/>
                <w:bCs/>
                <w:sz w:val="20"/>
                <w:szCs w:val="20"/>
              </w:rPr>
              <w:t>. </w:t>
            </w:r>
            <w:r>
              <w:rPr>
                <w:rFonts w:ascii="Helvetica" w:hAnsi="Helvetica"/>
                <w:sz w:val="20"/>
                <w:szCs w:val="20"/>
              </w:rPr>
              <w:t xml:space="preserve">In performing its Mission, </w:t>
            </w:r>
            <w:r>
              <w:rPr>
                <w:rFonts w:ascii="Helvetica" w:hAnsi="Helvetica"/>
                <w:strike/>
                <w:color w:val="FF0000"/>
                <w:sz w:val="20"/>
                <w:szCs w:val="20"/>
              </w:rPr>
              <w:t>the following core values should guide the decisions and actions of ICANN:</w:t>
            </w:r>
            <w:r>
              <w:rPr>
                <w:rFonts w:ascii="Helvetica" w:hAnsi="Helvetica"/>
                <w:i/>
                <w:iCs/>
                <w:sz w:val="20"/>
                <w:szCs w:val="20"/>
              </w:rPr>
              <w:t> </w:t>
            </w:r>
            <w:r>
              <w:rPr>
                <w:rFonts w:ascii="Helvetica" w:hAnsi="Helvetica"/>
                <w:color w:val="FF0000"/>
                <w:sz w:val="20"/>
                <w:szCs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w:t>
            </w:r>
            <w:r>
              <w:rPr>
                <w:rFonts w:ascii="Helvetica" w:hAnsi="Helvetica"/>
                <w:strike/>
                <w:color w:val="FF0000"/>
                <w:sz w:val="20"/>
                <w:szCs w:val="20"/>
              </w:rPr>
              <w:t>the</w:t>
            </w:r>
            <w:r>
              <w:rPr>
                <w:rFonts w:ascii="Helvetica" w:hAnsi="Helvetica"/>
                <w:color w:val="FF0000"/>
                <w:sz w:val="20"/>
                <w:szCs w:val="20"/>
              </w:rPr>
              <w:t xml:space="preserve"> </w:t>
            </w:r>
            <w:r>
              <w:rPr>
                <w:rFonts w:ascii="Helvetica" w:hAnsi="Helvetica"/>
                <w:strike/>
                <w:color w:val="FF0000"/>
                <w:sz w:val="20"/>
                <w:szCs w:val="20"/>
              </w:rPr>
              <w:t>Fundamental Rights</w:t>
            </w:r>
            <w:r>
              <w:rPr>
                <w:rFonts w:ascii="Helvetica" w:hAnsi="Helvetica"/>
                <w:color w:val="0000FF"/>
                <w:sz w:val="20"/>
                <w:szCs w:val="20"/>
              </w:rPr>
              <w:t xml:space="preserve"> </w:t>
            </w:r>
            <w:r>
              <w:rPr>
                <w:rFonts w:ascii="Helvetica" w:hAnsi="Helvetica"/>
                <w:color w:val="FF0000"/>
                <w:sz w:val="20"/>
                <w:szCs w:val="20"/>
              </w:rPr>
              <w:t>set forth below. </w:t>
            </w:r>
            <w:r>
              <w:rPr>
                <w:rFonts w:ascii="Helvetica" w:hAnsi="Helvetica"/>
                <w:sz w:val="20"/>
                <w:szCs w:val="20"/>
              </w:rPr>
              <w:t xml:space="preserve"> </w:t>
            </w:r>
            <w:r>
              <w:rPr>
                <w:rFonts w:ascii="Helvetica" w:hAnsi="Helvetica"/>
                <w:color w:val="FF0000"/>
                <w:sz w:val="20"/>
                <w:szCs w:val="20"/>
              </w:rPr>
              <w:t>Specifically, ICANN’s action must:</w:t>
            </w:r>
          </w:p>
          <w:p>
            <w:pPr>
              <w:widowControl w:val="0"/>
              <w:numPr>
                <w:ilvl w:val="0"/>
                <w:numId w:val="0"/>
              </w:numPr>
              <w:tabs>
                <w:tab w:val="left" w:pos="4005"/>
              </w:tabs>
              <w:autoSpaceDE w:val="0"/>
              <w:autoSpaceDN w:val="0"/>
              <w:adjustRightInd w:val="0"/>
              <w:ind w:left="360" w:firstLine="0"/>
              <w:rPr>
                <w:rStyle w:val="DefaultParagraphFont"/>
                <w:rFonts w:ascii="Helvetica" w:hAnsi="Helvetica"/>
                <w:sz w:val="20"/>
                <w:szCs w:val="20"/>
              </w:rPr>
            </w:pPr>
          </w:p>
          <w:p>
            <w:pPr>
              <w:widowControl w:val="0"/>
              <w:numPr>
                <w:numId w:val="24"/>
              </w:numPr>
              <w:autoSpaceDE w:val="0"/>
              <w:autoSpaceDN w:val="0"/>
              <w:adjustRightInd w:val="0"/>
              <w:ind w:left="360" w:hanging="476"/>
              <w:rPr>
                <w:rStyle w:val="DefaultParagraphFont"/>
                <w:rFonts w:ascii="Helvetica" w:hAnsi="Helvetica"/>
                <w:sz w:val="20"/>
                <w:szCs w:val="20"/>
              </w:rPr>
            </w:pPr>
            <w:r>
              <w:rPr>
                <w:rFonts w:ascii="Helvetica" w:hAnsi="Helvetica"/>
                <w:sz w:val="20"/>
                <w:szCs w:val="20"/>
              </w:rPr>
              <w:t>Preserve</w:t>
            </w:r>
            <w:r>
              <w:rPr>
                <w:rFonts w:ascii="Helvetica" w:hAnsi="Helvetica"/>
                <w:strike/>
                <w:sz w:val="20"/>
                <w:szCs w:val="20"/>
              </w:rPr>
              <w:t>ing</w:t>
            </w:r>
            <w:r>
              <w:rPr>
                <w:rFonts w:ascii="Helvetica" w:hAnsi="Helvetica"/>
                <w:sz w:val="20"/>
                <w:szCs w:val="20"/>
              </w:rPr>
              <w:t xml:space="preserve"> and enhance</w:t>
            </w:r>
            <w:r>
              <w:rPr>
                <w:rFonts w:ascii="Helvetica" w:hAnsi="Helvetica"/>
                <w:strike/>
                <w:sz w:val="20"/>
                <w:szCs w:val="20"/>
              </w:rPr>
              <w:t>ing</w:t>
            </w:r>
            <w:r>
              <w:rPr>
                <w:rFonts w:ascii="Helvetica" w:hAnsi="Helvetica"/>
                <w:sz w:val="20"/>
                <w:szCs w:val="20"/>
              </w:rPr>
              <w:t xml:space="preserve"> the operational stability, reliability, security, global interoperability, </w:t>
            </w:r>
            <w:r>
              <w:rPr>
                <w:rFonts w:ascii="Helvetica" w:hAnsi="Helvetica"/>
                <w:color w:val="FF0000"/>
                <w:sz w:val="20"/>
                <w:szCs w:val="20"/>
              </w:rPr>
              <w:t xml:space="preserve">resilience, and openness </w:t>
            </w:r>
            <w:r>
              <w:rPr>
                <w:rFonts w:ascii="Helvetica" w:hAnsi="Helvetica"/>
                <w:sz w:val="20"/>
                <w:szCs w:val="20"/>
              </w:rPr>
              <w:t xml:space="preserve">of the </w:t>
            </w:r>
            <w:r>
              <w:rPr>
                <w:rFonts w:ascii="Helvetica" w:hAnsi="Helvetica"/>
                <w:color w:val="FF0000"/>
                <w:sz w:val="20"/>
                <w:szCs w:val="20"/>
              </w:rPr>
              <w:t>DNS</w:t>
            </w:r>
            <w:r>
              <w:rPr>
                <w:rFonts w:ascii="Helvetica" w:hAnsi="Helvetica"/>
                <w:sz w:val="20"/>
                <w:szCs w:val="20"/>
              </w:rPr>
              <w:t xml:space="preserve"> </w:t>
            </w:r>
            <w:r>
              <w:rPr>
                <w:rFonts w:ascii="Helvetica" w:hAnsi="Helvetica"/>
                <w:color w:val="FF0000"/>
                <w:sz w:val="20"/>
                <w:szCs w:val="20"/>
              </w:rPr>
              <w:t>and the</w:t>
            </w:r>
            <w:r>
              <w:rPr>
                <w:rFonts w:ascii="Helvetica" w:hAnsi="Helvetica"/>
                <w:sz w:val="20"/>
                <w:szCs w:val="20"/>
              </w:rPr>
              <w:t xml:space="preserve"> Internet; </w:t>
            </w:r>
            <w:r>
              <w:rPr>
                <w:rFonts w:ascii="Helvetica" w:hAnsi="Helvetica"/>
                <w:color w:val="FF0000"/>
                <w:sz w:val="20"/>
                <w:szCs w:val="20"/>
              </w:rPr>
              <w:t xml:space="preserve">Maintain the capacity and ability to coordinate the internet DNS at the overall level and to work for the maintenance of a single, interoperable Internet; </w:t>
            </w:r>
            <w:r>
              <w:rPr>
                <w:rFonts w:ascii="Helvetica" w:hAnsi="Helvetica"/>
                <w:color w:val="333333"/>
                <w:sz w:val="20"/>
                <w:szCs w:val="20"/>
              </w:rPr>
              <w:t>Respect</w:t>
            </w:r>
            <w:r>
              <w:rPr>
                <w:rFonts w:ascii="Helvetica" w:hAnsi="Helvetica"/>
                <w:strike/>
                <w:color w:val="FF0000"/>
                <w:sz w:val="20"/>
                <w:szCs w:val="20"/>
              </w:rPr>
              <w:t>ing</w:t>
            </w:r>
            <w:r>
              <w:rPr>
                <w:rFonts w:ascii="Helvetica" w:hAnsi="Helvetica"/>
                <w:color w:val="333333"/>
                <w:sz w:val="20"/>
                <w:szCs w:val="20"/>
              </w:rPr>
              <w:t xml:space="preserve"> the creativity, innovation, and flow of information made possible by the Internet by limiting ICANN's </w:t>
            </w:r>
            <w:r>
              <w:rPr>
                <w:rFonts w:ascii="Helvetica" w:hAnsi="Helvetica"/>
                <w:sz w:val="20"/>
                <w:szCs w:val="20"/>
              </w:rPr>
              <w:t>activities to matters that are within ICANN’s Mission</w:t>
            </w:r>
            <w:r>
              <w:rPr>
                <w:rFonts w:ascii="Helvetica" w:hAnsi="Helvetica"/>
                <w:color w:val="FF0000"/>
                <w:sz w:val="20"/>
                <w:szCs w:val="20"/>
              </w:rPr>
              <w:t xml:space="preserve"> and </w:t>
            </w:r>
            <w:r>
              <w:rPr>
                <w:rFonts w:ascii="Helvetica" w:hAnsi="Helvetica"/>
                <w:sz w:val="20"/>
                <w:szCs w:val="20"/>
              </w:rPr>
              <w:t>require</w:t>
            </w:r>
            <w:r>
              <w:rPr>
                <w:rFonts w:ascii="Helvetica" w:hAnsi="Helvetica"/>
                <w:strike/>
                <w:color w:val="FF0000"/>
                <w:sz w:val="20"/>
                <w:szCs w:val="20"/>
              </w:rPr>
              <w:t>ing</w:t>
            </w:r>
            <w:r>
              <w:rPr>
                <w:rFonts w:ascii="Helvetica" w:hAnsi="Helvetica"/>
                <w:sz w:val="20"/>
                <w:szCs w:val="20"/>
              </w:rPr>
              <w:t xml:space="preserve"> or significantly benefit from global coordination;</w:t>
            </w:r>
          </w:p>
          <w:p>
            <w:pPr>
              <w:widowControl w:val="0"/>
              <w:numPr>
                <w:ilvl w:val="0"/>
                <w:numId w:val="0"/>
              </w:numPr>
              <w:autoSpaceDE w:val="0"/>
              <w:autoSpaceDN w:val="0"/>
              <w:adjustRightInd w:val="0"/>
              <w:ind w:left="360" w:firstLine="0"/>
              <w:rPr>
                <w:rStyle w:val="DefaultParagraphFont"/>
                <w:rFonts w:ascii="Helvetica" w:hAnsi="Helvetica"/>
                <w:sz w:val="20"/>
                <w:szCs w:val="20"/>
              </w:rPr>
            </w:pPr>
            <w:r>
              <w:rPr>
                <w:rFonts w:ascii="Helvetica" w:hAnsi="Helvetica"/>
                <w:color w:val="333333"/>
                <w:sz w:val="20"/>
                <w:szCs w:val="20"/>
              </w:rPr>
              <w:t>Employ</w:t>
            </w:r>
            <w:r>
              <w:rPr>
                <w:rFonts w:ascii="Helvetica" w:hAnsi="Helvetica"/>
                <w:strike/>
                <w:color w:val="FF0000"/>
                <w:sz w:val="20"/>
                <w:szCs w:val="20"/>
              </w:rPr>
              <w:t>ing</w:t>
            </w:r>
            <w:r>
              <w:rPr>
                <w:rFonts w:ascii="Helvetica" w:hAnsi="Helvetica"/>
                <w:color w:val="333333"/>
                <w:sz w:val="20"/>
                <w:szCs w:val="20"/>
              </w:rPr>
              <w:t xml:space="preserve"> </w:t>
            </w:r>
            <w:r>
              <w:rPr>
                <w:rFonts w:ascii="Helvetica" w:hAnsi="Helvetica"/>
                <w:sz w:val="20"/>
                <w:szCs w:val="20"/>
              </w:rPr>
              <w:t xml:space="preserve">open, transparent </w:t>
            </w:r>
            <w:r>
              <w:rPr>
                <w:rFonts w:ascii="Helvetica" w:hAnsi="Helvetica"/>
                <w:color w:val="FF0000"/>
                <w:sz w:val="20"/>
                <w:szCs w:val="20"/>
              </w:rPr>
              <w:t>and bottom-up, private sector led multistakeholder</w:t>
            </w:r>
            <w:r>
              <w:rPr>
                <w:rFonts w:ascii="Helvetica" w:hAnsi="Helvetica"/>
                <w:sz w:val="20"/>
                <w:szCs w:val="20"/>
              </w:rPr>
              <w:t xml:space="preserve"> policy development </w:t>
            </w:r>
            <w:r>
              <w:rPr>
                <w:rFonts w:ascii="Helvetica" w:hAnsi="Helvetica"/>
                <w:strike/>
                <w:color w:val="FF0000"/>
                <w:sz w:val="20"/>
                <w:szCs w:val="20"/>
              </w:rPr>
              <w:t>mechanisms</w:t>
            </w:r>
            <w:r>
              <w:rPr>
                <w:rFonts w:ascii="Helvetica" w:hAnsi="Helvetica"/>
                <w:sz w:val="20"/>
                <w:szCs w:val="20"/>
              </w:rPr>
              <w:t xml:space="preserve"> </w:t>
            </w:r>
            <w:r>
              <w:rPr>
                <w:rFonts w:ascii="Helvetica" w:hAnsi="Helvetica"/>
                <w:color w:val="FF0000"/>
                <w:sz w:val="20"/>
                <w:szCs w:val="20"/>
              </w:rPr>
              <w:t xml:space="preserve">processes </w:t>
            </w:r>
            <w:r>
              <w:rPr>
                <w:rFonts w:ascii="Helvetica" w:hAnsi="Helvetica"/>
                <w:sz w:val="20"/>
                <w:szCs w:val="20"/>
              </w:rPr>
              <w:t xml:space="preserve">that </w:t>
            </w:r>
            <w:r>
              <w:rPr>
                <w:rFonts w:ascii="Helvetica" w:hAnsi="Helvetica"/>
                <w:color w:val="333333"/>
                <w:sz w:val="20"/>
                <w:szCs w:val="20"/>
              </w:rPr>
              <w:t xml:space="preserve">(i) </w:t>
            </w:r>
            <w:r>
              <w:rPr>
                <w:rFonts w:ascii="Helvetica" w:hAnsi="Helvetica"/>
                <w:color w:val="FF0000"/>
                <w:sz w:val="20"/>
                <w:szCs w:val="20"/>
              </w:rPr>
              <w:t>seeks input from the public, for whose benefit ICANN shall in all events act,</w:t>
            </w:r>
            <w:r>
              <w:rPr>
                <w:rFonts w:ascii="Helvetica" w:hAnsi="Helvetica"/>
                <w:b/>
                <w:color w:val="7E538E"/>
                <w:sz w:val="20"/>
                <w:szCs w:val="20"/>
              </w:rPr>
              <w:t xml:space="preserve"> </w:t>
            </w:r>
            <w:r>
              <w:rPr>
                <w:rFonts w:ascii="Helvetica" w:hAnsi="Helvetica"/>
                <w:color w:val="333333"/>
                <w:sz w:val="20"/>
                <w:szCs w:val="20"/>
              </w:rPr>
              <w:t>(ii) promote well-informed decisions based on expert advice, and (iii) ensure that those entities most affected can assist in the policy development process;</w:t>
            </w:r>
          </w:p>
          <w:p>
            <w:pPr>
              <w:numPr>
                <w:ilvl w:val="0"/>
                <w:numId w:val="0"/>
              </w:numPr>
              <w:ind w:left="360" w:firstLine="0"/>
              <w:rPr>
                <w:rStyle w:val="DefaultParagraphFont"/>
                <w:rFonts w:ascii="Helvetica" w:hAnsi="Helvetica"/>
                <w:color w:val="333333"/>
                <w:sz w:val="20"/>
                <w:szCs w:val="20"/>
              </w:rPr>
            </w:pPr>
            <w:r>
              <w:rPr>
                <w:rFonts w:ascii="Helvetica" w:hAnsi="Helvetica"/>
                <w:color w:val="333333"/>
                <w:sz w:val="20"/>
                <w:szCs w:val="20"/>
              </w:rPr>
              <w:t>Make</w:t>
            </w:r>
            <w:r>
              <w:rPr>
                <w:rFonts w:ascii="Helvetica" w:hAnsi="Helvetica"/>
                <w:strike/>
                <w:sz w:val="20"/>
                <w:szCs w:val="20"/>
              </w:rPr>
              <w:t>ing</w:t>
            </w:r>
            <w:r>
              <w:rPr>
                <w:rFonts w:ascii="Helvetica" w:hAnsi="Helvetica"/>
                <w:color w:val="333333"/>
                <w:sz w:val="20"/>
                <w:szCs w:val="20"/>
              </w:rPr>
              <w:t xml:space="preserve"> decisions by applying documented policies </w:t>
            </w:r>
            <w:r>
              <w:rPr>
                <w:rFonts w:ascii="Helvetica" w:hAnsi="Helvetica"/>
                <w:sz w:val="20"/>
                <w:szCs w:val="20"/>
              </w:rPr>
              <w:t xml:space="preserve">consistently, </w:t>
            </w:r>
            <w:r>
              <w:rPr>
                <w:rFonts w:ascii="Helvetica" w:hAnsi="Helvetica"/>
                <w:color w:val="333333"/>
                <w:sz w:val="20"/>
                <w:szCs w:val="20"/>
              </w:rPr>
              <w:t xml:space="preserve">neutrally, objectively, and fairly, </w:t>
            </w:r>
            <w:r>
              <w:rPr>
                <w:rFonts w:ascii="Helvetica" w:hAnsi="Helvetica"/>
                <w:strike/>
                <w:sz w:val="20"/>
                <w:szCs w:val="20"/>
              </w:rPr>
              <w:t>with integrity and fairness</w:t>
            </w:r>
            <w:r>
              <w:rPr>
                <w:rFonts w:ascii="Helvetica" w:hAnsi="Helvetica"/>
                <w:color w:val="333333"/>
                <w:sz w:val="20"/>
                <w:szCs w:val="20"/>
              </w:rPr>
              <w:t xml:space="preserve"> </w:t>
            </w:r>
            <w:r>
              <w:rPr>
                <w:rFonts w:ascii="Helvetica" w:hAnsi="Helvetica"/>
                <w:sz w:val="20"/>
                <w:szCs w:val="20"/>
              </w:rPr>
              <w:t xml:space="preserve">without singling out any particular party for </w:t>
            </w:r>
            <w:r>
              <w:rPr>
                <w:rFonts w:ascii="Helvetica" w:hAnsi="Helvetica"/>
                <w:strike/>
                <w:sz w:val="20"/>
                <w:szCs w:val="20"/>
                <w:highlight w:val="yellow"/>
              </w:rPr>
              <w:t>disparate</w:t>
            </w:r>
            <w:r>
              <w:rPr>
                <w:rFonts w:ascii="Helvetica" w:hAnsi="Helvetica"/>
                <w:sz w:val="20"/>
                <w:szCs w:val="20"/>
                <w:highlight w:val="yellow"/>
              </w:rPr>
              <w:t xml:space="preserve"> discriminatory</w:t>
            </w:r>
            <w:r>
              <w:rPr>
                <w:rFonts w:ascii="Helvetica" w:hAnsi="Helvetica"/>
                <w:sz w:val="20"/>
                <w:szCs w:val="20"/>
              </w:rPr>
              <w:t xml:space="preserve"> treatment </w:t>
            </w:r>
            <w:r>
              <w:rPr>
                <w:rFonts w:ascii="Helvetica" w:hAnsi="Helvetica"/>
                <w:strike/>
                <w:sz w:val="20"/>
                <w:szCs w:val="20"/>
              </w:rPr>
              <w:t>unless justified by substantial and reasonable cause, such as the promotion of effective competition</w:t>
            </w:r>
            <w:r>
              <w:rPr>
                <w:rFonts w:ascii="Helvetica" w:hAnsi="Helvetica"/>
                <w:sz w:val="20"/>
                <w:szCs w:val="20"/>
              </w:rPr>
              <w:t>;</w:t>
            </w:r>
          </w:p>
          <w:p>
            <w:pPr>
              <w:numPr>
                <w:ilvl w:val="0"/>
                <w:numId w:val="0"/>
              </w:numPr>
              <w:ind w:left="360" w:firstLine="0"/>
              <w:rPr>
                <w:rStyle w:val="DefaultParagraphFont"/>
                <w:rFonts w:ascii="Helvetica" w:hAnsi="Helvetica"/>
                <w:color w:val="333333"/>
                <w:sz w:val="20"/>
                <w:szCs w:val="20"/>
              </w:rPr>
            </w:pPr>
            <w:r>
              <w:rPr>
                <w:rFonts w:ascii="Helvetica" w:hAnsi="Helvetica"/>
                <w:sz w:val="20"/>
                <w:szCs w:val="20"/>
              </w:rPr>
              <w:t>Remain</w:t>
            </w:r>
            <w:r>
              <w:rPr>
                <w:rFonts w:ascii="Helvetica" w:hAnsi="Helvetica"/>
                <w:strike/>
                <w:color w:val="FF0000"/>
                <w:sz w:val="20"/>
                <w:szCs w:val="20"/>
              </w:rPr>
              <w:t>ing</w:t>
            </w:r>
            <w:r>
              <w:rPr>
                <w:rFonts w:ascii="Helvetica" w:hAnsi="Helvetica"/>
                <w:sz w:val="20"/>
                <w:szCs w:val="20"/>
              </w:rPr>
              <w:t xml:space="preserve"> accountable to the Internet Community through mechanisms </w:t>
            </w:r>
            <w:r>
              <w:rPr>
                <w:rFonts w:ascii="Helvetica" w:hAnsi="Helvetica"/>
                <w:color w:val="FF0000"/>
                <w:sz w:val="20"/>
                <w:szCs w:val="20"/>
              </w:rPr>
              <w:t>defined in the Bylaws</w:t>
            </w:r>
            <w:r>
              <w:rPr>
                <w:rFonts w:ascii="Helvetica" w:hAnsi="Helvetica"/>
                <w:sz w:val="20"/>
                <w:szCs w:val="20"/>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sz w:val="20"/>
                <w:szCs w:val="20"/>
              </w:rPr>
            </w:pPr>
            <w:r>
              <w:rPr>
                <w:rFonts w:ascii="Helvetica" w:hAnsi="Helvetica"/>
                <w:bCs/>
                <w:sz w:val="20"/>
                <w:szCs w:val="20"/>
              </w:rPr>
              <w:t>This additional language is derived from ICANN’s current</w:t>
            </w:r>
            <w:r>
              <w:fldChar w:fldCharType="begin"/>
            </w:r>
            <w:r>
              <w:rPr>
                <w:rFonts w:ascii="Helvetica" w:hAnsi="Helvetica"/>
                <w:sz w:val="22"/>
              </w:rPr>
              <w:instrText xml:space="preserve"> HYPERLINK "https://www.icann.org/resources/pages/governance/articles-en" </w:instrText>
            </w:r>
            <w:r>
              <w:fldChar w:fldCharType="separate"/>
            </w:r>
            <w:r>
              <w:rPr>
                <w:rStyle w:val="Hyperlink"/>
                <w:rFonts w:ascii="Helvetica" w:hAnsi="Helvetica"/>
                <w:bCs/>
                <w:color w:val="0000FF" w:themeColor="hyperlink"/>
                <w:sz w:val="20"/>
                <w:szCs w:val="20"/>
                <w:u w:val="single"/>
              </w:rPr>
              <w:t xml:space="preserve"> Articles of Incorporation</w:t>
            </w:r>
            <w:r>
              <w:fldChar w:fldCharType="end"/>
            </w:r>
            <w:r>
              <w:rPr>
                <w:rFonts w:ascii="Helvetica" w:hAnsi="Helvetica"/>
                <w:bCs/>
                <w:sz w:val="20"/>
                <w:szCs w:val="20"/>
              </w:rPr>
              <w:t>.  This language also supports</w:t>
            </w:r>
            <w:r>
              <w:fldChar w:fldCharType="begin"/>
            </w:r>
            <w:r>
              <w:rPr>
                <w:rFonts w:ascii="Helvetica" w:hAnsi="Helvetica"/>
                <w:sz w:val="22"/>
              </w:rPr>
              <w:instrText xml:space="preserve"> HYPERLINK "https://www.icann.org/resources/pages/affirmation-of-commitments-2009-09-30-en" </w:instrText>
            </w:r>
            <w:r>
              <w:fldChar w:fldCharType="separate"/>
            </w:r>
            <w:r>
              <w:rPr>
                <w:rStyle w:val="Hyperlink"/>
                <w:rFonts w:ascii="Helvetica" w:hAnsi="Helvetica"/>
                <w:bCs/>
                <w:color w:val="0000FF" w:themeColor="hyperlink"/>
                <w:sz w:val="20"/>
                <w:szCs w:val="20"/>
                <w:u w:val="single"/>
              </w:rPr>
              <w:t xml:space="preserve"> Affirmation of Commitments</w:t>
            </w:r>
            <w:r>
              <w:fldChar w:fldCharType="end"/>
            </w:r>
            <w:r>
              <w:rPr>
                <w:rFonts w:ascii="Helvetica" w:hAnsi="Helvetica"/>
                <w:bCs/>
                <w:sz w:val="20"/>
                <w:szCs w:val="20"/>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9.2</w:t>
            </w:r>
            <w:r>
              <w:rPr>
                <w:rFonts w:ascii="Helvetica" w:hAnsi="Helvetica"/>
                <w:bCs/>
                <w:sz w:val="20"/>
                <w:szCs w:val="20"/>
              </w:rPr>
              <w:t xml:space="preserve"> </w:t>
            </w:r>
            <w:r>
              <w:rPr>
                <w:rFonts w:ascii="Helvetica" w:hAnsi="Helvetica"/>
                <w:bCs/>
                <w:i/>
                <w:iCs/>
                <w:sz w:val="20"/>
                <w:szCs w:val="20"/>
              </w:rPr>
              <w:t>and AoC Section 3(b)</w:t>
            </w:r>
            <w:r>
              <w:rPr>
                <w:rFonts w:ascii="Helvetica" w:hAnsi="Helvetica"/>
                <w:bCs/>
                <w:sz w:val="20"/>
                <w:szCs w:val="20"/>
              </w:rPr>
              <w:t xml:space="preserve"> ICANN commits to preserve the security, stability and resiliency of the DNS.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In AoC Section 8(a), ICANN affirms its commitments to maintain the capacity and ability to coordinate the Internet DNS at the overall level and to work for the maintenance of a single, interoperable Internet.</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AoC Section 8(c), ICANN commits to operate as a multi-stakeholder, private sector led organization with input from the public, for whose benefit ICANN shall in all events act.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r>
              <w:fldChar w:fldCharType="begin"/>
            </w:r>
            <w:r>
              <w:rPr>
                <w:rFonts w:ascii="Helvetica" w:hAnsi="Helvetica"/>
                <w:sz w:val="22"/>
              </w:rPr>
              <w:instrText xml:space="preserve"> HYPERLINK "http://www.oxforddictionaries.com/definition/english/prejudicial" \l "prejudicial__3" </w:instrText>
            </w:r>
            <w:r>
              <w:fldChar w:fldCharType="separate"/>
            </w:r>
            <w:r>
              <w:rPr>
                <w:rStyle w:val="Hyperlink"/>
                <w:rFonts w:ascii="Helvetica" w:hAnsi="Helvetica"/>
                <w:bCs/>
                <w:color w:val="0000FF" w:themeColor="hyperlink"/>
                <w:sz w:val="20"/>
                <w:szCs w:val="20"/>
                <w:u w:val="single"/>
              </w:rPr>
              <w:t>prejudicial</w:t>
            </w:r>
            <w:r>
              <w:fldChar w:fldCharType="end"/>
            </w:r>
            <w:r>
              <w:rPr>
                <w:rFonts w:ascii="Helvetica" w:hAnsi="Helvetica"/>
                <w:bCs/>
                <w:sz w:val="20"/>
                <w:szCs w:val="20"/>
              </w:rPr>
              <w:t xml:space="preserve"> </w:t>
            </w:r>
            <w:r>
              <w:fldChar w:fldCharType="begin"/>
            </w:r>
            <w:r>
              <w:rPr>
                <w:rFonts w:ascii="Helvetica" w:hAnsi="Helvetica"/>
                <w:sz w:val="22"/>
              </w:rPr>
              <w:instrText xml:space="preserve"> HYPERLINK "http://www.oxforddictionaries.com/definition/english/distinction" \l "distinction__3" </w:instrText>
            </w:r>
            <w:r>
              <w:fldChar w:fldCharType="separate"/>
            </w:r>
            <w:r>
              <w:rPr>
                <w:rStyle w:val="Hyperlink"/>
                <w:rFonts w:ascii="Helvetica" w:hAnsi="Helvetica"/>
                <w:bCs/>
                <w:color w:val="0000FF" w:themeColor="hyperlink"/>
                <w:sz w:val="20"/>
                <w:szCs w:val="20"/>
                <w:u w:val="single"/>
              </w:rPr>
              <w:t>distinction</w:t>
            </w:r>
            <w:r>
              <w:fldChar w:fldCharType="end"/>
            </w:r>
            <w:r>
              <w:rPr>
                <w:rFonts w:ascii="Helvetica" w:hAnsi="Helvetica"/>
                <w:bCs/>
                <w:sz w:val="20"/>
                <w:szCs w:val="20"/>
              </w:rPr>
              <w:t xml:space="preserve"> between </w:t>
            </w:r>
            <w:r>
              <w:fldChar w:fldCharType="begin"/>
            </w:r>
            <w:r>
              <w:rPr>
                <w:rFonts w:ascii="Helvetica" w:hAnsi="Helvetica"/>
                <w:sz w:val="22"/>
              </w:rPr>
              <w:instrText xml:space="preserve"> HYPERLINK "http://www.oxforddictionaries.com/definition/english/different" \l "different__3" </w:instrText>
            </w:r>
            <w:r>
              <w:fldChar w:fldCharType="separate"/>
            </w:r>
            <w:r>
              <w:rPr>
                <w:rStyle w:val="Hyperlink"/>
                <w:rFonts w:ascii="Helvetica" w:hAnsi="Helvetica"/>
                <w:bCs/>
                <w:color w:val="0000FF" w:themeColor="hyperlink"/>
                <w:sz w:val="20"/>
                <w:szCs w:val="20"/>
                <w:u w:val="single"/>
              </w:rPr>
              <w:t>different</w:t>
            </w:r>
            <w:r>
              <w:fldChar w:fldCharType="end"/>
            </w:r>
            <w:r>
              <w:rPr>
                <w:rFonts w:ascii="Helvetica" w:hAnsi="Helvetica"/>
                <w:bCs/>
                <w:sz w:val="20"/>
                <w:szCs w:val="20"/>
              </w:rPr>
              <w:t xml:space="preserve"> </w:t>
            </w:r>
            <w:r>
              <w:fldChar w:fldCharType="begin"/>
            </w:r>
            <w:r>
              <w:rPr>
                <w:rFonts w:ascii="Helvetica" w:hAnsi="Helvetica"/>
                <w:sz w:val="22"/>
              </w:rPr>
              <w:instrText xml:space="preserve"> HYPERLINK "http://www.oxforddictionaries.com/definition/english/category" \l "category__3" </w:instrText>
            </w:r>
            <w:r>
              <w:fldChar w:fldCharType="separate"/>
            </w:r>
            <w:r>
              <w:rPr>
                <w:rStyle w:val="Hyperlink"/>
                <w:rFonts w:ascii="Helvetica" w:hAnsi="Helvetica"/>
                <w:bCs/>
                <w:color w:val="0000FF" w:themeColor="hyperlink"/>
                <w:sz w:val="20"/>
                <w:szCs w:val="20"/>
                <w:u w:val="single"/>
              </w:rPr>
              <w:t>categories</w:t>
            </w:r>
            <w:r>
              <w:fldChar w:fldCharType="end"/>
            </w:r>
            <w:r>
              <w:rPr>
                <w:rFonts w:ascii="Helvetica" w:hAnsi="Helvetica"/>
                <w:bCs/>
                <w:sz w:val="20"/>
                <w:szCs w:val="20"/>
              </w:rPr>
              <w:t xml:space="preserve"> of </w:t>
            </w:r>
            <w:r>
              <w:fldChar w:fldCharType="begin"/>
            </w:r>
            <w:r>
              <w:rPr>
                <w:rFonts w:ascii="Helvetica" w:hAnsi="Helvetica"/>
                <w:sz w:val="22"/>
              </w:rPr>
              <w:instrText xml:space="preserve"> HYPERLINK "http://www.oxforddictionaries.com/definition/english/person" \l "person__3" </w:instrText>
            </w:r>
            <w:r>
              <w:fldChar w:fldCharType="separate"/>
            </w:r>
            <w:r>
              <w:rPr>
                <w:rStyle w:val="Hyperlink"/>
                <w:rFonts w:ascii="Helvetica" w:hAnsi="Helvetica"/>
                <w:bCs/>
                <w:color w:val="0000FF" w:themeColor="hyperlink"/>
                <w:sz w:val="20"/>
                <w:szCs w:val="20"/>
                <w:u w:val="single"/>
              </w:rPr>
              <w:t>people</w:t>
            </w:r>
            <w:r>
              <w:fldChar w:fldCharType="end"/>
            </w:r>
            <w:r>
              <w:rPr>
                <w:rFonts w:ascii="Helvetica" w:hAnsi="Helvetica"/>
                <w:bCs/>
                <w:sz w:val="20"/>
                <w:szCs w:val="20"/>
              </w:rPr>
              <w:t xml:space="preserve"> or things.”  This change was suggested by one of the CCWG-Accountability’s independent experts.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9.1</w:t>
            </w:r>
            <w:r>
              <w:rPr>
                <w:rFonts w:ascii="Helvetica" w:hAnsi="Helvetica"/>
                <w:bCs/>
                <w:sz w:val="20"/>
                <w:szCs w:val="20"/>
              </w:rPr>
              <w:t>, ICANN commits to maintain and improve robust mechanisms for public input, accountability, and transparency.”</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50"/>
              <w:rPr>
                <w:rStyle w:val="DefaultParagraphFont"/>
                <w:rFonts w:ascii="Helvetica" w:hAnsi="Helvetica"/>
                <w:bCs/>
                <w:sz w:val="20"/>
                <w:szCs w:val="20"/>
              </w:rPr>
            </w:pPr>
            <w:r>
              <w:rPr>
                <w:rFonts w:ascii="Helvetica" w:hAnsi="Helvetica"/>
                <w:b/>
                <w:bCs/>
                <w:sz w:val="20"/>
                <w:szCs w:val="20"/>
              </w:rPr>
              <w:t>Core Values:  </w:t>
            </w:r>
            <w:r>
              <w:rPr>
                <w:rFonts w:ascii="Helvetica" w:hAnsi="Helvetica"/>
                <w:bCs/>
                <w:sz w:val="20"/>
                <w:szCs w:val="20"/>
              </w:rPr>
              <w:t>In performing its Mission, the following core values should guide the decisions and actions of ICANN:</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4.  Seeking and supporting broad, informed participation reflecting the functional, geographic, and cultural diversity of the Internet at all levels of policy development and decision-making.</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3.  To the extent feasible and appropriate, delegating coordination functions to or recognizing the policy role of other responsible entities that reflect the interests of affected parties.</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5.  Where feasible and appropriate, depending on market mechanisms to promote and sustain a competitive environment.</w:t>
            </w:r>
          </w:p>
          <w:p>
            <w:pPr>
              <w:numPr>
                <w:ilvl w:val="0"/>
                <w:numId w:val="0"/>
              </w:numPr>
              <w:ind w:left="-9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6.  Introducing and promoting competition in the registration of domain names where practicable and beneficial in the public interest.</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9. Acting with a speed that is responsive to the needs of the Internet while, as part of the decision-making process, obtaining informed input from those entities most affected.</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Core Values:  In performing its Mission, the following core values should </w:t>
            </w:r>
            <w:r>
              <w:rPr>
                <w:rFonts w:ascii="Helvetica" w:hAnsi="Helvetica"/>
                <w:bCs/>
                <w:color w:val="FF0000"/>
                <w:sz w:val="20"/>
                <w:szCs w:val="20"/>
              </w:rPr>
              <w:t>also</w:t>
            </w:r>
            <w:r>
              <w:rPr>
                <w:rFonts w:ascii="Helvetica" w:hAnsi="Helvetica"/>
                <w:bCs/>
                <w:sz w:val="20"/>
                <w:szCs w:val="20"/>
              </w:rPr>
              <w:t xml:space="preserve"> guide the decisions and actions of ICANN:</w:t>
            </w:r>
          </w:p>
          <w:p>
            <w:pPr>
              <w:numPr>
                <w:ilvl w:val="0"/>
                <w:numId w:val="0"/>
              </w:numPr>
              <w:ind w:left="36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Seeking and supporting broad, informed participation reflecting the functional, geographic, and cultural diversity of the Internet at all levels of policy development and decision-making to </w:t>
            </w:r>
            <w:r>
              <w:rPr>
                <w:rFonts w:ascii="Helvetica" w:hAnsi="Helvetica"/>
                <w:bCs/>
                <w:color w:val="FF0000"/>
                <w:sz w:val="20"/>
                <w:szCs w:val="20"/>
              </w:rPr>
              <w:t xml:space="preserve">ensure that decisions are made in the global public interest identified through the bottom-up, multistakeholder policy development process and are accountable, transparent, and respect the bottom-up multistakeholder </w:t>
            </w:r>
            <w:r>
              <w:rPr>
                <w:rFonts w:ascii="Helvetica" w:hAnsi="Helvetica"/>
                <w:bCs/>
                <w:strike/>
                <w:color w:val="FF0000"/>
                <w:sz w:val="20"/>
                <w:szCs w:val="20"/>
              </w:rPr>
              <w:t>nature of ICANN</w:t>
            </w:r>
            <w:r>
              <w:rPr>
                <w:rFonts w:ascii="Helvetica" w:hAnsi="Helvetica"/>
                <w:bCs/>
                <w:i/>
                <w:iCs/>
                <w:color w:val="FF0000"/>
                <w:sz w:val="20"/>
                <w:szCs w:val="20"/>
              </w:rPr>
              <w:t xml:space="preserve"> </w:t>
            </w:r>
            <w:r>
              <w:rPr>
                <w:rFonts w:ascii="Helvetica" w:hAnsi="Helvetica"/>
                <w:bCs/>
                <w:iCs/>
                <w:color w:val="FF0000"/>
                <w:sz w:val="20"/>
                <w:szCs w:val="20"/>
              </w:rPr>
              <w:t>process</w:t>
            </w:r>
            <w:r>
              <w:rPr>
                <w:rFonts w:ascii="Helvetica" w:hAnsi="Helvetica"/>
                <w:bCs/>
                <w:i/>
                <w:iCs/>
                <w:sz w:val="20"/>
                <w:szCs w:val="20"/>
              </w:rPr>
              <w:t>;</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To the extent feasible and appropriate, delegating coordination functions to or recognizing the policy role of other responsible entities that reflect the interests of affected parties and </w:t>
            </w:r>
            <w:r>
              <w:rPr>
                <w:rFonts w:ascii="Helvetica" w:hAnsi="Helvetica"/>
                <w:bCs/>
                <w:color w:val="FF0000"/>
                <w:sz w:val="20"/>
                <w:szCs w:val="20"/>
              </w:rPr>
              <w:t>the roles of both ICANN’s internal bodies and external expert bodies</w:t>
            </w:r>
            <w:r>
              <w:rPr>
                <w:rFonts w:ascii="Helvetica" w:hAnsi="Helvetica"/>
                <w:bCs/>
                <w:sz w:val="20"/>
                <w:szCs w:val="20"/>
              </w:rPr>
              <w:t>;</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Where feasible and appropriate, depending on market mechanisms to promote and sustain a </w:t>
            </w:r>
            <w:r>
              <w:rPr>
                <w:rFonts w:ascii="Helvetica" w:hAnsi="Helvetica"/>
                <w:bCs/>
                <w:color w:val="FF0000"/>
                <w:sz w:val="20"/>
                <w:szCs w:val="20"/>
              </w:rPr>
              <w:t xml:space="preserve">healthy </w:t>
            </w:r>
            <w:r>
              <w:rPr>
                <w:rFonts w:ascii="Helvetica" w:hAnsi="Helvetica"/>
                <w:bCs/>
                <w:sz w:val="20"/>
                <w:szCs w:val="20"/>
              </w:rPr>
              <w:t xml:space="preserve">competitive environment </w:t>
            </w:r>
            <w:r>
              <w:rPr>
                <w:rFonts w:ascii="Helvetica" w:hAnsi="Helvetica"/>
                <w:bCs/>
                <w:color w:val="FF0000"/>
                <w:sz w:val="20"/>
                <w:szCs w:val="20"/>
              </w:rPr>
              <w:t>in the DNS market that enhances consumer trust and choice.</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Introducing and promoting competition in the registration of domain names where practicable and beneficial in the public interest </w:t>
            </w:r>
            <w:r>
              <w:rPr>
                <w:rFonts w:ascii="Helvetica" w:hAnsi="Helvetica"/>
                <w:bCs/>
                <w:color w:val="FF0000"/>
                <w:sz w:val="20"/>
                <w:szCs w:val="20"/>
              </w:rPr>
              <w:t>as identified through the bottom-up, multistakeholder policy development process.</w:t>
            </w:r>
          </w:p>
          <w:p>
            <w:pPr>
              <w:numPr>
                <w:ilvl w:val="0"/>
                <w:numId w:val="0"/>
              </w:numPr>
              <w:ind w:left="0" w:firstLine="0"/>
              <w:rPr>
                <w:rStyle w:val="DefaultParagraphFont"/>
                <w:rFonts w:ascii="Helvetica" w:hAnsi="Helvetica"/>
                <w:bCs/>
                <w:color w:val="FF0000"/>
                <w:sz w:val="20"/>
                <w:szCs w:val="20"/>
              </w:rPr>
            </w:pPr>
          </w:p>
          <w:p>
            <w:pPr>
              <w:numPr>
                <w:numId w:val="24"/>
              </w:numPr>
              <w:ind w:left="360" w:hanging="476"/>
              <w:rPr>
                <w:rStyle w:val="DefaultParagraphFont"/>
                <w:rFonts w:ascii="Helvetica" w:hAnsi="Helvetica"/>
                <w:bCs/>
                <w:sz w:val="20"/>
                <w:szCs w:val="20"/>
              </w:rPr>
            </w:pPr>
            <w:r>
              <w:rPr>
                <w:rFonts w:ascii="Helvetica" w:hAnsi="Helvetica"/>
                <w:bCs/>
                <w:color w:val="FF0000"/>
                <w:sz w:val="20"/>
                <w:szCs w:val="20"/>
              </w:rPr>
              <w:t xml:space="preserve">Operate with efficiency and excellence, </w:t>
            </w:r>
            <w:r>
              <w:rPr>
                <w:rFonts w:ascii="Helvetica" w:hAnsi="Helvetica"/>
                <w:bCs/>
                <w:strike/>
                <w:color w:val="FF0000"/>
                <w:sz w:val="20"/>
                <w:szCs w:val="20"/>
              </w:rPr>
              <w:t>acting in</w:t>
            </w:r>
            <w:r>
              <w:rPr>
                <w:rFonts w:ascii="Helvetica" w:hAnsi="Helvetica"/>
                <w:bCs/>
                <w:color w:val="FF0000"/>
                <w:sz w:val="20"/>
                <w:szCs w:val="20"/>
              </w:rPr>
              <w:t xml:space="preserve"> a fiscally responsible and accountable manner</w:t>
            </w:r>
            <w:r>
              <w:rPr>
                <w:rFonts w:ascii="Helvetica" w:hAnsi="Helvetica"/>
                <w:bCs/>
                <w:sz w:val="20"/>
                <w:szCs w:val="20"/>
              </w:rPr>
              <w:t xml:space="preserve"> and at </w:t>
            </w:r>
            <w:r>
              <w:rPr>
                <w:rFonts w:ascii="Helvetica" w:hAnsi="Helvetica"/>
                <w:bCs/>
                <w:color w:val="FF0000"/>
                <w:sz w:val="20"/>
                <w:szCs w:val="20"/>
              </w:rPr>
              <w:t>a</w:t>
            </w:r>
            <w:r>
              <w:rPr>
                <w:rFonts w:ascii="Helvetica" w:hAnsi="Helvetica"/>
                <w:bCs/>
                <w:sz w:val="20"/>
                <w:szCs w:val="20"/>
              </w:rPr>
              <w:t xml:space="preserve"> speed that is responsive to the needs of the global Internet community.</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While remaining rooted in the private sector, recognizing that governments and public authorities are responsible for public policy and duly taking into account </w:t>
            </w:r>
            <w:r>
              <w:rPr>
                <w:rFonts w:ascii="Helvetica" w:hAnsi="Helvetica"/>
                <w:bCs/>
                <w:color w:val="FF0000"/>
                <w:sz w:val="20"/>
                <w:szCs w:val="20"/>
              </w:rPr>
              <w:t xml:space="preserve">the public policy advice of governments and public authorities in accordance with the Bylaws and to the extent consistent with these Fundamental </w:t>
            </w:r>
            <w:r>
              <w:rPr>
                <w:rFonts w:ascii="Helvetica" w:hAnsi="Helvetica"/>
                <w:color w:val="FF0000"/>
                <w:sz w:val="20"/>
                <w:szCs w:val="20"/>
              </w:rPr>
              <w:t>Commitments</w:t>
            </w:r>
            <w:r>
              <w:rPr>
                <w:rFonts w:ascii="Helvetica" w:hAnsi="Helvetica"/>
                <w:bCs/>
                <w:color w:val="FF0000"/>
                <w:sz w:val="20"/>
                <w:szCs w:val="20"/>
              </w:rPr>
              <w:t xml:space="preserve"> and Core Values.</w:t>
            </w:r>
          </w:p>
          <w:p>
            <w:pPr>
              <w:numPr>
                <w:ilvl w:val="0"/>
                <w:numId w:val="0"/>
              </w:numPr>
              <w:ind w:left="0" w:firstLine="0"/>
              <w:rPr>
                <w:rStyle w:val="DefaultParagraphFont"/>
                <w:rFonts w:ascii="Helvetica" w:hAnsi="Helvetica"/>
                <w:bCs/>
                <w:color w:val="FF0000"/>
                <w:sz w:val="20"/>
                <w:szCs w:val="20"/>
              </w:rPr>
            </w:pPr>
          </w:p>
          <w:p>
            <w:pPr>
              <w:numPr>
                <w:numId w:val="24"/>
              </w:numPr>
              <w:ind w:left="360" w:hanging="476"/>
              <w:rPr>
                <w:rStyle w:val="DefaultParagraphFont"/>
                <w:rFonts w:ascii="Helvetica" w:hAnsi="Helvetica"/>
                <w:bCs/>
                <w:sz w:val="20"/>
                <w:szCs w:val="20"/>
              </w:rPr>
            </w:pPr>
            <w:r>
              <w:rPr>
                <w:rFonts w:ascii="Helvetica" w:hAnsi="Helvetica"/>
                <w:bCs/>
                <w:color w:val="FF0000"/>
                <w:sz w:val="20"/>
                <w:szCs w:val="20"/>
              </w:rPr>
              <w:t xml:space="preserve">[Not advance] [Refrain from advancing] the interests of one or more interest groups at the expense of others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7</w:t>
            </w:r>
            <w:r>
              <w:rPr>
                <w:rFonts w:ascii="Helvetica" w:hAnsi="Helvetica"/>
                <w:bCs/>
                <w:sz w:val="20"/>
                <w:szCs w:val="20"/>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AoC 3(a) provides that ICANN will ensure that decisions made related to the global technical coordination of the DNS are made in the public interest and are accountable and transparent.</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9.3</w:t>
            </w:r>
            <w:r>
              <w:rPr>
                <w:rFonts w:ascii="Helvetica" w:hAnsi="Helvetica"/>
                <w:bCs/>
                <w:sz w:val="20"/>
                <w:szCs w:val="20"/>
              </w:rPr>
              <w:t>, ICANN commits to promote “competition, consumer trust, and consumer choice.”</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AoC 3(c) provides that ICANN will “promote competition, consumer trust, and consumer choice in the DNS marketplace.”</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9.3</w:t>
            </w:r>
            <w:r>
              <w:rPr>
                <w:rFonts w:ascii="Helvetica" w:hAnsi="Helvetica"/>
                <w:bCs/>
                <w:sz w:val="20"/>
                <w:szCs w:val="20"/>
              </w:rPr>
              <w:t>, ICANN commits to promote “competition, consumer trust, and consumer choice.”  See discussion above re “public interest.”</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w:t>
            </w:r>
            <w:r>
              <w:rPr>
                <w:rFonts w:ascii="Helvetica" w:hAnsi="Helvetica"/>
                <w:bCs/>
                <w:sz w:val="20"/>
                <w:szCs w:val="20"/>
              </w:rPr>
              <w:t xml:space="preserve"> 7, ICANN “commits to adhere to transparent and accountable budgeting processes.”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8</w:t>
            </w:r>
            <w:r>
              <w:rPr>
                <w:rFonts w:ascii="Helvetica" w:hAnsi="Helvetica"/>
                <w:bCs/>
                <w:sz w:val="20"/>
                <w:szCs w:val="20"/>
              </w:rPr>
              <w:t>, ICANN commits to “operate as a multi-stakeholder, private sector led organization.”  </w:t>
            </w:r>
            <w:r>
              <w:rPr>
                <w:rFonts w:ascii="Helvetica" w:hAnsi="Helvetica"/>
                <w:bCs/>
                <w:i/>
                <w:iCs/>
                <w:sz w:val="20"/>
                <w:szCs w:val="20"/>
              </w:rPr>
              <w:t>AoC Section 8</w:t>
            </w:r>
            <w:r>
              <w:rPr>
                <w:rFonts w:ascii="Helvetica" w:hAnsi="Helvetica"/>
                <w:bCs/>
                <w:sz w:val="20"/>
                <w:szCs w:val="20"/>
              </w:rPr>
              <w:t xml:space="preserve"> further provides that ICANN is a private organization and not controlled by any one entity.</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In AoC Section 4, ICANN commits to perform analyses to ensure that its decisions are in the public interest, and not just the interests of a particular set of stakeholders.</w:t>
            </w:r>
          </w:p>
        </w:tc>
      </w:tr>
    </w:tbl>
    <w:p>
      <w:pPr>
        <w:numPr>
          <w:ilvl w:val="0"/>
          <w:numId w:val="0"/>
        </w:numPr>
        <w:ind w:left="360"/>
        <w:rPr>
          <w:b/>
          <w:bCs/>
          <w:szCs w:val="22"/>
        </w:rPr>
      </w:pPr>
      <w:r>
        <w:rPr>
          <w:b/>
          <w:bCs/>
          <w:szCs w:val="22"/>
        </w:rPr>
        <w:t> </w:t>
      </w:r>
    </w:p>
    <w:p>
      <w:pPr>
        <w:pStyle w:val="Heading2"/>
      </w:pPr>
      <w:bookmarkStart w:id="23" w:name="_Toc291848683"/>
      <w:bookmarkStart w:id="24" w:name="_Toc292025300"/>
      <w:bookmarkStart w:id="25" w:name="_Toc292010149"/>
      <w:r>
        <w:t xml:space="preserve">2.3 Fundamental </w:t>
      </w:r>
      <w:bookmarkEnd w:id="23"/>
      <w:bookmarkEnd w:id="24"/>
      <w:bookmarkEnd w:id="25"/>
      <w:r>
        <w:t>Bylaws</w:t>
      </w:r>
    </w:p>
    <w:p>
      <w:pPr>
        <w:pStyle w:val="Heading2"/>
      </w:pPr>
      <w:bookmarkStart w:id="26" w:name="_Toc291848684"/>
      <w:bookmarkStart w:id="27" w:name="_Toc292025301"/>
      <w:bookmarkStart w:id="28" w:name="_Toc292010150"/>
      <w:r>
        <w:t>2.3.1 What is a “Fundamental Bylaw”</w:t>
      </w:r>
      <w:bookmarkEnd w:id="26"/>
      <w:bookmarkEnd w:id="27"/>
      <w:bookmarkEnd w:id="28"/>
    </w:p>
    <w:p>
      <w:pPr>
        <w:tabs>
          <w:tab w:val="left" w:pos="9000"/>
        </w:tabs>
        <w:ind w:hanging="540"/>
        <w:rPr>
          <w:sz w:val="36"/>
          <w:szCs w:val="36"/>
        </w:rPr>
      </w:pPr>
      <w:r>
        <w:t xml:space="preserve">ICANN’s Bylaws can generally be changed by resolution of the Board. With a 2/3 majority, the Board can change the rules of the game within ICANN. The CCWG-Accountability believes that some aspects of ICANN’s Bylaws should be </w:t>
      </w:r>
      <w:r>
        <w:rPr>
          <w:b/>
          <w:bCs/>
        </w:rPr>
        <w:t>harder to change</w:t>
      </w:r>
      <w:r>
        <w:t xml:space="preserve"> than others. These would be deemed Fundamental Bylaws.</w:t>
      </w:r>
      <w:r>
        <w:rPr>
          <w:sz w:val="20"/>
          <w:szCs w:val="20"/>
        </w:rPr>
        <w:t xml:space="preserve">  </w:t>
      </w:r>
      <w:r>
        <w:t>The Mission, Commitments, and Core Values of ICANN, or core features of the accountability tools set out in this Report, would be examples of things that the Board on its own should not be able to change.</w:t>
      </w:r>
    </w:p>
    <w:p>
      <w:pPr>
        <w:pStyle w:val="Heading2"/>
      </w:pPr>
      <w:bookmarkStart w:id="29" w:name="_Toc291848685"/>
      <w:bookmarkStart w:id="30" w:name="_Toc292025302"/>
      <w:bookmarkStart w:id="31" w:name="_Toc292010151"/>
      <w:r>
        <w:t xml:space="preserve">2.3.2 Establishing Fundamental </w:t>
      </w:r>
      <w:bookmarkEnd w:id="29"/>
      <w:bookmarkEnd w:id="30"/>
      <w:bookmarkEnd w:id="31"/>
      <w:r>
        <w:t>Bylaws</w:t>
      </w:r>
    </w:p>
    <w:p>
      <w:pPr>
        <w:ind w:hanging="540"/>
        <w:rPr>
          <w:bCs/>
          <w:szCs w:val="22"/>
        </w:rPr>
      </w:pPr>
      <w:r>
        <w:rPr>
          <w:bCs/>
          <w:szCs w:val="22"/>
        </w:rPr>
        <w:t>The CCWG-Accountability therefore proposes the creation of Fundamental Bylaws. They become fundamental by identifying them as such, and by defining a different (and more difficult) process to change them than the process used for general Bylaws changes.</w:t>
      </w:r>
    </w:p>
    <w:p>
      <w:pPr>
        <w:numPr>
          <w:ilvl w:val="0"/>
          <w:numId w:val="0"/>
        </w:numPr>
        <w:ind w:left="360"/>
        <w:rPr>
          <w:b/>
          <w:bCs/>
          <w:szCs w:val="22"/>
        </w:rPr>
      </w:pPr>
    </w:p>
    <w:p>
      <w:pPr>
        <w:ind w:hanging="540"/>
        <w:rPr>
          <w:b/>
          <w:bCs/>
          <w:szCs w:val="22"/>
        </w:rPr>
      </w:pPr>
      <w:r>
        <w:rPr>
          <w:b/>
          <w:bCs/>
          <w:szCs w:val="22"/>
        </w:rPr>
        <w:t>To implement this, a new provision would be added to the Bylaws that sets out:</w:t>
      </w:r>
    </w:p>
    <w:p>
      <w:pPr>
        <w:pStyle w:val="ListParagraph"/>
        <w:numPr>
          <w:ilvl w:val="0"/>
          <w:numId w:val="4"/>
        </w:numPr>
        <w:spacing w:line="240" w:lineRule="auto"/>
        <w:ind w:left="1440" w:hanging="540"/>
        <w:rPr>
          <w:rFonts w:cs="Times New Roman"/>
          <w:bCs/>
          <w:szCs w:val="22"/>
        </w:rPr>
      </w:pPr>
      <w:r>
        <w:rPr>
          <w:rFonts w:cs="Times New Roman"/>
          <w:bCs/>
          <w:szCs w:val="22"/>
        </w:rPr>
        <w:t>Which sections of the Bylaws are Fundamental Bylaws (i.e. a list of the articles / sections / subsections that are Fundamental – which would include this new provision)</w:t>
      </w:r>
    </w:p>
    <w:p>
      <w:pPr>
        <w:pStyle w:val="ListParagraph"/>
        <w:numPr>
          <w:ilvl w:val="0"/>
          <w:numId w:val="4"/>
        </w:numPr>
        <w:spacing w:line="240" w:lineRule="auto"/>
        <w:ind w:left="1440" w:hanging="540"/>
        <w:rPr>
          <w:rFonts w:cs="Times New Roman"/>
          <w:bCs/>
          <w:szCs w:val="22"/>
        </w:rPr>
      </w:pPr>
      <w:r>
        <w:rPr>
          <w:rFonts w:cs="Times New Roman"/>
          <w:bCs/>
          <w:szCs w:val="22"/>
        </w:rPr>
        <w:t>How new Fundamental Bylaws can be defined and how existing Fundamental Bylaws can be changed or removed</w:t>
      </w:r>
    </w:p>
    <w:p>
      <w:pPr>
        <w:ind w:hanging="540"/>
        <w:rPr>
          <w:bCs/>
          <w:szCs w:val="22"/>
        </w:rPr>
      </w:pPr>
      <w:r>
        <w:rPr>
          <w:bCs/>
          <w:szCs w:val="22"/>
        </w:rPr>
        <w:t>Legal advice has confirmed this proposition is feasible.</w:t>
      </w:r>
    </w:p>
    <w:p>
      <w:pPr>
        <w:pStyle w:val="Heading2"/>
      </w:pPr>
      <w:bookmarkStart w:id="32" w:name="_Toc291848686"/>
      <w:bookmarkStart w:id="33" w:name="_Toc292025303"/>
      <w:bookmarkStart w:id="34" w:name="_Toc292010152"/>
      <w:r>
        <w:t xml:space="preserve">2.3.3 Adding new or changing existing Fundamental </w:t>
      </w:r>
      <w:bookmarkEnd w:id="32"/>
      <w:bookmarkEnd w:id="33"/>
      <w:bookmarkEnd w:id="34"/>
      <w:r>
        <w:t>Bylaws</w:t>
      </w:r>
    </w:p>
    <w:p>
      <w:pPr>
        <w:tabs>
          <w:tab w:val="left" w:pos="9360"/>
        </w:tabs>
        <w:ind w:hanging="540"/>
        <w:rPr>
          <w:bCs/>
          <w:szCs w:val="22"/>
        </w:rPr>
      </w:pPr>
      <w:r>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spacing w:line="240" w:lineRule="auto"/>
        <w:ind w:left="1440" w:hanging="540"/>
        <w:rPr>
          <w:rFonts w:cs="Times New Roman"/>
          <w:bCs/>
          <w:szCs w:val="22"/>
        </w:rPr>
      </w:pPr>
      <w:r>
        <w:rPr>
          <w:rFonts w:cs="Times New Roman"/>
          <w:bCs/>
          <w:szCs w:val="22"/>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spacing w:line="240" w:lineRule="auto"/>
        <w:ind w:left="1440" w:hanging="540"/>
        <w:rPr>
          <w:rFonts w:cs="Times New Roman"/>
          <w:bCs/>
          <w:szCs w:val="22"/>
        </w:rPr>
      </w:pPr>
      <w:r>
        <w:rPr>
          <w:rFonts w:cs="Times New Roman"/>
          <w:bCs/>
          <w:szCs w:val="22"/>
        </w:rPr>
        <w:t>The Board would need to cast 3/4 of votes in favor of the change (higher than the usual threshold of 2/3).</w:t>
      </w:r>
    </w:p>
    <w:p>
      <w:pPr>
        <w:pStyle w:val="ListParagraph"/>
        <w:numPr>
          <w:ilvl w:val="0"/>
          <w:numId w:val="5"/>
        </w:numPr>
        <w:spacing w:line="240" w:lineRule="auto"/>
        <w:ind w:left="1440" w:hanging="540"/>
        <w:rPr>
          <w:rFonts w:cs="Times New Roman"/>
          <w:bCs/>
          <w:szCs w:val="22"/>
        </w:rPr>
      </w:pPr>
      <w:r>
        <w:rPr>
          <w:rFonts w:cs="Times New Roman"/>
          <w:bCs/>
          <w:szCs w:val="22"/>
        </w:rPr>
        <w:t>The new community power set out in 2.6.4 to approve changes to Fundamental Bylaws would apply. The threshold to approve the change would be set at a high bar, similar to the level of support needed to recall the entire Board.</w:t>
      </w:r>
    </w:p>
    <w:p>
      <w:pPr>
        <w:pStyle w:val="ListParagraph"/>
        <w:numPr>
          <w:ilvl w:val="0"/>
          <w:numId w:val="5"/>
        </w:numPr>
        <w:spacing w:line="240" w:lineRule="auto"/>
        <w:ind w:left="1440" w:hanging="540"/>
        <w:rPr>
          <w:rFonts w:cs="Times New Roman"/>
          <w:bCs/>
          <w:szCs w:val="22"/>
        </w:rPr>
      </w:pPr>
      <w:r>
        <w:rPr>
          <w:rFonts w:cs="Times New Roman"/>
          <w:bCs/>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numPr>
          <w:ilvl w:val="0"/>
          <w:numId w:val="0"/>
        </w:numPr>
        <w:ind w:left="360"/>
        <w:rPr>
          <w:bCs/>
          <w:szCs w:val="22"/>
        </w:rPr>
      </w:pPr>
    </w:p>
    <w:p>
      <w:pPr>
        <w:ind w:hanging="540"/>
        <w:rPr>
          <w:bCs/>
          <w:szCs w:val="22"/>
        </w:rPr>
      </w:pPr>
      <w:r>
        <w:rPr>
          <w:b/>
          <w:bCs/>
          <w:szCs w:val="22"/>
        </w:rPr>
        <w:t>QUESTIONS AND OPEN ISSUES:</w:t>
      </w:r>
    </w:p>
    <w:p>
      <w:pPr>
        <w:numPr>
          <w:ilvl w:val="0"/>
          <w:numId w:val="0"/>
        </w:numPr>
        <w:ind w:left="360"/>
        <w:rPr>
          <w:bCs/>
          <w:szCs w:val="22"/>
        </w:rPr>
      </w:pPr>
    </w:p>
    <w:p>
      <w:pPr>
        <w:ind w:hanging="540"/>
        <w:rPr>
          <w:bCs/>
          <w:szCs w:val="22"/>
        </w:rPr>
      </w:pPr>
      <w:r>
        <w:rPr>
          <w:bCs/>
          <w:szCs w:val="22"/>
        </w:rPr>
        <w:t xml:space="preserve">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Statement should be subject to even higher bars. </w:t>
      </w:r>
      <w:r>
        <w:rPr>
          <w:bCs/>
          <w:szCs w:val="22"/>
        </w:rPr>
        <w:br/>
      </w:r>
    </w:p>
    <w:p>
      <w:pPr>
        <w:pStyle w:val="Heading2"/>
      </w:pPr>
      <w:bookmarkStart w:id="35" w:name="_Toc291848687"/>
      <w:bookmarkStart w:id="36" w:name="_Toc292025304"/>
      <w:bookmarkStart w:id="37" w:name="_Toc292010153"/>
      <w:r>
        <w:t>2.3.4 Which of the current Bylaws would become Fundamental Bylaws?</w:t>
      </w:r>
      <w:bookmarkEnd w:id="35"/>
      <w:bookmarkEnd w:id="36"/>
      <w:bookmarkEnd w:id="37"/>
    </w:p>
    <w:p>
      <w:pPr>
        <w:tabs>
          <w:tab w:val="left" w:pos="9090"/>
        </w:tabs>
        <w:ind w:hanging="540"/>
        <w:rPr>
          <w:bCs/>
          <w:szCs w:val="22"/>
        </w:rPr>
      </w:pPr>
      <w:r>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CCWG-Accountability’s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 xml:space="preserve">The Mission / </w:t>
      </w:r>
      <w:r>
        <w:t>Commitments</w:t>
      </w:r>
      <w:r>
        <w:rPr>
          <w:rFonts w:cs="Times New Roman"/>
          <w:bCs/>
          <w:szCs w:val="22"/>
        </w:rPr>
        <w:t xml:space="preserve"> / Core Values;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Independent Review process;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manner in which Fundamental Bylaws can be amended;</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powers set out in section 2.6 of this report;</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Reviews that are part of the CWG-Stewardship’s work – the IANA Function Review, the Separation Review and any others they may require, as well as the creation of a customer standing committee;</w:t>
      </w:r>
    </w:p>
    <w:p>
      <w:pPr>
        <w:tabs>
          <w:tab w:val="left" w:pos="9090"/>
        </w:tabs>
        <w:ind w:hanging="540"/>
        <w:rPr>
          <w:bCs/>
          <w:szCs w:val="22"/>
        </w:rPr>
      </w:pPr>
    </w:p>
    <w:p>
      <w:pPr>
        <w:numPr>
          <w:ilvl w:val="0"/>
          <w:numId w:val="0"/>
        </w:numPr>
        <w:tabs>
          <w:tab w:val="left" w:pos="9090"/>
        </w:tabs>
        <w:ind w:left="360" w:hanging="360"/>
        <w:rPr>
          <w:bCs/>
          <w:szCs w:val="22"/>
        </w:rPr>
      </w:pPr>
      <w:r>
        <w:rPr>
          <w:b/>
          <w:bCs/>
          <w:szCs w:val="22"/>
        </w:rPr>
        <w:t>QUESTIONS AND OPEN ISSUES:</w:t>
      </w:r>
      <w:r>
        <w:rPr>
          <w:bCs/>
          <w:szCs w:val="22"/>
        </w:rPr>
        <w:t xml:space="preserve"> </w:t>
      </w:r>
      <w:r>
        <w:rPr>
          <w:bCs/>
          <w:szCs w:val="22"/>
        </w:rPr>
        <w:br/>
      </w:r>
    </w:p>
    <w:p>
      <w:pPr>
        <w:tabs>
          <w:tab w:val="left" w:pos="9090"/>
        </w:tabs>
        <w:ind w:hanging="540"/>
        <w:rPr>
          <w:bCs/>
          <w:szCs w:val="22"/>
        </w:rPr>
      </w:pPr>
      <w:r>
        <w:t>Do you agree that the introduction of Fundamental Bylaws would enhance ICANN's accountability? Do you agree with the list of requirements for this recommendation, including the list of which Bylaws should become Fundamental Bylaws? If not, please detail how you would recommend amending these requirements.</w:t>
      </w:r>
    </w:p>
    <w:p>
      <w:pPr>
        <w:numPr>
          <w:ilvl w:val="0"/>
          <w:numId w:val="0"/>
        </w:numPr>
        <w:ind w:left="360"/>
        <w:rPr>
          <w:bCs/>
          <w:szCs w:val="22"/>
        </w:rPr>
      </w:pPr>
    </w:p>
    <w:p>
      <w:pPr>
        <w:pStyle w:val="Heading2"/>
      </w:pPr>
      <w:bookmarkStart w:id="38" w:name="_Toc292025305"/>
      <w:bookmarkStart w:id="39" w:name="_Toc292010154"/>
      <w:bookmarkStart w:id="40" w:name="_Toc291848688"/>
      <w:r>
        <w:t>2.4 Independent Review Panel Enhancement</w:t>
      </w:r>
      <w:bookmarkEnd w:id="38"/>
      <w:bookmarkEnd w:id="39"/>
      <w:bookmarkEnd w:id="40"/>
    </w:p>
    <w:p>
      <w:pPr>
        <w:pStyle w:val="Heading4"/>
        <w:numPr>
          <w:ilvl w:val="0"/>
          <w:numId w:val="0"/>
        </w:numPr>
        <w:ind w:left="360"/>
      </w:pPr>
      <w:r>
        <w:t>Introduction</w:t>
      </w:r>
    </w:p>
    <w:p>
      <w:pPr>
        <w:ind w:hanging="540"/>
        <w:rPr>
          <w:bCs/>
          <w:szCs w:val="22"/>
        </w:rPr>
      </w:pPr>
      <w:r>
        <w:rPr>
          <w:bCs/>
          <w:szCs w:val="22"/>
        </w:rPr>
        <w:t xml:space="preserve">The consultation process undertaken by ICANN produced numerous comments calling for overhaul and reform of ICANN’s existing Independent Review Process (IRP).  Commenters called for ICANN to be held to a </w:t>
      </w:r>
      <w:r>
        <w:rPr>
          <w:bCs/>
          <w:i/>
          <w:iCs/>
          <w:szCs w:val="22"/>
        </w:rPr>
        <w:t>substantive standard of behavior</w:t>
      </w:r>
      <w:r>
        <w:rPr>
          <w:bCs/>
          <w:szCs w:val="22"/>
        </w:rPr>
        <w:t xml:space="preserve"> rather than just an evaluation of whether or not its action was taken in good faith.  Commenters called for a process that was </w:t>
      </w:r>
      <w:r>
        <w:rPr>
          <w:bCs/>
          <w:i/>
          <w:iCs/>
          <w:szCs w:val="22"/>
        </w:rPr>
        <w:t>binding</w:t>
      </w:r>
      <w:r>
        <w:rPr>
          <w:bCs/>
          <w:szCs w:val="22"/>
        </w:rPr>
        <w:t xml:space="preserve"> rather than merely advisory.  Commenters also strongly urged that the IRP be </w:t>
      </w:r>
      <w:r>
        <w:rPr>
          <w:bCs/>
          <w:i/>
          <w:iCs/>
          <w:szCs w:val="22"/>
        </w:rPr>
        <w:t>accessible</w:t>
      </w:r>
      <w:r>
        <w:rPr>
          <w:bCs/>
          <w:szCs w:val="22"/>
        </w:rPr>
        <w:t xml:space="preserve">, both financially and from a standing perspective, transparent, </w:t>
      </w:r>
      <w:r>
        <w:rPr>
          <w:bCs/>
          <w:i/>
          <w:iCs/>
          <w:szCs w:val="22"/>
        </w:rPr>
        <w:t>efficient</w:t>
      </w:r>
      <w:r>
        <w:rPr>
          <w:bCs/>
          <w:szCs w:val="22"/>
        </w:rPr>
        <w:t>, and that it be designed to produce</w:t>
      </w:r>
      <w:r>
        <w:rPr>
          <w:bCs/>
          <w:i/>
          <w:iCs/>
          <w:szCs w:val="22"/>
        </w:rPr>
        <w:t xml:space="preserve"> consistent and coherent results </w:t>
      </w:r>
      <w:r>
        <w:rPr>
          <w:bCs/>
          <w:szCs w:val="22"/>
        </w:rPr>
        <w:t>that will serve as a guide for future actions.</w:t>
      </w:r>
    </w:p>
    <w:p>
      <w:pPr>
        <w:numPr>
          <w:ilvl w:val="0"/>
          <w:numId w:val="0"/>
        </w:numPr>
        <w:ind w:left="360"/>
        <w:rPr>
          <w:bCs/>
          <w:szCs w:val="22"/>
        </w:rPr>
      </w:pPr>
    </w:p>
    <w:p>
      <w:pPr>
        <w:ind w:hanging="540"/>
        <w:rPr>
          <w:bCs/>
          <w:szCs w:val="22"/>
        </w:rPr>
      </w:pPr>
      <w:r>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w:t>
      </w:r>
      <w:r>
        <w:rPr>
          <w:bCs/>
          <w:szCs w:val="22"/>
          <w:highlight w:val="yellow"/>
        </w:rPr>
        <w:t>[</w:t>
      </w:r>
      <w:r>
        <w:rPr>
          <w:b/>
          <w:bCs/>
          <w:i/>
          <w:szCs w:val="22"/>
          <w:highlight w:val="yellow"/>
        </w:rPr>
        <w:t>Adler note</w:t>
      </w:r>
      <w:r>
        <w:rPr>
          <w:bCs/>
          <w:szCs w:val="22"/>
          <w:highlight w:val="yellow"/>
        </w:rPr>
        <w:t>: The introductory reference to “policies” is important, and should be reflected throughout as part of the IRP’s subject matter jurisdiction, beyond the Bylaws]</w:t>
      </w:r>
      <w:r>
        <w:rPr>
          <w:bCs/>
          <w:szCs w:val="22"/>
        </w:rPr>
        <w:t xml:space="preserve"> adopted by the multistakeholder community, and whether in carrying out its mission and applying consensus policies it is acting in accordance with ICANN’s Articles of Incorporation and/or Bylaws, including commitments spelled out in the proposed </w:t>
      </w:r>
      <w:r>
        <w:rPr>
          <w:bCs/>
          <w:i/>
          <w:szCs w:val="22"/>
        </w:rPr>
        <w:t>Statement of Mission, Commitments &amp; Core Values</w:t>
      </w:r>
      <w:r>
        <w:rPr>
          <w:bCs/>
          <w:szCs w:val="22"/>
        </w:rPr>
        <w:t xml:space="preserve">, or ICANN policies. (See, </w:t>
      </w:r>
      <w:r>
        <w:rPr>
          <w:bCs/>
          <w:i/>
          <w:iCs/>
          <w:szCs w:val="22"/>
        </w:rPr>
        <w:t xml:space="preserve">Statement of Mission, </w:t>
      </w:r>
      <w:r>
        <w:t>Commitments</w:t>
      </w:r>
      <w:r>
        <w:rPr>
          <w:bCs/>
          <w:i/>
          <w:iCs/>
          <w:szCs w:val="22"/>
        </w:rPr>
        <w:t>, and Core Values</w:t>
      </w:r>
      <w:r>
        <w:rPr>
          <w:bCs/>
          <w:szCs w:val="22"/>
        </w:rPr>
        <w:t xml:space="preserve">.) </w:t>
      </w:r>
      <w:r>
        <w:rPr>
          <w:bCs/>
          <w:szCs w:val="22"/>
          <w:highlight w:val="yellow"/>
        </w:rPr>
        <w:t>[</w:t>
      </w:r>
      <w:r>
        <w:rPr>
          <w:b/>
          <w:bCs/>
          <w:i/>
          <w:szCs w:val="22"/>
          <w:highlight w:val="yellow"/>
        </w:rPr>
        <w:t>Sidley note</w:t>
      </w:r>
      <w:r>
        <w:rPr>
          <w:bCs/>
          <w:szCs w:val="22"/>
          <w:highlight w:val="yellow"/>
        </w:rPr>
        <w:t xml:space="preserve">: we suggest that you standardize language involving the proposed </w:t>
      </w:r>
      <w:r>
        <w:rPr>
          <w:bCs/>
          <w:i/>
          <w:szCs w:val="22"/>
          <w:highlight w:val="yellow"/>
        </w:rPr>
        <w:t>Statement of Mission, Commitments &amp; Core Values</w:t>
      </w:r>
      <w:r>
        <w:rPr>
          <w:bCs/>
          <w:szCs w:val="22"/>
          <w:highlight w:val="yellow"/>
        </w:rPr>
        <w:t>, or ICANN policies.]</w:t>
      </w:r>
    </w:p>
    <w:p>
      <w:pPr>
        <w:numPr>
          <w:ilvl w:val="0"/>
          <w:numId w:val="0"/>
        </w:numPr>
        <w:ind w:left="360"/>
        <w:rPr>
          <w:bCs/>
          <w:szCs w:val="22"/>
        </w:rPr>
      </w:pPr>
    </w:p>
    <w:p>
      <w:pPr>
        <w:ind w:hanging="540"/>
        <w:rPr>
          <w:bCs/>
          <w:szCs w:val="22"/>
        </w:rPr>
      </w:pPr>
      <w:r>
        <w:rPr>
          <w:bCs/>
          <w:szCs w:val="22"/>
        </w:rPr>
        <w:t xml:space="preserve">The proposal calls for a fully </w:t>
      </w:r>
      <w:r>
        <w:rPr>
          <w:bCs/>
          <w:i/>
          <w:iCs/>
          <w:szCs w:val="22"/>
        </w:rPr>
        <w:t>independent</w:t>
      </w:r>
      <w:r>
        <w:rPr>
          <w:bCs/>
          <w:szCs w:val="22"/>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pPr>
        <w:numPr>
          <w:ilvl w:val="0"/>
          <w:numId w:val="0"/>
        </w:numPr>
        <w:ind w:left="360"/>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Purpose of the IRP</w:t>
      </w:r>
      <w:r>
        <w:rPr>
          <w:rFonts w:cs="Times New Roman"/>
          <w:bCs/>
          <w:szCs w:val="22"/>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spacing w:line="240" w:lineRule="auto"/>
        <w:ind w:left="2880" w:hanging="540"/>
        <w:rPr>
          <w:rFonts w:cs="Times New Roman"/>
          <w:bCs/>
          <w:szCs w:val="22"/>
        </w:rPr>
      </w:pPr>
      <w:r>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spacing w:line="240" w:lineRule="auto"/>
        <w:ind w:left="2880" w:hanging="540"/>
        <w:rPr>
          <w:rFonts w:cs="Times New Roman"/>
          <w:bCs/>
          <w:szCs w:val="22"/>
        </w:rPr>
      </w:pPr>
      <w:r>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spacing w:line="240" w:lineRule="auto"/>
        <w:ind w:left="2880" w:hanging="540"/>
        <w:rPr>
          <w:rFonts w:cs="Times New Roman"/>
          <w:bCs/>
          <w:szCs w:val="22"/>
        </w:rPr>
      </w:pPr>
      <w:r>
        <w:rPr>
          <w:rFonts w:cs="Times New Roman"/>
          <w:bCs/>
          <w:szCs w:val="22"/>
        </w:rPr>
        <w:t>Reduce disputes going forward by creating precedent to guide and inform ICANN Board, staff, SOs/ACs, and the community in connection with policy development and implementation.</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szCs w:val="24"/>
        </w:rPr>
      </w:pPr>
      <w:r>
        <w:rPr>
          <w:rFonts w:cs="Times New Roman"/>
          <w:b/>
          <w:bCs/>
          <w:szCs w:val="22"/>
        </w:rPr>
        <w:t>A Standing Panel:</w:t>
      </w:r>
      <w:r>
        <w:rPr>
          <w:rFonts w:cs="Times New Roman"/>
          <w:bCs/>
          <w:szCs w:val="22"/>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bCs/>
          <w:i/>
          <w:iCs/>
          <w:szCs w:val="22"/>
        </w:rPr>
        <w:t xml:space="preserve">Statement of Mission, </w:t>
      </w:r>
      <w:r>
        <w:t>Commitments</w:t>
      </w:r>
      <w:r>
        <w:rPr>
          <w:rFonts w:cs="Times New Roman"/>
          <w:bCs/>
          <w:i/>
          <w:iCs/>
          <w:szCs w:val="22"/>
        </w:rPr>
        <w:t xml:space="preserve"> &amp; Core Values</w:t>
      </w:r>
      <w:r>
        <w:rPr>
          <w:rFonts w:cs="Times New Roman"/>
          <w:bCs/>
          <w:iCs/>
          <w:szCs w:val="22"/>
        </w:rPr>
        <w:t>, and ICANN policies established to hold ICANN accountable to requirements of nonprofit corporate and charitable laws</w:t>
      </w:r>
      <w:r>
        <w:rPr>
          <w:rFonts w:cs="Times New Roman"/>
          <w:bCs/>
          <w:i/>
          <w:iCs/>
          <w:szCs w:val="22"/>
        </w:rPr>
        <w:t>.  </w:t>
      </w:r>
      <w:r>
        <w:rPr>
          <w:rFonts w:cs="Times New Roman"/>
          <w:bCs/>
          <w:szCs w:val="22"/>
        </w:rPr>
        <w:t xml:space="preserve">This reflects proposed changes and enhancements to ICANN’s existing Independent Review Process.  </w:t>
      </w:r>
      <w:r>
        <w:rPr>
          <w:rFonts w:cs="Times New Roman"/>
          <w:bCs/>
          <w:szCs w:val="22"/>
          <w:highlight w:val="yellow"/>
        </w:rPr>
        <w:t>[</w:t>
      </w:r>
      <w:r>
        <w:rPr>
          <w:rFonts w:cs="Times New Roman"/>
          <w:b/>
          <w:bCs/>
          <w:i/>
          <w:szCs w:val="22"/>
          <w:highlight w:val="yellow"/>
        </w:rPr>
        <w:t>Note</w:t>
      </w:r>
      <w:r>
        <w:rPr>
          <w:rFonts w:cs="Times New Roman"/>
          <w:bCs/>
          <w:szCs w:val="22"/>
          <w:highlight w:val="yellow"/>
        </w:rPr>
        <w:t>:  The attorneys suggest referencing compliance with the requirements of California nonprofit corporate and charitable laws, as interpreted by controlling cases.]</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Initiation of an IRP:</w:t>
      </w:r>
      <w:r>
        <w:rPr>
          <w:rFonts w:cs="Times New Roman"/>
          <w:bCs/>
          <w:szCs w:val="22"/>
        </w:rPr>
        <w:t xml:space="preserve"> An aggrieved party would trigger the IRP by filing a complaint alleging that a specified action or inaction is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  </w:t>
      </w:r>
      <w:r>
        <w:rPr>
          <w:rFonts w:cs="Times New Roman"/>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pPr>
        <w:numPr>
          <w:ilvl w:val="0"/>
          <w:numId w:val="0"/>
        </w:numPr>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Possible Outcomes of the IRP</w:t>
      </w:r>
      <w:r>
        <w:rPr>
          <w:rFonts w:cs="Times New Roman"/>
          <w:bCs/>
          <w:szCs w:val="22"/>
        </w:rPr>
        <w:t xml:space="preserve">: Decision that an action/failure to act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  The intent is that IRP decisions should be binding on ICANN.</w:t>
      </w:r>
    </w:p>
    <w:p>
      <w:pPr>
        <w:pStyle w:val="ListParagraph"/>
        <w:numPr>
          <w:ilvl w:val="1"/>
          <w:numId w:val="7"/>
        </w:numPr>
        <w:spacing w:line="240" w:lineRule="auto"/>
        <w:ind w:left="2880"/>
        <w:rPr>
          <w:rFonts w:cs="Times New Roman"/>
          <w:bCs/>
          <w:szCs w:val="22"/>
        </w:rPr>
      </w:pPr>
      <w:r>
        <w:rPr>
          <w:rFonts w:cs="Times New Roman"/>
          <w:bCs/>
          <w:szCs w:val="22"/>
        </w:rPr>
        <w:t>Decisions of the IRP are not subject to appeal (except for review of very limited issues such whether the outcome exceeded the permissible scope of the arbitration or was procured by fraud or corruption).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spacing w:line="240" w:lineRule="auto"/>
        <w:ind w:left="2880"/>
        <w:rPr>
          <w:rFonts w:cs="Times New Roman"/>
          <w:bCs/>
          <w:szCs w:val="22"/>
        </w:rPr>
      </w:pPr>
      <w:r>
        <w:rPr>
          <w:rFonts w:cs="Times New Roman"/>
          <w:bCs/>
          <w:szCs w:val="22"/>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Standing</w:t>
      </w:r>
      <w:r>
        <w:rPr>
          <w:rFonts w:cs="Times New Roman"/>
          <w:bCs/>
          <w:szCs w:val="22"/>
        </w:rPr>
        <w:t xml:space="preserve">:  Any person/group/entity “materially affected” by an ICANN action or inaction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w:t>
      </w:r>
    </w:p>
    <w:p>
      <w:pPr>
        <w:pStyle w:val="ListParagraph"/>
        <w:numPr>
          <w:ilvl w:val="1"/>
          <w:numId w:val="7"/>
        </w:numPr>
        <w:spacing w:line="240" w:lineRule="auto"/>
        <w:ind w:left="2880" w:hanging="540"/>
        <w:rPr>
          <w:rFonts w:cs="Times New Roman"/>
          <w:bCs/>
          <w:szCs w:val="22"/>
        </w:rPr>
      </w:pPr>
      <w:r>
        <w:rPr>
          <w:rFonts w:cs="Times New Roman"/>
          <w:bCs/>
          <w:szCs w:val="22"/>
        </w:rPr>
        <w:t xml:space="preserve">Interim (prospective, interlocutory, injunctive, </w:t>
      </w:r>
      <w:r>
        <w:rPr>
          <w:rFonts w:cs="Times New Roman"/>
          <w:bCs/>
          <w:i/>
          <w:szCs w:val="22"/>
        </w:rPr>
        <w:t>status quo</w:t>
      </w:r>
      <w:r>
        <w:rPr>
          <w:rFonts w:cs="Times New Roman"/>
          <w:bCs/>
          <w:szCs w:val="22"/>
        </w:rPr>
        <w:t xml:space="preserve"> preservation) relief will be available in advance of Board/management/staff action where a complainant can demonstrate:</w:t>
      </w:r>
    </w:p>
    <w:p>
      <w:pPr>
        <w:pStyle w:val="ListParagraph"/>
        <w:numPr>
          <w:ilvl w:val="1"/>
          <w:numId w:val="7"/>
        </w:numPr>
        <w:spacing w:line="240" w:lineRule="auto"/>
        <w:ind w:left="2880" w:hanging="540"/>
        <w:rPr>
          <w:rFonts w:cs="Times New Roman"/>
          <w:bCs/>
          <w:szCs w:val="22"/>
        </w:rPr>
      </w:pPr>
      <w:r>
        <w:rPr>
          <w:rFonts w:cs="Times New Roman"/>
          <w:bCs/>
          <w:szCs w:val="22"/>
        </w:rPr>
        <w:t>Harm that cannot be cured once a decision has been taken or for which there is no adequate remedy once a decision has been taken;</w:t>
      </w:r>
    </w:p>
    <w:p>
      <w:pPr>
        <w:pStyle w:val="ListParagraph"/>
        <w:numPr>
          <w:ilvl w:val="1"/>
          <w:numId w:val="7"/>
        </w:numPr>
        <w:spacing w:line="240" w:lineRule="auto"/>
        <w:ind w:left="2880" w:hanging="540"/>
        <w:rPr>
          <w:rFonts w:cs="Times New Roman"/>
          <w:bCs/>
          <w:szCs w:val="22"/>
        </w:rPr>
      </w:pPr>
      <w:r>
        <w:rPr>
          <w:rFonts w:cs="Times New Roman"/>
          <w:bCs/>
          <w:szCs w:val="22"/>
        </w:rPr>
        <w:t>Either (a) a likelihood of success on the merits or (b) sufficiently serious questions going to the merits; and</w:t>
      </w:r>
    </w:p>
    <w:p>
      <w:pPr>
        <w:pStyle w:val="ListParagraph"/>
        <w:numPr>
          <w:ilvl w:val="1"/>
          <w:numId w:val="7"/>
        </w:numPr>
        <w:spacing w:line="240" w:lineRule="auto"/>
        <w:ind w:left="2880" w:hanging="540"/>
        <w:rPr>
          <w:rFonts w:cs="Times New Roman"/>
          <w:bCs/>
          <w:szCs w:val="22"/>
        </w:rPr>
      </w:pPr>
      <w:r>
        <w:rPr>
          <w:rFonts w:cs="Times New Roman"/>
          <w:bCs/>
          <w:szCs w:val="22"/>
        </w:rPr>
        <w:t xml:space="preserve">A balance of hardships tipping decidedly toward the party seeking the relief. </w:t>
      </w:r>
    </w:p>
    <w:p>
      <w:pPr>
        <w:pStyle w:val="ListParagraph"/>
        <w:numPr>
          <w:ilvl w:val="0"/>
          <w:numId w:val="0"/>
        </w:numPr>
        <w:spacing w:line="240" w:lineRule="auto"/>
        <w:ind w:left="2880"/>
        <w:rPr>
          <w:rFonts w:cs="Times New Roman"/>
          <w:bCs/>
          <w:szCs w:val="22"/>
        </w:rPr>
      </w:pPr>
      <w:r>
        <w:rPr>
          <w:rFonts w:cs="Times New Roman"/>
          <w:bCs/>
          <w:szCs w:val="22"/>
          <w:highlight w:val="yellow"/>
        </w:rPr>
        <w:t>[</w:t>
      </w:r>
      <w:r>
        <w:rPr>
          <w:rFonts w:cs="Times New Roman"/>
          <w:b/>
          <w:bCs/>
          <w:szCs w:val="22"/>
          <w:highlight w:val="yellow"/>
        </w:rPr>
        <w:t xml:space="preserve">Sidley </w:t>
      </w:r>
      <w:r>
        <w:rPr>
          <w:rFonts w:cs="Times New Roman"/>
          <w:b/>
          <w:bCs/>
          <w:i/>
          <w:szCs w:val="22"/>
          <w:highlight w:val="yellow"/>
        </w:rPr>
        <w:t>Note</w:t>
      </w:r>
      <w:r>
        <w:rPr>
          <w:rFonts w:cs="Times New Roman"/>
          <w:bCs/>
          <w:szCs w:val="22"/>
          <w:highlight w:val="yellow"/>
        </w:rPr>
        <w:t>:  issues to consider – standing of the ombudsman?  Agreement of the party invoking the IRP to be bound by the IRP?  Third party intervention rights?]</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 xml:space="preserve">The CCWG-Accountability recommends giving the community, as described in section 2.6.1, the right to have standing before the IRP. In such a case, the burden of the legal fees would be on ICANN. The precise process for such a case is still under development. </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 xml:space="preserve">In their letter dated 15 April 2015, the CWG-Stewardship-Stewardship indicated “As such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szCs w:val="24"/>
        </w:rPr>
      </w:pPr>
      <w:r>
        <w:rPr>
          <w:rFonts w:cs="Times New Roman"/>
          <w:b/>
          <w:bCs/>
          <w:szCs w:val="22"/>
        </w:rPr>
        <w:t>Standard of Review</w:t>
      </w:r>
      <w:r>
        <w:rPr>
          <w:rFonts w:cs="Times New Roman"/>
          <w:bCs/>
          <w:szCs w:val="22"/>
        </w:rPr>
        <w:t xml:space="preserve">: A party challenging an action or inaction has the burden to demonstrate that the complained-of action violates either (a) substantive limitations on the permissible scope of ICANN’s actions </w:t>
      </w:r>
      <w:r>
        <w:rPr>
          <w:rFonts w:cs="Times New Roman"/>
          <w:bCs/>
          <w:szCs w:val="22"/>
          <w:highlight w:val="yellow"/>
        </w:rPr>
        <w:t>[</w:t>
      </w:r>
      <w:r>
        <w:rPr>
          <w:rFonts w:cs="Times New Roman"/>
          <w:b/>
          <w:bCs/>
          <w:i/>
          <w:szCs w:val="22"/>
          <w:highlight w:val="yellow"/>
        </w:rPr>
        <w:t>Sidley note</w:t>
      </w:r>
      <w:r>
        <w:rPr>
          <w:rFonts w:cs="Times New Roman"/>
          <w:bCs/>
          <w:szCs w:val="22"/>
          <w:highlight w:val="yellow"/>
        </w:rPr>
        <w:t>: This subsection is unclear.  Consider deleting the section or specifying the source of these substantive limitations]</w:t>
      </w:r>
      <w:r>
        <w:rPr>
          <w:rFonts w:cs="Times New Roman"/>
          <w:bCs/>
          <w:szCs w:val="22"/>
        </w:rPr>
        <w:t xml:space="preserve">, or (b) decision-making procedures, in each case as set forth in ICANN’s By-laws, Articles of Incorporation, or </w:t>
      </w:r>
      <w:r>
        <w:rPr>
          <w:rFonts w:cs="Times New Roman"/>
          <w:bCs/>
          <w:i/>
          <w:iCs/>
          <w:szCs w:val="22"/>
        </w:rPr>
        <w:t xml:space="preserve">Statement of Mission, </w:t>
      </w:r>
      <w:r>
        <w:rPr>
          <w:i/>
        </w:rPr>
        <w:t>Commitments</w:t>
      </w:r>
      <w:r>
        <w:rPr>
          <w:rFonts w:cs="Times New Roman"/>
          <w:bCs/>
          <w:i/>
          <w:iCs/>
          <w:szCs w:val="22"/>
        </w:rPr>
        <w:t>, and Core Values</w:t>
      </w:r>
      <w:r>
        <w:rPr>
          <w:rFonts w:cs="Times New Roman"/>
          <w:bCs/>
          <w:iCs/>
          <w:szCs w:val="22"/>
        </w:rPr>
        <w:t>, or ICANN policies</w:t>
      </w:r>
      <w:r>
        <w:rPr>
          <w:rFonts w:cs="Times New Roman"/>
          <w:bCs/>
          <w:i/>
          <w:iCs/>
          <w:szCs w:val="22"/>
        </w:rPr>
        <w:t xml:space="preserve">. </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Composition of Panel; Expertise</w:t>
      </w:r>
      <w:r>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spacing w:line="240" w:lineRule="auto"/>
        <w:ind w:left="2880" w:hanging="450"/>
        <w:rPr>
          <w:rFonts w:cs="Times New Roman"/>
          <w:bCs/>
          <w:szCs w:val="22"/>
        </w:rPr>
      </w:pPr>
      <w:r>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Diversity:  </w:t>
      </w:r>
      <w:r>
        <w:rPr>
          <w:rFonts w:cs="Times New Roman"/>
          <w:b/>
          <w:bCs/>
          <w:i/>
          <w:iCs/>
          <w:szCs w:val="22"/>
        </w:rPr>
        <w:t>Geographic diversity</w:t>
      </w:r>
      <w:r>
        <w:rPr>
          <w:rFonts w:cs="Times New Roman"/>
          <w:bCs/>
          <w:szCs w:val="22"/>
        </w:rPr>
        <w:t xml:space="preserve">.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 </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Size of Panel</w:t>
      </w:r>
    </w:p>
    <w:p>
      <w:pPr>
        <w:pStyle w:val="ListParagraph"/>
        <w:numPr>
          <w:ilvl w:val="1"/>
          <w:numId w:val="7"/>
        </w:numPr>
        <w:spacing w:line="240" w:lineRule="auto"/>
        <w:ind w:left="2880" w:hanging="540"/>
        <w:rPr>
          <w:rFonts w:cs="Times New Roman"/>
          <w:bCs/>
          <w:szCs w:val="22"/>
        </w:rPr>
      </w:pPr>
      <w:r>
        <w:rPr>
          <w:rFonts w:cs="Times New Roman"/>
          <w:bCs/>
          <w:szCs w:val="22"/>
        </w:rPr>
        <w:t>Standing Panel – 7</w:t>
      </w:r>
    </w:p>
    <w:p>
      <w:pPr>
        <w:pStyle w:val="ListParagraph"/>
        <w:numPr>
          <w:ilvl w:val="1"/>
          <w:numId w:val="7"/>
        </w:numPr>
        <w:spacing w:line="240" w:lineRule="auto"/>
        <w:ind w:left="2880" w:hanging="540"/>
        <w:rPr>
          <w:rFonts w:cs="Times New Roman"/>
          <w:bCs/>
          <w:szCs w:val="22"/>
        </w:rPr>
      </w:pPr>
      <w:r>
        <w:rPr>
          <w:rFonts w:cs="Times New Roman"/>
          <w:bCs/>
          <w:szCs w:val="22"/>
        </w:rPr>
        <w:t xml:space="preserve">Decisional Panel – 1 or 3 Panelists </w:t>
      </w:r>
      <w:r>
        <w:rPr>
          <w:rFonts w:cs="Times New Roman"/>
          <w:bCs/>
          <w:szCs w:val="22"/>
          <w:highlight w:val="yellow"/>
        </w:rPr>
        <w:t>[</w:t>
      </w:r>
      <w:r>
        <w:rPr>
          <w:rFonts w:cs="Times New Roman"/>
          <w:b/>
          <w:bCs/>
          <w:i/>
          <w:szCs w:val="22"/>
          <w:highlight w:val="yellow"/>
        </w:rPr>
        <w:t>Sidley note to consider</w:t>
      </w:r>
      <w:r>
        <w:rPr>
          <w:rFonts w:cs="Times New Roman"/>
          <w:bCs/>
          <w:szCs w:val="22"/>
          <w:highlight w:val="yellow"/>
        </w:rPr>
        <w:t>: Having a smaller decisional panel than the full panel creates the potential for an en banc rehearing request involving all of the panelists.  This may provide an internal “appeal” process.]</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Independence</w:t>
      </w:r>
      <w:r>
        <w:rPr>
          <w:rFonts w:cs="Times New Roman"/>
          <w:bCs/>
          <w:i/>
          <w:iCs/>
          <w:szCs w:val="22"/>
        </w:rPr>
        <w:t xml:space="preserve">: </w:t>
      </w:r>
      <w:r>
        <w:rPr>
          <w:rFonts w:cs="Times New Roman"/>
          <w:bCs/>
          <w:szCs w:val="22"/>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Selection and Appointment</w:t>
      </w:r>
      <w:r>
        <w:rPr>
          <w:rFonts w:cs="Times New Roman"/>
          <w:bCs/>
          <w:szCs w:val="22"/>
        </w:rPr>
        <w:t>: The selection of panelists would follow a 3-step process:</w:t>
      </w:r>
    </w:p>
    <w:p>
      <w:pPr>
        <w:pStyle w:val="ListParagraph"/>
        <w:numPr>
          <w:ilvl w:val="1"/>
          <w:numId w:val="7"/>
        </w:numPr>
        <w:spacing w:line="240" w:lineRule="auto"/>
        <w:ind w:left="2880"/>
        <w:rPr>
          <w:rFonts w:cs="Times New Roman"/>
          <w:bCs/>
          <w:szCs w:val="22"/>
        </w:rPr>
      </w:pPr>
      <w:r>
        <w:rPr>
          <w:rFonts w:cs="Times New Roman"/>
          <w:bCs/>
          <w:szCs w:val="22"/>
        </w:rPr>
        <w:t>Third party international arbitral bodies would nominate candidates</w:t>
      </w:r>
    </w:p>
    <w:p>
      <w:pPr>
        <w:pStyle w:val="ListParagraph"/>
        <w:numPr>
          <w:ilvl w:val="1"/>
          <w:numId w:val="7"/>
        </w:numPr>
        <w:spacing w:line="240" w:lineRule="auto"/>
        <w:ind w:left="2880"/>
        <w:rPr>
          <w:rFonts w:cs="Times New Roman"/>
          <w:bCs/>
          <w:szCs w:val="22"/>
        </w:rPr>
      </w:pPr>
      <w:r>
        <w:rPr>
          <w:rFonts w:cs="Times New Roman"/>
          <w:bCs/>
          <w:szCs w:val="22"/>
        </w:rPr>
        <w:t>The ICANN Board would select proposed panelists subject to community confirmation.</w:t>
      </w:r>
    </w:p>
    <w:p>
      <w:pPr>
        <w:pStyle w:val="ListParagraph"/>
        <w:numPr>
          <w:ilvl w:val="1"/>
          <w:numId w:val="7"/>
        </w:numPr>
        <w:spacing w:line="240" w:lineRule="auto"/>
        <w:ind w:left="2880"/>
        <w:rPr>
          <w:rFonts w:cs="Times New Roman"/>
          <w:bCs/>
          <w:szCs w:val="22"/>
        </w:rPr>
      </w:pPr>
      <w:r>
        <w:rPr>
          <w:rFonts w:cs="Times New Roman"/>
          <w:bCs/>
          <w:szCs w:val="22"/>
        </w:rPr>
        <w:t>The community mechanism (see section 2.6) would be asked to confirm appointments.</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Recall or other Accountability</w:t>
      </w:r>
      <w:r>
        <w:rPr>
          <w:rFonts w:cs="Times New Roman"/>
          <w:bCs/>
          <w:szCs w:val="22"/>
        </w:rPr>
        <w:t xml:space="preserve">: Appointments made for a fixed term with no removal except for specified cause (corruption, misuse of position for personal use, etc.). </w:t>
      </w:r>
      <w:r>
        <w:rPr>
          <w:rFonts w:cs="Times New Roman"/>
          <w:bCs/>
          <w:szCs w:val="22"/>
        </w:rPr>
        <w:br/>
      </w: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Settlement Efforts: </w:t>
      </w:r>
    </w:p>
    <w:p>
      <w:pPr>
        <w:pStyle w:val="ListParagraph"/>
        <w:numPr>
          <w:ilvl w:val="1"/>
          <w:numId w:val="7"/>
        </w:numPr>
        <w:spacing w:line="240" w:lineRule="auto"/>
        <w:ind w:left="2880" w:hanging="540"/>
        <w:rPr>
          <w:rFonts w:cs="Times New Roman"/>
          <w:bCs/>
          <w:szCs w:val="22"/>
        </w:rPr>
      </w:pPr>
      <w:r>
        <w:rPr>
          <w:rFonts w:cs="Times New Roman"/>
          <w:bCs/>
          <w:szCs w:val="22"/>
        </w:rPr>
        <w:t xml:space="preserve">Reasonable efforts, as specified in a public policy, must be made to resolve disputes informally prior to/in connection with filing an IRP case.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spacing w:line="240" w:lineRule="auto"/>
        <w:ind w:left="2880" w:hanging="540"/>
        <w:rPr>
          <w:rFonts w:cs="Times New Roman"/>
          <w:bCs/>
          <w:szCs w:val="22"/>
        </w:rPr>
      </w:pPr>
      <w:r>
        <w:rPr>
          <w:rFonts w:cs="Times New Roman"/>
          <w:bCs/>
          <w:szCs w:val="22"/>
        </w:rPr>
        <w:t xml:space="preserve">The process must be governed by clearly understood and </w:t>
      </w:r>
      <w:r>
        <w:rPr>
          <w:rFonts w:cs="Times New Roman"/>
          <w:b/>
          <w:bCs/>
          <w:szCs w:val="22"/>
        </w:rPr>
        <w:t>pre-published rules applicable to both parties</w:t>
      </w:r>
      <w:r>
        <w:rPr>
          <w:rFonts w:cs="Times New Roman"/>
          <w:bCs/>
          <w:szCs w:val="22"/>
        </w:rPr>
        <w:t xml:space="preserve"> and be subject to strict time limits.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Decision Making: </w:t>
      </w:r>
    </w:p>
    <w:p>
      <w:pPr>
        <w:pStyle w:val="ListParagraph"/>
        <w:numPr>
          <w:ilvl w:val="1"/>
          <w:numId w:val="7"/>
        </w:numPr>
        <w:spacing w:line="240" w:lineRule="auto"/>
        <w:ind w:left="2880" w:hanging="540"/>
        <w:rPr>
          <w:rFonts w:cs="Times New Roman"/>
          <w:bCs/>
          <w:szCs w:val="22"/>
        </w:rPr>
      </w:pPr>
      <w:r>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Bylaws, the </w:t>
      </w:r>
      <w:r>
        <w:rPr>
          <w:rFonts w:cs="Times New Roman"/>
          <w:bCs/>
          <w:i/>
          <w:iCs/>
          <w:szCs w:val="22"/>
        </w:rPr>
        <w:t xml:space="preserve">Statement of Mission, </w:t>
      </w:r>
      <w:r>
        <w:rPr>
          <w:i/>
        </w:rPr>
        <w:t>Commitments</w:t>
      </w:r>
      <w:r>
        <w:rPr>
          <w:rFonts w:cs="Times New Roman"/>
          <w:bCs/>
          <w:i/>
          <w:iCs/>
          <w:szCs w:val="22"/>
        </w:rPr>
        <w:t>, and Core Values</w:t>
      </w:r>
      <w:r>
        <w:rPr>
          <w:rFonts w:cs="Times New Roman"/>
          <w:bCs/>
          <w:iCs/>
          <w:szCs w:val="22"/>
        </w:rPr>
        <w:t>, and ICANN policies</w:t>
      </w:r>
      <w:r>
        <w:rPr>
          <w:rFonts w:cs="Times New Roman"/>
          <w:bCs/>
          <w:szCs w:val="22"/>
        </w:rPr>
        <w:t>.</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Decision</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109"/>
        </w:numPr>
        <w:spacing w:line="240" w:lineRule="auto"/>
        <w:ind w:left="2880" w:hanging="540"/>
        <w:rPr>
          <w:rFonts w:cs="Times New Roman"/>
          <w:color w:val="0000FF"/>
          <w:szCs w:val="24"/>
          <w:u w:val="double" w:color="0000FF"/>
        </w:rPr>
      </w:pPr>
      <w:r>
        <w:rPr>
          <w:rFonts w:cs="Times New Roman"/>
          <w:bCs/>
          <w:szCs w:val="22"/>
        </w:rPr>
        <w:t xml:space="preserve">The CCWG-Accountability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41" w:name="_cp_blt_1_310"/>
      <w:bookmarkStart w:id="42" w:name="_cp_text_1_311"/>
    </w:p>
    <w:p>
      <w:pPr>
        <w:pStyle w:val="ListParagraph"/>
        <w:numPr>
          <w:ilvl w:val="1"/>
          <w:numId w:val="109"/>
        </w:numPr>
        <w:spacing w:line="240" w:lineRule="auto"/>
        <w:ind w:left="2880" w:hanging="540"/>
        <w:rPr>
          <w:rFonts w:cs="Times New Roman"/>
          <w:szCs w:val="22"/>
        </w:rPr>
      </w:pPr>
      <w:r>
        <w:rPr>
          <w:rFonts w:cs="Times New Roman"/>
          <w:szCs w:val="22"/>
        </w:rPr>
        <w:t>I</w:t>
      </w:r>
      <w:bookmarkEnd w:id="41"/>
      <w:r>
        <w:rPr>
          <w:rFonts w:cs="Times New Roman"/>
          <w:szCs w:val="22"/>
        </w:rPr>
        <w:t xml:space="preserve">t is expected that judgments of the IRP would be enforceable in the court of the US and other countries that accept international arbitration results. </w:t>
      </w:r>
    </w:p>
    <w:p>
      <w:pPr>
        <w:pStyle w:val="ListParagraph"/>
        <w:numPr>
          <w:ilvl w:val="0"/>
          <w:numId w:val="0"/>
        </w:numPr>
        <w:spacing w:line="240" w:lineRule="auto"/>
        <w:ind w:left="2880"/>
        <w:rPr>
          <w:rFonts w:cs="Times New Roman"/>
          <w:bCs/>
          <w:szCs w:val="22"/>
        </w:rPr>
      </w:pPr>
      <w:bookmarkEnd w:id="42"/>
    </w:p>
    <w:p>
      <w:pPr>
        <w:pStyle w:val="ListParagraph"/>
        <w:numPr>
          <w:ilvl w:val="0"/>
          <w:numId w:val="7"/>
        </w:numPr>
        <w:spacing w:line="240" w:lineRule="auto"/>
        <w:ind w:left="1440" w:hanging="540"/>
        <w:rPr>
          <w:rFonts w:cs="Times New Roman"/>
          <w:bCs/>
          <w:szCs w:val="22"/>
        </w:rPr>
      </w:pPr>
      <w:r>
        <w:rPr>
          <w:rFonts w:cs="Times New Roman"/>
          <w:b/>
          <w:bCs/>
          <w:szCs w:val="22"/>
        </w:rPr>
        <w:t>Accessibility and Cost</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spacing w:line="240" w:lineRule="auto"/>
        <w:ind w:left="2880" w:hanging="540"/>
        <w:rPr>
          <w:rFonts w:cs="Times New Roman"/>
          <w:bCs/>
          <w:szCs w:val="22"/>
        </w:rPr>
      </w:pPr>
      <w:r>
        <w:rPr>
          <w:rFonts w:cs="Times New Roman"/>
          <w:bCs/>
          <w:szCs w:val="22"/>
        </w:rPr>
        <w:t xml:space="preserve">The Panel should complete work expeditiously; issuing a scheduling order early in the process, and in the ordinary course should issue decisions within a standard time frame. </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Implementation:</w:t>
      </w:r>
      <w:r>
        <w:rPr>
          <w:rFonts w:cs="Times New Roman"/>
          <w:bCs/>
          <w:szCs w:val="22"/>
        </w:rPr>
        <w:t xml:space="preserve"> The CCWG-Accountability proposes that the revised IRP provisions be adopted as Fundamental Bylaws. </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Transparency</w:t>
      </w:r>
      <w:r>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numPr>
          <w:ilvl w:val="0"/>
          <w:numId w:val="0"/>
        </w:numPr>
        <w:ind w:left="360"/>
        <w:rPr>
          <w:bCs/>
          <w:szCs w:val="22"/>
        </w:rPr>
      </w:pPr>
    </w:p>
    <w:p>
      <w:pPr>
        <w:ind w:hanging="540"/>
        <w:rPr>
          <w:b/>
          <w:bCs/>
          <w:szCs w:val="22"/>
        </w:rPr>
      </w:pPr>
      <w:r>
        <w:rPr>
          <w:b/>
          <w:bCs/>
          <w:szCs w:val="22"/>
        </w:rPr>
        <w:t>QUESTIONS AND OPEN ISSUES</w:t>
      </w:r>
    </w:p>
    <w:p>
      <w:pPr>
        <w:numPr>
          <w:ilvl w:val="0"/>
          <w:numId w:val="0"/>
        </w:numPr>
        <w:ind w:left="360"/>
        <w:rPr>
          <w:b/>
          <w:bCs/>
          <w:szCs w:val="22"/>
        </w:rPr>
      </w:pPr>
    </w:p>
    <w:p>
      <w:pPr>
        <w:ind w:hanging="540"/>
        <w:rPr>
          <w:bCs/>
          <w:szCs w:val="22"/>
        </w:rPr>
      </w:pPr>
      <w:r>
        <w:rPr>
          <w:bCs/>
          <w:szCs w:val="22"/>
        </w:rPr>
        <w:t>4) Do you agree that the proposed improvements to the IRP would enhance ICANN's accountability? Do you agree with the list of requirements for this recommendation? If not, please detail how you would recommend to amend these requirements.</w:t>
      </w:r>
    </w:p>
    <w:p>
      <w:pPr>
        <w:numPr>
          <w:ilvl w:val="0"/>
          <w:numId w:val="0"/>
        </w:numPr>
        <w:rPr>
          <w:bCs/>
          <w:szCs w:val="22"/>
        </w:rPr>
      </w:pPr>
    </w:p>
    <w:p>
      <w:pPr>
        <w:ind w:hanging="540"/>
      </w:pPr>
      <w:r>
        <w:t>A detailed list of questions regarding principles and implementation for the IRP is provided in Appendix I. The CCWG-Accountability Accountability would appreciate detailed community input to guide its work into providing more detailed requirements for the enhanced IRP. A specific community input form is provided.</w:t>
      </w:r>
    </w:p>
    <w:p>
      <w:pPr>
        <w:numPr>
          <w:ilvl w:val="0"/>
          <w:numId w:val="0"/>
        </w:numPr>
        <w:rPr>
          <w:bCs/>
          <w:szCs w:val="22"/>
        </w:rPr>
      </w:pPr>
    </w:p>
    <w:p>
      <w:pPr>
        <w:pStyle w:val="Heading2"/>
      </w:pPr>
      <w:bookmarkStart w:id="43" w:name="_Toc292025306"/>
      <w:bookmarkStart w:id="44" w:name="_Toc292010155"/>
      <w:bookmarkStart w:id="45" w:name="_Toc291848689"/>
      <w:r>
        <w:t>2.5 Reconsideration Process Enhancement</w:t>
      </w:r>
      <w:bookmarkEnd w:id="43"/>
      <w:bookmarkEnd w:id="44"/>
      <w:bookmarkEnd w:id="45"/>
    </w:p>
    <w:p>
      <w:pPr>
        <w:pStyle w:val="Heading4"/>
        <w:ind w:hanging="540"/>
      </w:pPr>
      <w:r>
        <w:t>INTRODUCTION</w:t>
      </w:r>
    </w:p>
    <w:p>
      <w:pPr>
        <w:ind w:hanging="540"/>
        <w:rPr>
          <w:highlight w:val="yellow"/>
        </w:rPr>
      </w:pPr>
      <w:r>
        <w:rPr>
          <w:highlight w:val="yellow"/>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p>
    <w:p>
      <w:pPr>
        <w:pStyle w:val="Heading4"/>
        <w:ind w:hanging="540"/>
      </w:pPr>
      <w:r>
        <w:t>Standing</w:t>
      </w:r>
    </w:p>
    <w:p>
      <w:pPr>
        <w:ind w:hanging="540"/>
        <w:rPr>
          <w:bCs/>
          <w:szCs w:val="22"/>
        </w:rPr>
      </w:pPr>
      <w:r>
        <w:rPr>
          <w:bCs/>
          <w:szCs w:val="22"/>
        </w:rPr>
        <w:t xml:space="preserve">Amend "who" has proper standing to file a Reconsideration Request to widen its scope by including Board/staff actions/inactions that contradict ICANN’s </w:t>
      </w:r>
      <w:r>
        <w:rPr>
          <w:bCs/>
          <w:i/>
          <w:iCs/>
          <w:szCs w:val="22"/>
        </w:rPr>
        <w:t>mission or core values</w:t>
      </w:r>
      <w:r>
        <w:rPr>
          <w:bCs/>
          <w:szCs w:val="22"/>
        </w:rPr>
        <w:t xml:space="preserve"> (was only </w:t>
      </w:r>
      <w:r>
        <w:rPr>
          <w:bCs/>
          <w:i/>
          <w:iCs/>
          <w:szCs w:val="22"/>
        </w:rPr>
        <w:t xml:space="preserve">policies </w:t>
      </w:r>
      <w:r>
        <w:rPr>
          <w:bCs/>
          <w:szCs w:val="22"/>
        </w:rPr>
        <w:t>before).  It is noted that under the existing Bylaws paragraph 2 significantly reduces the rights purportedly granted in paragraph 1 of the Reconsideration Request process.</w:t>
      </w:r>
    </w:p>
    <w:p>
      <w:pPr>
        <w:numPr>
          <w:ilvl w:val="0"/>
          <w:numId w:val="0"/>
        </w:numPr>
        <w:ind w:left="360"/>
        <w:rPr>
          <w:bCs/>
          <w:szCs w:val="22"/>
        </w:rPr>
      </w:pPr>
    </w:p>
    <w:p>
      <w:pPr>
        <w:ind w:hanging="540"/>
        <w:rPr>
          <w:b/>
          <w:bCs/>
          <w:szCs w:val="22"/>
        </w:rPr>
      </w:pPr>
      <w:r>
        <w:rPr>
          <w:b/>
          <w:bCs/>
          <w:szCs w:val="22"/>
        </w:rPr>
        <w:t>ICANN’s Bylaws could be revised (added text in red below):</w:t>
      </w:r>
    </w:p>
    <w:p>
      <w:pPr>
        <w:pStyle w:val="ListParagraph"/>
        <w:numPr>
          <w:ilvl w:val="0"/>
          <w:numId w:val="8"/>
        </w:numPr>
        <w:spacing w:line="240" w:lineRule="auto"/>
        <w:ind w:left="1440" w:hanging="540"/>
        <w:rPr>
          <w:rFonts w:cs="Times New Roman"/>
          <w:bCs/>
          <w:szCs w:val="22"/>
        </w:rPr>
      </w:pPr>
      <w:r>
        <w:rPr>
          <w:rFonts w:cs="Times New Roman"/>
          <w:bCs/>
          <w:szCs w:val="22"/>
        </w:rPr>
        <w:t>ICANN‬ shall have in place a process by which any person or entity materially affected by an action of ICANN‬ may request review or reconsideration of that action by the Board.‬‬‬‬‬</w:t>
      </w:r>
    </w:p>
    <w:p>
      <w:pPr>
        <w:pStyle w:val="ListParagraph"/>
        <w:numPr>
          <w:ilvl w:val="0"/>
          <w:numId w:val="8"/>
        </w:numPr>
        <w:spacing w:line="240" w:lineRule="auto"/>
        <w:ind w:left="1440" w:hanging="540"/>
        <w:rPr>
          <w:rFonts w:cs="Times New Roman"/>
          <w:bCs/>
          <w:szCs w:val="22"/>
        </w:rPr>
      </w:pPr>
      <w:r>
        <w:rPr>
          <w:rFonts w:cs="Times New Roman"/>
          <w:bCs/>
          <w:szCs w:val="22"/>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spacing w:line="240" w:lineRule="auto"/>
        <w:ind w:left="1440" w:hanging="540"/>
        <w:rPr>
          <w:rFonts w:cs="Times New Roman"/>
          <w:bCs/>
          <w:szCs w:val="22"/>
        </w:rPr>
      </w:pPr>
      <w:r>
        <w:rPr>
          <w:rFonts w:cs="Times New Roman"/>
          <w:bCs/>
          <w:szCs w:val="22"/>
        </w:rPr>
        <w:t xml:space="preserve">One or more </w:t>
      </w:r>
      <w:r>
        <w:rPr>
          <w:rFonts w:cs="Times New Roman"/>
          <w:bCs/>
          <w:color w:val="FF0000"/>
          <w:szCs w:val="22"/>
        </w:rPr>
        <w:t>ICANN Board or</w:t>
      </w:r>
      <w:r>
        <w:rPr>
          <w:rFonts w:cs="Times New Roman"/>
          <w:bCs/>
          <w:szCs w:val="22"/>
        </w:rPr>
        <w:t xml:space="preserve"> staff actions or inactions that contradict established ICANN‬ policy(ies), </w:t>
      </w:r>
      <w:r>
        <w:rPr>
          <w:rFonts w:cs="Times New Roman"/>
          <w:bCs/>
          <w:color w:val="FF0000"/>
          <w:szCs w:val="22"/>
        </w:rPr>
        <w:t>its mission, core values</w:t>
      </w:r>
      <w:r>
        <w:rPr>
          <w:rFonts w:cs="Times New Roman"/>
          <w:bCs/>
          <w:szCs w:val="22"/>
        </w:rPr>
        <w: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have been taken or refused to be taken without consideration of</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are taken as a result of the Board's reliance on false or inaccurate</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w:t>
      </w:r>
    </w:p>
    <w:p>
      <w:pPr>
        <w:ind w:hanging="540"/>
        <w:rPr>
          <w:b/>
        </w:rPr>
      </w:pPr>
      <w:r>
        <w:t>In their letter dated 15 April 2015, the CWG-Stewardship requested indicated “As such, any appeal mechanism developed by the CCWG-Accountability should not cover ccTLD delegation / 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interested parties.</w:t>
      </w:r>
    </w:p>
    <w:p>
      <w:pPr>
        <w:numPr>
          <w:ilvl w:val="0"/>
          <w:numId w:val="0"/>
        </w:numPr>
        <w:ind w:left="360" w:hanging="360"/>
        <w:rPr>
          <w:bCs/>
          <w:szCs w:val="22"/>
        </w:rPr>
      </w:pPr>
    </w:p>
    <w:p>
      <w:pPr>
        <w:pStyle w:val="Heading4"/>
        <w:ind w:hanging="540"/>
      </w:pPr>
      <w:r>
        <w:t xml:space="preserve">GOALS </w:t>
      </w:r>
      <w:r>
        <w:rPr>
          <w:b w:val="0"/>
          <w:highlight w:val="yellow"/>
        </w:rPr>
        <w:t>[</w:t>
      </w:r>
      <w:r>
        <w:rPr>
          <w:i/>
          <w:caps w:val="0"/>
          <w:highlight w:val="yellow"/>
        </w:rPr>
        <w:t>Sidley note</w:t>
      </w:r>
      <w:r>
        <w:rPr>
          <w:b w:val="0"/>
          <w:caps w:val="0"/>
          <w:highlight w:val="yellow"/>
        </w:rPr>
        <w:t>:  It is not accurate to refer to these criteria as the “Standard of Review.”  Below are goals or aims of the revised IRP process, but remember that the “standard of review” describes the legal test against which the prior action/inaction is measured.  We suggest changing this Section name to something like “Goals.”]</w:t>
      </w:r>
    </w:p>
    <w:p>
      <w:pPr>
        <w:ind w:hanging="540"/>
        <w:rPr>
          <w:bCs/>
          <w:szCs w:val="22"/>
        </w:rPr>
      </w:pPr>
      <w:r>
        <w:rPr>
          <w:bCs/>
          <w:szCs w:val="22"/>
        </w:rPr>
        <w:t xml:space="preserve">The CCWG-Accountability proposals aim to: </w:t>
      </w:r>
    </w:p>
    <w:p>
      <w:pPr>
        <w:pStyle w:val="Bullets"/>
        <w:numPr>
          <w:ilvl w:val="1"/>
          <w:numId w:val="1"/>
        </w:numPr>
        <w:ind w:left="1440"/>
        <w:rPr>
          <w:b w:val="0"/>
        </w:rPr>
      </w:pPr>
      <w:r>
        <w:rPr>
          <w:b w:val="0"/>
        </w:rPr>
        <w:t xml:space="preserve">Broaden the types of decisions, which can be re-examined to include Board/staff action/inaction against ICANN’s mission or core values (as stated in Bylaws / Articles). </w:t>
      </w:r>
    </w:p>
    <w:p>
      <w:pPr>
        <w:pStyle w:val="Bullets"/>
        <w:numPr>
          <w:ilvl w:val="1"/>
          <w:numId w:val="1"/>
        </w:numPr>
        <w:ind w:left="1440"/>
        <w:rPr>
          <w:b w:val="0"/>
        </w:rPr>
      </w:pPr>
      <w:r>
        <w:rPr>
          <w:b w:val="0"/>
        </w:rPr>
        <w:t>Provide more transparency in dismissal process</w:t>
      </w:r>
    </w:p>
    <w:p>
      <w:pPr>
        <w:pStyle w:val="Bullets"/>
        <w:numPr>
          <w:ilvl w:val="1"/>
          <w:numId w:val="1"/>
        </w:numPr>
        <w:ind w:left="1440"/>
        <w:rPr>
          <w:b w:val="0"/>
        </w:rPr>
      </w:pPr>
      <w:r>
        <w:rPr>
          <w:b w:val="0"/>
        </w:rPr>
        <w:t xml:space="preserve">Provide Board with reasonable right to dismiss frivolous requests, but not on the grounds that one didn’t participate in ICANN’s public comment or on the claim one is vexatious or querulous, which is too subjective. </w:t>
      </w:r>
    </w:p>
    <w:p>
      <w:pPr>
        <w:pStyle w:val="Bullets"/>
        <w:numPr>
          <w:ilvl w:val="1"/>
          <w:numId w:val="1"/>
        </w:numPr>
        <w:ind w:left="1440"/>
        <w:rPr>
          <w:b w:val="0"/>
        </w:rPr>
      </w:pPr>
      <w:r>
        <w:rPr>
          <w:b w:val="0"/>
        </w:rPr>
        <w:t>Propose to amend Paragraph 9 on BGC summary dismissal as follows:</w:t>
      </w:r>
    </w:p>
    <w:p>
      <w:pPr>
        <w:tabs>
          <w:tab w:val="left" w:pos="8730"/>
        </w:tabs>
        <w:ind w:hanging="540"/>
        <w:rPr>
          <w:bCs/>
          <w:szCs w:val="22"/>
        </w:rPr>
      </w:pPr>
      <w:r>
        <w:rPr>
          <w:bCs/>
          <w:szCs w:val="22"/>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bCs/>
          <w:strike/>
          <w:szCs w:val="22"/>
        </w:rPr>
        <w:t>querulous or vexatious</w:t>
      </w:r>
      <w:r>
        <w:rPr>
          <w:bCs/>
          <w:szCs w:val="22"/>
        </w:rPr>
        <w:t>; or (</w:t>
      </w:r>
      <w:r>
        <w:rPr>
          <w:bCs/>
          <w:strike/>
          <w:szCs w:val="22"/>
        </w:rPr>
        <w:t>iii) the requestor had notice and opportunity to, but did not, participate in the public comment period relating to the contested action, if applicable</w:t>
      </w:r>
      <w:r>
        <w:rPr>
          <w:bCs/>
          <w:szCs w:val="22"/>
        </w:rPr>
        <w:t xml:space="preserve">. The Board Governance Committee's summary dismissal of a Reconsideration Request shall be </w:t>
      </w:r>
      <w:r>
        <w:rPr>
          <w:bCs/>
          <w:color w:val="FF0000"/>
          <w:szCs w:val="22"/>
        </w:rPr>
        <w:t>documented and promptly</w:t>
      </w:r>
      <w:r>
        <w:rPr>
          <w:bCs/>
          <w:szCs w:val="22"/>
        </w:rPr>
        <w:t xml:space="preserve"> posted on the Website.</w:t>
      </w:r>
    </w:p>
    <w:p>
      <w:pPr>
        <w:pStyle w:val="Heading4"/>
        <w:ind w:hanging="540"/>
      </w:pPr>
      <w:r>
        <w:t>Composition</w:t>
      </w:r>
    </w:p>
    <w:p>
      <w:pPr>
        <w:ind w:hanging="540"/>
        <w:rPr>
          <w:bCs/>
          <w:szCs w:val="22"/>
        </w:rPr>
      </w:pPr>
      <w:r>
        <w:rPr>
          <w:bCs/>
          <w:szCs w:val="22"/>
        </w:rPr>
        <w:t>The group considers there is need to rely less on the legal department (who holds a strong legal obligation to protect the corporation) to guide the BGC on its recommendations.  More Board member engagement is needed in the overall decision-making process.</w:t>
      </w:r>
    </w:p>
    <w:p>
      <w:pPr>
        <w:numPr>
          <w:ilvl w:val="0"/>
          <w:numId w:val="0"/>
        </w:numPr>
        <w:ind w:left="360"/>
        <w:rPr>
          <w:bCs/>
          <w:szCs w:val="22"/>
        </w:rPr>
      </w:pPr>
    </w:p>
    <w:p>
      <w:pPr>
        <w:ind w:hanging="540"/>
        <w:rPr>
          <w:bCs/>
          <w:szCs w:val="22"/>
        </w:rPr>
      </w:pPr>
      <w:r>
        <w:rPr>
          <w:bCs/>
          <w:szCs w:val="22"/>
        </w:rPr>
        <w:t xml:space="preserve">Requests should no longer go to ICANN’s lawyers (in-house or out-house) for the first substantive evaluation.  Instead, the Requests could go to ICANN’s </w:t>
      </w:r>
      <w:r>
        <w:rPr>
          <w:bCs/>
          <w:szCs w:val="22"/>
          <w:u w:val="single"/>
        </w:rPr>
        <w:t>Ombudsman</w:t>
      </w:r>
      <w:r>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pPr>
        <w:numPr>
          <w:ilvl w:val="0"/>
          <w:numId w:val="0"/>
        </w:numPr>
        <w:ind w:left="360"/>
        <w:rPr>
          <w:b/>
          <w:bCs/>
          <w:szCs w:val="22"/>
        </w:rPr>
      </w:pPr>
    </w:p>
    <w:p>
      <w:pPr>
        <w:ind w:hanging="540"/>
        <w:rPr>
          <w:bCs/>
          <w:szCs w:val="22"/>
        </w:rPr>
      </w:pPr>
      <w:r>
        <w:rPr>
          <w:bCs/>
          <w:szCs w:val="22"/>
        </w:rPr>
        <w:t>All final determinations of reconsideration requests are to be made by the entire Board (not only requests about Board actions as is the current practice).  </w:t>
      </w:r>
    </w:p>
    <w:p>
      <w:pPr>
        <w:numPr>
          <w:ilvl w:val="0"/>
          <w:numId w:val="0"/>
        </w:numPr>
        <w:ind w:left="360"/>
        <w:rPr>
          <w:bCs/>
          <w:szCs w:val="22"/>
        </w:rPr>
      </w:pPr>
    </w:p>
    <w:p>
      <w:pPr>
        <w:ind w:hanging="540"/>
        <w:rPr>
          <w:b/>
          <w:bCs/>
          <w:szCs w:val="22"/>
        </w:rPr>
      </w:pPr>
      <w:r>
        <w:rPr>
          <w:b/>
          <w:bCs/>
          <w:szCs w:val="22"/>
        </w:rPr>
        <w:t>Amend Paragraph 3:</w:t>
      </w:r>
    </w:p>
    <w:p>
      <w:pPr>
        <w:numPr>
          <w:ilvl w:val="0"/>
          <w:numId w:val="0"/>
        </w:numPr>
        <w:ind w:left="360"/>
        <w:rPr>
          <w:b/>
          <w:bCs/>
          <w:szCs w:val="22"/>
        </w:rPr>
      </w:pPr>
    </w:p>
    <w:p>
      <w:pPr>
        <w:pStyle w:val="ListParagraph"/>
        <w:numPr>
          <w:ilvl w:val="0"/>
          <w:numId w:val="8"/>
        </w:numPr>
        <w:spacing w:line="240" w:lineRule="auto"/>
        <w:ind w:left="1440" w:hanging="540"/>
        <w:rPr>
          <w:rFonts w:cs="Times New Roman"/>
          <w:bCs/>
          <w:szCs w:val="22"/>
        </w:rPr>
      </w:pPr>
      <w:r>
        <w:rPr>
          <w:rFonts w:cs="Times New Roman"/>
          <w:bCs/>
          <w:szCs w:val="22"/>
        </w:rPr>
        <w:t>The Board has designated the Board Governance Committee to review and consider any such Reconsideration Requests. The Board Governance Committee shall have the authority to:</w:t>
      </w:r>
    </w:p>
    <w:p>
      <w:pPr>
        <w:pStyle w:val="Bullets"/>
        <w:numPr>
          <w:ilvl w:val="1"/>
          <w:numId w:val="37"/>
        </w:numPr>
        <w:ind w:left="2880"/>
        <w:rPr>
          <w:b w:val="0"/>
        </w:rPr>
      </w:pPr>
      <w:r>
        <w:rPr>
          <w:b w:val="0"/>
        </w:rPr>
        <w:t>Evaluate requests for review or reconsideration;</w:t>
      </w:r>
    </w:p>
    <w:p>
      <w:pPr>
        <w:pStyle w:val="Bullets"/>
        <w:numPr>
          <w:ilvl w:val="1"/>
          <w:numId w:val="37"/>
        </w:numPr>
        <w:ind w:left="2880"/>
        <w:rPr>
          <w:b w:val="0"/>
        </w:rPr>
      </w:pPr>
      <w:r>
        <w:rPr>
          <w:b w:val="0"/>
        </w:rPr>
        <w:t>Summarily dismiss insufficient requests;</w:t>
      </w:r>
    </w:p>
    <w:p>
      <w:pPr>
        <w:pStyle w:val="Bullets"/>
        <w:numPr>
          <w:ilvl w:val="1"/>
          <w:numId w:val="37"/>
        </w:numPr>
        <w:ind w:left="2880"/>
        <w:rPr>
          <w:b w:val="0"/>
        </w:rPr>
      </w:pPr>
      <w:r>
        <w:rPr>
          <w:b w:val="0"/>
        </w:rPr>
        <w:t>Evaluate requests for urgent consideration;</w:t>
      </w:r>
    </w:p>
    <w:p>
      <w:pPr>
        <w:pStyle w:val="Bullets"/>
        <w:numPr>
          <w:ilvl w:val="1"/>
          <w:numId w:val="37"/>
        </w:numPr>
        <w:ind w:left="2880"/>
        <w:rPr>
          <w:b w:val="0"/>
        </w:rPr>
      </w:pPr>
      <w:r>
        <w:rPr>
          <w:b w:val="0"/>
        </w:rPr>
        <w:t>Conduct whatever factual investigation is deemed appropriate;</w:t>
      </w:r>
    </w:p>
    <w:p>
      <w:pPr>
        <w:pStyle w:val="Bullets"/>
        <w:numPr>
          <w:ilvl w:val="1"/>
          <w:numId w:val="37"/>
        </w:numPr>
        <w:ind w:left="2880"/>
        <w:rPr>
          <w:b w:val="0"/>
        </w:rPr>
      </w:pPr>
      <w:r>
        <w:rPr>
          <w:b w:val="0"/>
        </w:rPr>
        <w:t>Request additional written submissions from the affected party, or from   other parties;</w:t>
      </w:r>
    </w:p>
    <w:p>
      <w:pPr>
        <w:pStyle w:val="Bullets"/>
        <w:numPr>
          <w:ilvl w:val="1"/>
          <w:numId w:val="37"/>
        </w:numPr>
        <w:ind w:left="2880"/>
        <w:rPr>
          <w:b w:val="0"/>
        </w:rPr>
      </w:pPr>
      <w:r>
        <w:rPr>
          <w:b w:val="0"/>
          <w:strike/>
        </w:rPr>
        <w:t>Make a final determination on Reconsideration Requests regarding staff  action or inaction, without reference to the Board of Directors</w:t>
      </w:r>
      <w:r>
        <w:rPr>
          <w:b w:val="0"/>
        </w:rPr>
        <w:t>; and</w:t>
      </w:r>
    </w:p>
    <w:p>
      <w:pPr>
        <w:pStyle w:val="Bullets"/>
        <w:numPr>
          <w:ilvl w:val="1"/>
          <w:numId w:val="37"/>
        </w:numPr>
        <w:ind w:left="2880"/>
        <w:rPr>
          <w:b w:val="0"/>
        </w:rPr>
      </w:pPr>
      <w:r>
        <w:rPr>
          <w:b w:val="0"/>
        </w:rPr>
        <w:t>Make a recommendation to the Board of Directors on the merits of the request, as necessary.</w:t>
      </w:r>
    </w:p>
    <w:p>
      <w:pPr>
        <w:numPr>
          <w:ilvl w:val="0"/>
          <w:numId w:val="0"/>
        </w:numPr>
        <w:ind w:left="360"/>
        <w:rPr>
          <w:b/>
          <w:bCs/>
          <w:szCs w:val="22"/>
        </w:rPr>
      </w:pPr>
    </w:p>
    <w:p>
      <w:pPr>
        <w:ind w:hanging="540"/>
        <w:rPr>
          <w:bCs/>
          <w:szCs w:val="22"/>
        </w:rPr>
      </w:pPr>
      <w:r>
        <w:rPr>
          <w:bCs/>
          <w:szCs w:val="22"/>
        </w:rPr>
        <w:t>And delete Paragraph 15 since the Board will make all final decisions regarding requests related to staff action/inaction:</w:t>
      </w:r>
    </w:p>
    <w:p>
      <w:pPr>
        <w:numPr>
          <w:ilvl w:val="0"/>
          <w:numId w:val="0"/>
        </w:numPr>
        <w:ind w:left="360"/>
        <w:rPr>
          <w:bCs/>
          <w:szCs w:val="22"/>
        </w:rPr>
      </w:pPr>
    </w:p>
    <w:p>
      <w:pPr>
        <w:pStyle w:val="Heading4"/>
        <w:ind w:hanging="540"/>
      </w:pPr>
      <w:r>
        <w:t>Decision-Making</w:t>
      </w:r>
    </w:p>
    <w:p>
      <w:pPr>
        <w:tabs>
          <w:tab w:val="left" w:pos="8730"/>
        </w:tabs>
        <w:ind w:hanging="540"/>
        <w:rPr>
          <w:bCs/>
          <w:szCs w:val="22"/>
        </w:rPr>
      </w:pPr>
      <w:r>
        <w:rPr>
          <w:bCs/>
          <w:szCs w:val="22"/>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numPr>
          <w:ilvl w:val="0"/>
          <w:numId w:val="0"/>
        </w:numPr>
        <w:tabs>
          <w:tab w:val="left" w:pos="8730"/>
        </w:tabs>
        <w:ind w:left="360"/>
        <w:rPr>
          <w:bCs/>
          <w:szCs w:val="22"/>
        </w:rPr>
      </w:pPr>
    </w:p>
    <w:p>
      <w:pPr>
        <w:tabs>
          <w:tab w:val="left" w:pos="8730"/>
        </w:tabs>
        <w:ind w:hanging="540"/>
        <w:rPr>
          <w:bCs/>
          <w:szCs w:val="22"/>
        </w:rPr>
      </w:pPr>
      <w:r>
        <w:rPr>
          <w:bCs/>
          <w:szCs w:val="22"/>
        </w:rPr>
        <w:t>Provide a rebuttal opportunity to the BGC’s final recommendation (although requesters can’t raise new issues in a rebuttal) before the full Board finally decides.</w:t>
      </w:r>
    </w:p>
    <w:p>
      <w:pPr>
        <w:numPr>
          <w:ilvl w:val="0"/>
          <w:numId w:val="0"/>
        </w:numPr>
        <w:tabs>
          <w:tab w:val="left" w:pos="8730"/>
        </w:tabs>
        <w:ind w:left="360"/>
        <w:rPr>
          <w:bCs/>
          <w:szCs w:val="22"/>
        </w:rPr>
      </w:pPr>
    </w:p>
    <w:p>
      <w:pPr>
        <w:tabs>
          <w:tab w:val="left" w:pos="8640"/>
          <w:tab w:val="left" w:pos="8820"/>
        </w:tabs>
        <w:ind w:hanging="540"/>
        <w:rPr>
          <w:bCs/>
          <w:szCs w:val="22"/>
        </w:rPr>
      </w:pPr>
      <w:r>
        <w:rPr>
          <w:bCs/>
          <w:szCs w:val="22"/>
        </w:rPr>
        <w:t xml:space="preserve">Adding hard deadlines to the process, including final determinations of the Board issued within 120 days from request. </w:t>
      </w:r>
      <w:r>
        <w:rPr>
          <w:color w:val="0000FF"/>
          <w:kern w:val="20"/>
          <w:highlight w:val="yellow"/>
          <w:u w:val="double" w:color="0000FF"/>
        </w:rPr>
        <w:t>[although a request for reconsideration will not stay the effect of Board actions]</w:t>
      </w:r>
      <w:r>
        <w:rPr>
          <w:kern w:val="20"/>
          <w:highlight w:val="yellow"/>
        </w:rPr>
        <w:t>.</w:t>
      </w:r>
      <w:r>
        <w:rPr>
          <w:kern w:val="20"/>
        </w:rPr>
        <w:t xml:space="preserve">  </w:t>
      </w:r>
    </w:p>
    <w:p>
      <w:pPr>
        <w:numPr>
          <w:ilvl w:val="0"/>
          <w:numId w:val="0"/>
        </w:numPr>
        <w:tabs>
          <w:tab w:val="left" w:pos="8730"/>
        </w:tabs>
        <w:ind w:left="360"/>
        <w:rPr>
          <w:bCs/>
          <w:szCs w:val="22"/>
        </w:rPr>
      </w:pPr>
    </w:p>
    <w:p>
      <w:pPr>
        <w:tabs>
          <w:tab w:val="left" w:pos="8730"/>
        </w:tabs>
        <w:ind w:hanging="540"/>
        <w:rPr>
          <w:bCs/>
          <w:szCs w:val="22"/>
        </w:rPr>
      </w:pPr>
      <w:r>
        <w:rPr>
          <w:bCs/>
          <w:szCs w:val="22"/>
        </w:rPr>
        <w:t>Propose to amend reconsideration rules as follows (in red):</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Governance Committee shall make a final </w:t>
      </w:r>
      <w:r>
        <w:rPr>
          <w:bCs/>
          <w:strike/>
          <w:szCs w:val="22"/>
        </w:rPr>
        <w:t>determination or a</w:t>
      </w:r>
      <w:r>
        <w:rPr>
          <w:bCs/>
          <w:szCs w:val="22"/>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bCs/>
          <w:strike/>
          <w:szCs w:val="22"/>
        </w:rPr>
        <w:t>determination or</w:t>
      </w:r>
      <w:r>
        <w:rPr>
          <w:bCs/>
          <w:szCs w:val="22"/>
        </w:rPr>
        <w:t xml:space="preserve"> recommendation. </w:t>
      </w:r>
      <w:r>
        <w:rPr>
          <w:bCs/>
          <w:color w:val="FF0000"/>
          <w:szCs w:val="22"/>
        </w:rPr>
        <w:t>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shall not be bound to follow the recommendations of the Board Governance Committee. The final decision of the Board </w:t>
      </w:r>
      <w:r>
        <w:rPr>
          <w:bCs/>
          <w:color w:val="FF0000"/>
          <w:szCs w:val="22"/>
        </w:rPr>
        <w:t>and its rational</w:t>
      </w:r>
      <w:r>
        <w:rPr>
          <w:bCs/>
          <w:szCs w:val="22"/>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bCs/>
          <w:color w:val="FF0000"/>
          <w:szCs w:val="22"/>
        </w:rPr>
        <w:t>In any event, the Board’s final decision shall be made within 120 days of receipt of the Request.  The final recommendation shall be promptly posted on ICANN‬'s website and shall address each of the arguments raised in the request.  </w:t>
      </w:r>
      <w:r>
        <w:rPr>
          <w:bCs/>
          <w:szCs w:val="22"/>
        </w:rPr>
        <w:t>The Board's decision on the recommendation is final.‬‬‬‬‬‬‬‬‬‬</w:t>
      </w:r>
    </w:p>
    <w:p>
      <w:pPr>
        <w:pStyle w:val="Heading4"/>
        <w:ind w:hanging="540"/>
      </w:pPr>
      <w:r>
        <w:t>ACCESSIBILITY</w:t>
      </w:r>
    </w:p>
    <w:p>
      <w:pPr>
        <w:ind w:hanging="540"/>
        <w:rPr>
          <w:bCs/>
          <w:szCs w:val="22"/>
        </w:rPr>
      </w:pPr>
      <w:r>
        <w:rPr>
          <w:bCs/>
          <w:szCs w:val="22"/>
        </w:rPr>
        <w:t xml:space="preserve">Extend the time deadline for filing a Reconsideration Request from </w:t>
      </w:r>
      <w:r>
        <w:rPr>
          <w:bCs/>
          <w:szCs w:val="22"/>
          <w:u w:val="single"/>
        </w:rPr>
        <w:t>15 to 30 days</w:t>
      </w:r>
      <w:r>
        <w:rPr>
          <w:bCs/>
          <w:szCs w:val="22"/>
        </w:rPr>
        <w:t> from when Requester learns of the decision/inaction.  </w:t>
      </w:r>
    </w:p>
    <w:p>
      <w:pPr>
        <w:numPr>
          <w:ilvl w:val="0"/>
          <w:numId w:val="0"/>
        </w:numPr>
        <w:ind w:left="360"/>
        <w:rPr>
          <w:bCs/>
          <w:szCs w:val="22"/>
        </w:rPr>
      </w:pPr>
    </w:p>
    <w:p>
      <w:pPr>
        <w:ind w:hanging="540"/>
        <w:rPr>
          <w:bCs/>
          <w:szCs w:val="22"/>
        </w:rPr>
      </w:pPr>
      <w:r>
        <w:rPr>
          <w:bCs/>
          <w:szCs w:val="22"/>
        </w:rPr>
        <w:t>Amend paragraph 5 as follows:</w:t>
      </w:r>
    </w:p>
    <w:p>
      <w:pPr>
        <w:numPr>
          <w:ilvl w:val="0"/>
          <w:numId w:val="0"/>
        </w:numPr>
        <w:ind w:left="360"/>
        <w:rPr>
          <w:bCs/>
          <w:szCs w:val="22"/>
        </w:rPr>
      </w:pPr>
    </w:p>
    <w:p>
      <w:pPr>
        <w:pStyle w:val="ListParagraph"/>
        <w:numPr>
          <w:ilvl w:val="0"/>
          <w:numId w:val="29"/>
        </w:numPr>
        <w:spacing w:line="240" w:lineRule="auto"/>
        <w:rPr>
          <w:rFonts w:cs="Times New Roman"/>
          <w:bCs/>
          <w:szCs w:val="22"/>
        </w:rPr>
      </w:pPr>
      <w:r>
        <w:rPr>
          <w:rFonts w:cs="Times New Roman"/>
          <w:bCs/>
          <w:szCs w:val="22"/>
        </w:rPr>
        <w:t>All Reconsideration Requests must be submitted to an e-mail address designated by the Board Governance Committee within</w:t>
      </w:r>
      <w:r>
        <w:rPr>
          <w:rFonts w:cs="Times New Roman"/>
          <w:bCs/>
          <w:strike/>
          <w:szCs w:val="22"/>
        </w:rPr>
        <w:t xml:space="preserve"> fifteen</w:t>
      </w:r>
      <w:r>
        <w:rPr>
          <w:rFonts w:cs="Times New Roman"/>
          <w:bCs/>
          <w:szCs w:val="22"/>
        </w:rPr>
        <w:t xml:space="preserve"> </w:t>
      </w:r>
      <w:r>
        <w:rPr>
          <w:rFonts w:cs="Times New Roman"/>
          <w:bCs/>
          <w:color w:val="FF0000"/>
          <w:szCs w:val="22"/>
        </w:rPr>
        <w:t>30</w:t>
      </w:r>
      <w:r>
        <w:rPr>
          <w:rFonts w:cs="Times New Roman"/>
          <w:bCs/>
          <w:szCs w:val="22"/>
        </w:rPr>
        <w:t xml:space="preserve"> days after:</w:t>
      </w:r>
    </w:p>
    <w:p>
      <w:pPr>
        <w:numPr>
          <w:ilvl w:val="0"/>
          <w:numId w:val="19"/>
        </w:numPr>
        <w:ind w:left="2880" w:hanging="540"/>
        <w:rPr>
          <w:bCs/>
          <w:szCs w:val="22"/>
        </w:rPr>
      </w:pPr>
      <w:r>
        <w:rPr>
          <w:bCs/>
          <w:szCs w:val="22"/>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bCs/>
          <w:color w:val="FF0000"/>
          <w:szCs w:val="22"/>
        </w:rPr>
        <w:t>30</w:t>
      </w:r>
      <w:r>
        <w:rPr>
          <w:bCs/>
          <w:szCs w:val="22"/>
        </w:rPr>
        <w:t xml:space="preserve"> days from the initial posting of the rationale; or</w:t>
      </w:r>
    </w:p>
    <w:p>
      <w:pPr>
        <w:numPr>
          <w:ilvl w:val="0"/>
          <w:numId w:val="19"/>
        </w:numPr>
        <w:ind w:left="2880" w:hanging="540"/>
        <w:rPr>
          <w:bCs/>
          <w:szCs w:val="22"/>
        </w:rPr>
      </w:pPr>
      <w:r>
        <w:rPr>
          <w:bCs/>
          <w:szCs w:val="22"/>
        </w:rPr>
        <w:t>for requests challenging staff actions, the date on which the party submitting the request became aware of, or reasonably should have become aware of, the challenged staff action; or</w:t>
      </w:r>
    </w:p>
    <w:p>
      <w:pPr>
        <w:numPr>
          <w:ilvl w:val="0"/>
          <w:numId w:val="19"/>
        </w:numPr>
        <w:ind w:left="2880" w:hanging="540"/>
        <w:rPr>
          <w:bCs/>
          <w:szCs w:val="22"/>
        </w:rPr>
      </w:pPr>
      <w:r>
        <w:rPr>
          <w:bCs/>
          <w:szCs w:val="22"/>
        </w:rPr>
        <w:t>for requests challenging either Board or staff inaction, the date on which the affected person reasonably concluded, or reasonably should have concluded, that action would not be taken in a timely manner.</w:t>
      </w:r>
    </w:p>
    <w:p>
      <w:pPr>
        <w:pStyle w:val="Heading4"/>
        <w:ind w:hanging="540"/>
      </w:pPr>
      <w:r>
        <w:t>Due Process</w:t>
      </w:r>
    </w:p>
    <w:p>
      <w:pPr>
        <w:ind w:hanging="540"/>
        <w:rPr>
          <w:bCs/>
          <w:szCs w:val="22"/>
        </w:rPr>
      </w:pPr>
      <w:r>
        <w:rPr>
          <w:bCs/>
          <w:szCs w:val="22"/>
        </w:rPr>
        <w:t>ICANN’s Document and Information Disclosure Policy (DIDP) should be improved to accommodate the legitimate need for requesters to obtain internal ICANN documents that are relevant to their requests.</w:t>
      </w:r>
    </w:p>
    <w:p>
      <w:pPr>
        <w:numPr>
          <w:ilvl w:val="0"/>
          <w:numId w:val="0"/>
        </w:numPr>
        <w:ind w:left="360"/>
        <w:rPr>
          <w:bCs/>
          <w:szCs w:val="22"/>
        </w:rPr>
      </w:pPr>
    </w:p>
    <w:p>
      <w:pPr>
        <w:ind w:hanging="540"/>
        <w:rPr>
          <w:bCs/>
          <w:szCs w:val="22"/>
        </w:rPr>
      </w:pPr>
      <w:r>
        <w:rPr>
          <w:bCs/>
          <w:szCs w:val="22"/>
        </w:rPr>
        <w:t>Provide all briefing materials supplied to the Board to the Requester should be provided so that they may know the arguments against them and have an opportunity to respond (subject to legitimate and documented confidentiality requirements).</w:t>
      </w:r>
    </w:p>
    <w:p>
      <w:pPr>
        <w:numPr>
          <w:ilvl w:val="0"/>
          <w:numId w:val="0"/>
        </w:numPr>
        <w:ind w:left="360"/>
        <w:rPr>
          <w:bCs/>
          <w:szCs w:val="22"/>
        </w:rPr>
      </w:pPr>
    </w:p>
    <w:p>
      <w:pPr>
        <w:ind w:hanging="540"/>
        <w:rPr>
          <w:bCs/>
          <w:szCs w:val="22"/>
        </w:rPr>
      </w:pPr>
      <w:r>
        <w:rPr>
          <w:bCs/>
          <w:szCs w:val="22"/>
        </w:rPr>
        <w:t>Final decisions should be issued sooner – hard deadline of 120 days.</w:t>
      </w:r>
    </w:p>
    <w:p>
      <w:pPr>
        <w:numPr>
          <w:ilvl w:val="0"/>
          <w:numId w:val="0"/>
        </w:numPr>
        <w:ind w:left="360"/>
        <w:rPr>
          <w:bCs/>
          <w:szCs w:val="22"/>
        </w:rPr>
      </w:pPr>
    </w:p>
    <w:p>
      <w:pPr>
        <w:ind w:hanging="540"/>
        <w:rPr>
          <w:bCs/>
          <w:szCs w:val="22"/>
        </w:rPr>
      </w:pPr>
      <w:r>
        <w:rPr>
          <w:bCs/>
          <w:szCs w:val="22"/>
        </w:rPr>
        <w:t>Requesters should be provided more time to learn of action/inaction and to file the request.</w:t>
      </w:r>
    </w:p>
    <w:p>
      <w:pPr>
        <w:numPr>
          <w:ilvl w:val="0"/>
          <w:numId w:val="0"/>
        </w:numPr>
        <w:ind w:left="360"/>
        <w:rPr>
          <w:bCs/>
          <w:szCs w:val="22"/>
        </w:rPr>
      </w:pPr>
    </w:p>
    <w:p>
      <w:pPr>
        <w:ind w:hanging="540"/>
        <w:rPr>
          <w:bCs/>
          <w:szCs w:val="22"/>
        </w:rPr>
      </w:pPr>
      <w:r>
        <w:rPr>
          <w:bCs/>
          <w:szCs w:val="22"/>
        </w:rPr>
        <w:t>Transparency improvements throughout the process are called for, including more complete documentation and prompt publication of submissions and decisions including their rationale.</w:t>
      </w:r>
    </w:p>
    <w:p>
      <w:pPr>
        <w:numPr>
          <w:ilvl w:val="0"/>
          <w:numId w:val="0"/>
        </w:numPr>
        <w:ind w:left="360"/>
        <w:rPr>
          <w:bCs/>
          <w:szCs w:val="22"/>
        </w:rPr>
      </w:pPr>
    </w:p>
    <w:p>
      <w:pPr>
        <w:ind w:hanging="540"/>
        <w:rPr>
          <w:bCs/>
          <w:szCs w:val="22"/>
        </w:rPr>
      </w:pPr>
      <w:r>
        <w:rPr>
          <w:b/>
          <w:bCs/>
          <w:szCs w:val="22"/>
        </w:rPr>
        <w:t>QUESTIONS AND OPEN ISSUES</w:t>
      </w:r>
      <w:r>
        <w:rPr>
          <w:b/>
          <w:bCs/>
          <w:szCs w:val="22"/>
        </w:rPr>
        <w:br/>
      </w:r>
    </w:p>
    <w:p>
      <w:pPr>
        <w:ind w:hanging="540"/>
        <w:rPr>
          <w:bCs/>
          <w:szCs w:val="22"/>
        </w:rPr>
      </w:pPr>
      <w:r>
        <w:rPr>
          <w:bCs/>
          <w:szCs w:val="22"/>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bCs/>
          <w:szCs w:val="22"/>
        </w:rPr>
        <w:br/>
      </w:r>
    </w:p>
    <w:p>
      <w:pPr>
        <w:ind w:hanging="540"/>
        <w:rPr>
          <w:bCs/>
          <w:szCs w:val="22"/>
          <w:highlight w:val="yellow"/>
        </w:rPr>
      </w:pPr>
      <w:r>
        <w:rPr>
          <w:bCs/>
          <w:szCs w:val="22"/>
          <w:highlight w:val="yellow"/>
        </w:rPr>
        <w:t xml:space="preserve">Are the timeframes and deadlines proposed herein sufficient to meet the community's needs?  </w:t>
      </w:r>
      <w:r>
        <w:rPr>
          <w:bCs/>
          <w:szCs w:val="22"/>
          <w:highlight w:val="yellow"/>
        </w:rPr>
        <w:br/>
      </w:r>
    </w:p>
    <w:p>
      <w:pPr>
        <w:ind w:hanging="540"/>
        <w:rPr>
          <w:bCs/>
          <w:szCs w:val="22"/>
          <w:highlight w:val="yellow"/>
        </w:rPr>
      </w:pPr>
      <w:r>
        <w:rPr>
          <w:bCs/>
          <w:szCs w:val="22"/>
          <w:highlight w:val="yellow"/>
        </w:rPr>
        <w:t>Is the scope of permissible requests broad / narrow enough to meet the community's needs?</w:t>
      </w:r>
    </w:p>
    <w:p>
      <w:pPr>
        <w:numPr>
          <w:ilvl w:val="0"/>
          <w:numId w:val="0"/>
        </w:numPr>
        <w:ind w:left="360" w:hanging="360"/>
        <w:rPr>
          <w:bCs/>
          <w:szCs w:val="22"/>
        </w:rPr>
      </w:pPr>
    </w:p>
    <w:p>
      <w:pPr>
        <w:numPr>
          <w:ilvl w:val="0"/>
          <w:numId w:val="0"/>
        </w:numPr>
        <w:ind w:left="360"/>
        <w:rPr>
          <w:bCs/>
          <w:szCs w:val="22"/>
        </w:rPr>
      </w:pPr>
    </w:p>
    <w:p>
      <w:pPr>
        <w:pStyle w:val="Heading2"/>
      </w:pPr>
      <w:bookmarkStart w:id="46" w:name="_Toc291848690"/>
      <w:bookmarkStart w:id="47" w:name="_Toc292025307"/>
      <w:bookmarkStart w:id="48" w:name="_Toc292010156"/>
      <w:r>
        <w:t>2.6 Community Empowerment</w:t>
      </w:r>
      <w:bookmarkEnd w:id="46"/>
      <w:bookmarkEnd w:id="47"/>
      <w:bookmarkEnd w:id="48"/>
      <w:r>
        <w:t xml:space="preserve"> </w:t>
      </w:r>
    </w:p>
    <w:p>
      <w:pPr>
        <w:pStyle w:val="Heading2"/>
      </w:pPr>
      <w:bookmarkStart w:id="49" w:name="_Toc292025308"/>
      <w:bookmarkStart w:id="50" w:name="_Toc292010157"/>
      <w:bookmarkStart w:id="51" w:name="_Toc291848691"/>
      <w:r>
        <w:t>2.6.1 Mechanism to empower the community</w:t>
      </w:r>
      <w:bookmarkEnd w:id="49"/>
      <w:bookmarkEnd w:id="50"/>
      <w:bookmarkEnd w:id="51"/>
      <w:r>
        <w:t xml:space="preserve"> </w:t>
      </w:r>
    </w:p>
    <w:p>
      <w:pPr>
        <w:ind w:hanging="540"/>
      </w:pPr>
      <w:r>
        <w:rPr>
          <w:bCs/>
          <w:szCs w:val="22"/>
        </w:rPr>
        <w:t xml:space="preserve">Initial legal advice has indicated that the set of powers proposed in this report may be reserved to the ICANN multistakeholder community. More specifically, there are approaches we can take within ICANN to make these powers legally available and enforceable. </w:t>
      </w:r>
      <w:r>
        <w:rPr>
          <w:bCs/>
          <w:szCs w:val="22"/>
        </w:rPr>
        <w:br/>
      </w:r>
    </w:p>
    <w:p>
      <w:pPr>
        <w:ind w:hanging="540"/>
      </w:pPr>
      <w:r>
        <w:t>As overall comments, the CCWG-Accountability is largely agreed on the following:</w:t>
      </w:r>
    </w:p>
    <w:p>
      <w:pPr>
        <w:pStyle w:val="ListParagraph"/>
        <w:numPr>
          <w:ilvl w:val="0"/>
          <w:numId w:val="80"/>
        </w:numPr>
        <w:spacing w:line="240" w:lineRule="auto"/>
        <w:ind w:left="1440"/>
        <w:rPr>
          <w:rFonts w:cs="Times New Roman"/>
          <w:bCs/>
          <w:szCs w:val="22"/>
        </w:rPr>
      </w:pPr>
      <w:r>
        <w:rPr>
          <w:rFonts w:cs="Times New Roman"/>
          <w:bCs/>
          <w:szCs w:val="22"/>
        </w:rPr>
        <w:t>To be as restrained as possible in the degree of structural or organizing changes required in ICANN to create the mechanism for these powers</w:t>
      </w:r>
    </w:p>
    <w:p>
      <w:pPr>
        <w:pStyle w:val="ListParagraph"/>
        <w:numPr>
          <w:ilvl w:val="0"/>
          <w:numId w:val="80"/>
        </w:numPr>
        <w:spacing w:line="240" w:lineRule="auto"/>
        <w:ind w:left="1440"/>
        <w:rPr>
          <w:rFonts w:cs="Times New Roman"/>
          <w:bCs/>
          <w:szCs w:val="22"/>
        </w:rPr>
      </w:pPr>
      <w:r>
        <w:rPr>
          <w:rFonts w:cs="Times New Roman"/>
          <w:bCs/>
          <w:szCs w:val="22"/>
        </w:rPr>
        <w:t>To organize the mechanism along the same lines as the community – that is, in line and compatible with the current SO / AC / SG structures (without making it impossible to change these in future)</w:t>
      </w:r>
    </w:p>
    <w:p>
      <w:pPr>
        <w:ind w:hanging="540"/>
      </w:pPr>
      <w:r>
        <w:t>The subsections below explain the CCWG-Accountability’s reference proposal for the Community Mechanism and the major alternative considered to it (2.6.1.1), and the proposed participants in the mechanism and their levels of influence (2.6.1.2).</w:t>
      </w:r>
      <w:r>
        <w:br/>
      </w:r>
    </w:p>
    <w:p>
      <w:pPr>
        <w:pStyle w:val="Heading2"/>
      </w:pPr>
      <w:bookmarkStart w:id="52" w:name="_Toc292025309"/>
      <w:bookmarkStart w:id="53" w:name="_Toc292010158"/>
      <w:bookmarkStart w:id="54" w:name="_Toc291848692"/>
      <w:r>
        <w:t>2.6.1.1 The Community Mechanism: SO/AC Membership Model</w:t>
      </w:r>
      <w:bookmarkEnd w:id="52"/>
      <w:bookmarkEnd w:id="53"/>
      <w:bookmarkEnd w:id="54"/>
    </w:p>
    <w:p>
      <w:pPr>
        <w:pStyle w:val="ListParagraph"/>
        <w:numPr>
          <w:ilvl w:val="0"/>
          <w:numId w:val="31"/>
        </w:numPr>
        <w:spacing w:before="120" w:after="100" w:line="240" w:lineRule="auto"/>
        <w:ind w:left="1440" w:hanging="540"/>
        <w:rPr>
          <w:rFonts w:eastAsiaTheme="minorEastAsia" w:cs="Times New Roman"/>
          <w:szCs w:val="22"/>
        </w:rPr>
      </w:pPr>
      <w:bookmarkStart w:id="55" w:name="_Toc291776269"/>
      <w:r>
        <w:rPr>
          <w:rFonts w:eastAsiaTheme="minorEastAsia" w:cs="Times New Roman"/>
          <w:szCs w:val="22"/>
        </w:rPr>
        <w:t xml:space="preserve">In its deliberations and in discussion with its independent legal counsel, it has become apparent that ICANN as a non-profit public benefit corporation organized under California law is able to reserve to the multistakeholder community the powers the CCWG-Accountability is proposing for the community. To secure the delivery of these powers, however, ICANN needs to make use of membership or designator roles. </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 xml:space="preserve">While the </w:t>
      </w:r>
      <w:r>
        <w:rPr>
          <w:rFonts w:eastAsiaTheme="minorEastAsia" w:cs="Times New Roman"/>
          <w:i/>
          <w:szCs w:val="22"/>
        </w:rPr>
        <w:t>status quo</w:t>
      </w:r>
      <w:r>
        <w:rPr>
          <w:rFonts w:eastAsiaTheme="minorEastAsia" w:cs="Times New Roman"/>
          <w:szCs w:val="22"/>
        </w:rPr>
        <w:t xml:space="preserve"> has elements of a designator model, efforts to simply expand the powers of the multistakeholder community through the Bylaws would be insufficient because such Bylaws would be unlikely to be enforceable to the degree the global multistakeholder community - or this CCWG-Accountability - would expect. In preparing for the environment that emerges following the end of the post-NTIA contract, our task as a CCWG-Accountability is to strengthen ICANN’s accountability, not to allow it to be weakened. So the </w:t>
      </w:r>
      <w:r>
        <w:rPr>
          <w:rFonts w:eastAsiaTheme="minorEastAsia" w:cs="Times New Roman"/>
          <w:i/>
          <w:szCs w:val="22"/>
        </w:rPr>
        <w:t>status quo</w:t>
      </w:r>
      <w:r>
        <w:rPr>
          <w:rFonts w:eastAsiaTheme="minorEastAsia" w:cs="Times New Roman"/>
          <w:szCs w:val="22"/>
        </w:rPr>
        <w:t xml:space="preserve"> is not an option.</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California law, similar to the law of many other jurisdictions, allows for membership of non-profit corporations. Members have certain powers provided by law that may be expanded upon through Articles and Bylaws in a manner that is enforceable.</w:t>
      </w:r>
      <w:r>
        <w:rPr>
          <w:rFonts w:eastAsiaTheme="minorEastAsia" w:cs="Times New Roman"/>
          <w:szCs w:val="22"/>
        </w:rPr>
        <w:br/>
      </w: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The CCWG-Accountability proposes the creation of a formal membership body with power to hold the ICANN Board accountable.  This “SO/AC Membership model” is the approach that, based on analysis so far, fits requirements best. This model, referred to here as the Reference Mechanism, would have the following key characteristics:</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The ICANN Supporting Organizations and the Advisory Committees who currently have the right to elect directors (as opposed to non-voting observers) to the ICANN board would each establish a “Member Entity” of ICANN, and through use of closely affiliated unincorporated associations those SOs and ACs would exercise the community powers proposed in this part of the Report.  The other ACs would not become Members, but rather continue as non-voting observers (see subsection c below).  This Member structure is to be distinguished from the community mechanism described in Section 2.6.1.2, in which other ACs do not have voting power.  No third party and no individuals would become the Members of ICANN.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In their role as Members, acting through their Member Entities, the Member SOs and ACs would exercise the new community powers set out in 2.6.2-2.6.6 below, in conjunction with the community mechanism described in Section 2.6.1.2.  Our legal counsel have advised that the powers we are proposing can be realized and enforced through this Membership model.</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Conversely, the SOs and ACs that designate observers to the Board do not need to become ICANN Members (and will not have the rights of Members) and do not need to have unincorporated associations.  In addition to the Member Entities, in this Reference Mechanism, a broader community group (including all SOs and ACs regardless of whether they have Member Entities) would be able to exercise certain community powers, namely, triggering reviews of some Board actions (but not rejection or approval).  This broader community group is described in more detail in 2.6.1.2 below, and would consist of the following bodies, with 29 votes allocated as follows: 5 for the gNSO, the ccNSO, the ASO, the GAC and ALAC; 2 each for SSAC and RSSAC.</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All of the existing functions and work of the SOs and ACs would continue being done within the framework of the ICANN Bylaws. It is only the new accountability powers that would require use of the unincorporated association Member Entities.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There would be no need for individuals or organizations to change the ways in which they participate in ICANN or the SOs or ACs as a result of creating the new “Member Entities” or “unincorporated associations.” Community participants would have the choice of opting in and participating in this new accountability system, or to simply keep on doing what they do today in an ICANN that is more accountable than it is today.</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Our legal advisors have advised 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A further description of the use of unincorporated associations and a set of practical questions and answers regarding unincorporated associations is also available in Appendix H (Sidley and Adler &amp; Colvin Memo (Unincorporated associations)).</w:t>
      </w:r>
    </w:p>
    <w:p>
      <w:pPr>
        <w:pStyle w:val="ListParagraph"/>
        <w:numPr>
          <w:ilvl w:val="0"/>
          <w:numId w:val="0"/>
        </w:numPr>
        <w:spacing w:before="120" w:after="100" w:line="240" w:lineRule="auto"/>
        <w:ind w:left="2880"/>
        <w:rPr>
          <w:rFonts w:eastAsiaTheme="minorEastAsia"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rPr>
        <w:t>The powers proposed can be implemented under the SO/AC Membership model, and it has advantages in terms of enforceability. Because, according to legal counsel, the SO/AC Membership model provides the clearest path for the community to exercise the six community powers explicitly sought by the CCWG-Accountability, it is our Reference Mechanism at this time.</w:t>
      </w:r>
    </w:p>
    <w:p>
      <w:pPr>
        <w:pStyle w:val="ListParagraph"/>
        <w:numPr>
          <w:ilvl w:val="0"/>
          <w:numId w:val="0"/>
        </w:numPr>
        <w:ind w:left="1440"/>
      </w:pPr>
      <w:r>
        <w:rPr>
          <w:rFonts w:cs="Times New Roman"/>
          <w:szCs w:val="22"/>
        </w:rPr>
        <w:br/>
      </w:r>
      <w:r>
        <w:rPr>
          <w:rFonts w:cs="Times New Roman"/>
        </w:rPr>
        <w:t xml:space="preserve">In arriving at this SO/AC Membership Model, the primary alternative the CCWG-Accountability has investigated is a model based on “designators” – an SO/AC Designator Model. </w:t>
      </w:r>
      <w:r>
        <w:rPr>
          <w:rFonts w:cs="Times New Roman"/>
        </w:rPr>
        <w:br/>
      </w:r>
      <w:r>
        <w:rPr>
          <w:rFonts w:cs="Times New Roman"/>
          <w:szCs w:val="22"/>
        </w:rPr>
        <w:t xml:space="preserve">Designators are a construct in California law that can achieve reliable enforcement of four of the six community powers sought, specifically with respect to community approval or blocking of changes of Bylaws and the selection and removal of Board Directors </w:t>
      </w:r>
      <w:r>
        <w:rPr>
          <w:rFonts w:cs="Times New Roman"/>
          <w:szCs w:val="22"/>
          <w:highlight w:val="yellow"/>
        </w:rPr>
        <w:t>[</w:t>
      </w:r>
      <w:r>
        <w:rPr>
          <w:rFonts w:cs="Times New Roman"/>
          <w:b/>
          <w:i/>
          <w:szCs w:val="22"/>
          <w:highlight w:val="yellow"/>
        </w:rPr>
        <w:t>Note</w:t>
      </w:r>
      <w:r>
        <w:rPr>
          <w:rFonts w:cs="Times New Roman"/>
          <w:szCs w:val="22"/>
          <w:highlight w:val="yellow"/>
        </w:rPr>
        <w:t>: “</w:t>
      </w:r>
      <w:r>
        <w:rPr>
          <w:highlight w:val="yellow"/>
        </w:rPr>
        <w:t>Board Directors” are used here as opposed to “Board Members” so as to better distinguish between the persons sitting on the Board of Directors from Members in the SO/AC Membership Model.  Consider a conforming change throughout the document]</w:t>
      </w:r>
      <w:r>
        <w:t xml:space="preserve">.  </w:t>
      </w:r>
      <w:r>
        <w:rPr>
          <w:rFonts w:cs="Times New Roman"/>
          <w:szCs w:val="22"/>
        </w:rPr>
        <w:t>There is concern however, regarding the ease and reliability with which the other two community powers sought (approval of budget and strategic plan) can be enforced once created under the SO/AC Designator model, according to legal counsel.  Legal counsel further advises that those SOs and ALAC who are empowered to select Board Directors and enforce the community powers noted below, should create closely affiliated unincorporated associations in both corporate governance models, whether a designator or membership structure, that would be able to enforce their rights.</w:t>
      </w:r>
      <w:r>
        <w:rPr>
          <w:rFonts w:cs="Times New Roman"/>
          <w:szCs w:val="22"/>
        </w:rPr>
        <w:br/>
      </w: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 xml:space="preserve">Legal Counsel advise that the SO/AC Membership model creates the most straightforward mechanism for the community to attain the proposed powers to hold the ICANN Board accountable.  In preparing for the environment that emerges following the end of the post-NTIA contract, our task as a CCWG-Accountability is to strengthen ICANN's accountability, not to allow it to be weakened.  So the </w:t>
      </w:r>
      <w:r>
        <w:rPr>
          <w:rFonts w:eastAsiaTheme="minorEastAsia" w:cs="Times New Roman"/>
          <w:i/>
          <w:szCs w:val="22"/>
        </w:rPr>
        <w:t>status quo</w:t>
      </w:r>
      <w:r>
        <w:rPr>
          <w:rFonts w:eastAsiaTheme="minorEastAsia" w:cs="Times New Roman"/>
          <w:szCs w:val="22"/>
        </w:rPr>
        <w:t xml:space="preserve"> is not an option and the community should select either an SO/AC Membership model or an empowered SO/AC Designator model to achieve that accountability.</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rPr>
        <w:t>Variations of these mechanisms were also discussed:</w:t>
      </w:r>
    </w:p>
    <w:p>
      <w:pPr>
        <w:pStyle w:val="ListParagraph"/>
        <w:numPr>
          <w:ilvl w:val="0"/>
          <w:numId w:val="32"/>
        </w:numPr>
        <w:spacing w:before="120" w:after="100" w:line="240" w:lineRule="auto"/>
        <w:ind w:left="2880"/>
        <w:rPr>
          <w:rFonts w:eastAsiaTheme="minorEastAsia" w:cs="Times New Roman"/>
          <w:szCs w:val="22"/>
        </w:rPr>
      </w:pPr>
      <w:r>
        <w:rPr>
          <w:rFonts w:eastAsiaTheme="minorEastAsia" w:cs="Times New Roman"/>
          <w:szCs w:val="22"/>
        </w:rPr>
        <w:t xml:space="preserve">The notion of creating a permanent CCWG-Accountability or a Community Council that was the sole “member” or “designator” was considered but rejected mainly because it created additional accountability problems and offered no accountability advantages compared with the Reference Mechanism; </w:t>
      </w:r>
    </w:p>
    <w:p>
      <w:pPr>
        <w:pStyle w:val="ListParagraph"/>
        <w:numPr>
          <w:ilvl w:val="0"/>
          <w:numId w:val="32"/>
        </w:numPr>
        <w:spacing w:line="240" w:lineRule="auto"/>
        <w:ind w:left="2880"/>
        <w:rPr>
          <w:rFonts w:eastAsiaTheme="minorEastAsia" w:cs="Times New Roman"/>
          <w:szCs w:val="22"/>
        </w:rPr>
      </w:pPr>
      <w:r>
        <w:rPr>
          <w:rFonts w:eastAsiaTheme="minorEastAsia" w:cs="Times New Roman"/>
          <w:szCs w:val="22"/>
        </w:rPr>
        <w:t xml:space="preserve">The notion of all SOs and ACs collectively creating an unincorporated association that would be the single member of ICANN was considered. However this model “would add only complexity without contributing real advantages”. </w:t>
      </w:r>
    </w:p>
    <w:p>
      <w:pPr>
        <w:pStyle w:val="ListParagraph"/>
        <w:numPr>
          <w:ilvl w:val="0"/>
          <w:numId w:val="32"/>
        </w:numPr>
        <w:spacing w:line="240" w:lineRule="auto"/>
        <w:ind w:left="2880"/>
        <w:rPr>
          <w:rFonts w:eastAsiaTheme="minorEastAsia" w:cs="Times New Roman"/>
          <w:szCs w:val="22"/>
        </w:rPr>
      </w:pPr>
      <w:r>
        <w:rPr>
          <w:rFonts w:eastAsiaTheme="minorEastAsia" w:cs="Times New Roman"/>
          <w:szCs w:val="22"/>
        </w:rPr>
        <w:t>The group also considered the notion of a first step (in a timeframe consistent with Work Stream 1) focusing on changes in the Bylaws and current mechanisms only, while assessing the opportunity to go one step further as part of Work Stream 2.</w:t>
      </w:r>
    </w:p>
    <w:p>
      <w:pPr>
        <w:pStyle w:val="ListParagraph"/>
        <w:numPr>
          <w:ilvl w:val="0"/>
          <w:numId w:val="0"/>
        </w:numPr>
        <w:spacing w:line="240" w:lineRule="auto"/>
        <w:rPr>
          <w:rFonts w:eastAsiaTheme="minorEastAsia"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 xml:space="preserve">None of the mechanism possibilities should be considered “off the table”. The work of the CCWG-Accountability has proceeded quickly, and our counsel are rapidly becoming familiar with the complexities of ICANN’s history and current approach to dealing with many of these matters. </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That said, the CCWG-Accountability is clearly of the view that the SO/AC Membership Model is the currently preferred approach, and relies on this in much of what follows.</w:t>
      </w:r>
      <w:r>
        <w:rPr>
          <w:rFonts w:eastAsiaTheme="minorEastAsia" w:cs="Times New Roman"/>
          <w:szCs w:val="22"/>
          <w:shd w:val="clear" w:color="auto" w:fill="FFFFFF"/>
        </w:rPr>
        <w:br/>
      </w: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How the Reference Mechanism operates (e.g., whether the votes are “cast” by the SOs and ACs as organized through a Membership model, whether or there is some community group where there are representatives, how the community’s decisions are implemented through those Sos and ACs that are Member Entities, and/or model rules for the unincorporated associations) is an important implementation detail that will be developed by the CCWG-Accountability and open for thorough community consultation in our second Public Comment report.</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Please see the additional detail that explains this model set out in Appendix H</w:t>
      </w:r>
    </w:p>
    <w:p>
      <w:pPr>
        <w:spacing w:before="120" w:after="100"/>
        <w:ind w:hanging="540"/>
        <w:rPr>
          <w:szCs w:val="22"/>
        </w:rPr>
      </w:pPr>
      <w:r>
        <w:rPr>
          <w:b/>
          <w:bCs/>
          <w:iCs/>
          <w:color w:val="000000"/>
          <w:szCs w:val="22"/>
          <w:shd w:val="clear" w:color="auto" w:fill="FFFFFF"/>
        </w:rPr>
        <w:t xml:space="preserve">QUESTIONS AND OPEN ISSUES </w:t>
      </w:r>
    </w:p>
    <w:p>
      <w:pPr>
        <w:spacing w:before="120" w:after="100"/>
        <w:ind w:hanging="540"/>
        <w:rPr>
          <w:szCs w:val="22"/>
        </w:rPr>
      </w:pPr>
      <w:r>
        <w:rPr>
          <w:bCs/>
          <w:iCs/>
          <w:color w:val="000000"/>
          <w:szCs w:val="22"/>
          <w:shd w:val="clear" w:color="auto" w:fill="FFFFFF"/>
        </w:rPr>
        <w:t>6)</w:t>
      </w:r>
      <w:r>
        <w:rPr>
          <w:b/>
          <w:bCs/>
          <w:i/>
          <w:iCs/>
          <w:color w:val="000000"/>
          <w:szCs w:val="22"/>
          <w:shd w:val="clear" w:color="auto" w:fill="FFFFFF"/>
        </w:rPr>
        <w:t xml:space="preserve"> </w:t>
      </w:r>
      <w:r>
        <w:rPr>
          <w:color w:val="000000"/>
          <w:szCs w:val="22"/>
          <w:shd w:val="clear" w:color="auto" w:fill="FFFFFF"/>
        </w:rPr>
        <w:t xml:space="preserve">Do you agree that the introduction of a community mechanism to empower the community over certain Board decisions would enhance ICANN’s accountability? </w:t>
      </w:r>
    </w:p>
    <w:p>
      <w:pPr>
        <w:spacing w:before="120" w:after="100"/>
        <w:ind w:hanging="540"/>
        <w:rPr>
          <w:szCs w:val="22"/>
        </w:rPr>
      </w:pPr>
      <w:r>
        <w:rPr>
          <w:rFonts w:eastAsia="Times New Roman"/>
          <w:color w:val="000000"/>
          <w:szCs w:val="22"/>
          <w:shd w:val="clear" w:color="auto" w:fill="FFFFFF"/>
        </w:rPr>
        <w:t>7) What guidance, if any, would you provide to the CCWG-Accountability regarding the proposed options? Please provide the underlying rationale in terms of required accountability features or protection against certain contingencies.</w:t>
      </w:r>
    </w:p>
    <w:p>
      <w:pPr>
        <w:numPr>
          <w:ilvl w:val="0"/>
          <w:numId w:val="0"/>
        </w:numPr>
        <w:spacing w:before="120" w:after="100"/>
        <w:ind w:left="360"/>
        <w:rPr>
          <w:sz w:val="20"/>
        </w:rPr>
      </w:pPr>
    </w:p>
    <w:p>
      <w:pPr>
        <w:pStyle w:val="Heading2"/>
      </w:pPr>
      <w:bookmarkStart w:id="56" w:name="_Toc292025310"/>
      <w:bookmarkStart w:id="57" w:name="_Toc292010159"/>
      <w:r>
        <w:t>2.6.1.2 Influence in the Community Mechanism</w:t>
      </w:r>
      <w:bookmarkEnd w:id="56"/>
      <w:bookmarkEnd w:id="57"/>
    </w:p>
    <w:p>
      <w:pPr>
        <w:spacing w:before="120" w:after="100"/>
        <w:ind w:hanging="540"/>
        <w:rPr>
          <w:rFonts w:eastAsiaTheme="minorEastAsia"/>
          <w:sz w:val="20"/>
        </w:rPr>
      </w:pPr>
      <w:r>
        <w:rPr>
          <w:rFonts w:eastAsia="Times New Roman"/>
          <w:szCs w:val="22"/>
          <w:shd w:val="clear" w:color="auto" w:fill="FFFFFF"/>
        </w:rPr>
        <w:t>Apart from the role played by the Members (or Designators)</w:t>
      </w:r>
      <w:bookmarkStart w:id="58" w:name="_GoBack"/>
      <w:bookmarkEnd w:id="58"/>
      <w:r>
        <w:rPr>
          <w:rFonts w:eastAsia="Times New Roman"/>
          <w:szCs w:val="22"/>
          <w:shd w:val="clear" w:color="auto" w:fill="FFFFFF"/>
        </w:rPr>
        <w:t xml:space="preserve"> to enforce the six community powers described above, there is also an important accountability role for the larger ICANN community, which for these purposes would include all of the ACs as voting participants.  The CCWG-Accountability considered the decision weights of the various parts of the community. The following table sets out the Reference Option, which was the most supported approach among CCWG-Accountability participants.  Again, there will need to be an additional process step to translate this community group decision to ICANN Member action (or, with respect to a more limited set of community powers ICANN designator action) directed to the ICANN Board, but </w:t>
      </w:r>
      <w:r>
        <w:rPr>
          <w:rFonts w:eastAsiaTheme="minorEastAsia"/>
          <w:szCs w:val="22"/>
          <w:shd w:val="clear" w:color="auto" w:fill="FFFFFF"/>
        </w:rPr>
        <w:t>that is an implementation detail that will be developed by the CCWG-Accountability and open for thorough community consultation in our second Public Comment report</w:t>
      </w:r>
      <w:r>
        <w:rPr>
          <w:rFonts w:eastAsia="Times New Roman"/>
          <w:szCs w:val="22"/>
          <w:shd w:val="clear" w:color="auto" w:fill="FFFFFF"/>
        </w:rPr>
        <w:t xml:space="preserve">: </w:t>
      </w:r>
    </w:p>
    <w:p>
      <w:pPr>
        <w:pStyle w:val="Normal1"/>
        <w:spacing w:line="240" w:lineRule="auto"/>
        <w:ind w:hanging="540"/>
        <w:rPr>
          <w:rFonts w:ascii="Helvetica" w:hAnsi="Helvetica" w:cs="Times New Roman"/>
          <w:szCs w:val="22"/>
        </w:rPr>
      </w:pP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820"/>
        <w:gridCol w:w="3826"/>
      </w:tblGrid>
      <w:tr>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Community segment</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Times New Roman" w:hAnsi="Helvetica" w:cs="Times New Roman"/>
                <w:color w:val="000000"/>
                <w:sz w:val="22"/>
                <w:szCs w:val="22"/>
                <w:shd w:val="clear" w:color="auto" w:fill="FFFFFF"/>
                <w:lang w:val="en-AU"/>
              </w:rPr>
              <w:t>Reference Option “votes”</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ASO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ccNSO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gNSO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At Large</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85"/>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GAC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SSAC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2</w:t>
            </w:r>
          </w:p>
        </w:tc>
      </w:tr>
      <w:tr>
        <w:tblPrEx>
          <w:tblW w:w="0" w:type="auto"/>
          <w:tblInd w:w="720" w:type="dxa"/>
          <w:tblCellMar>
            <w:top w:w="0" w:type="dxa"/>
            <w:left w:w="108" w:type="dxa"/>
            <w:bottom w:w="0" w:type="dxa"/>
            <w:right w:w="108" w:type="dxa"/>
          </w:tblCellMar>
          <w:tblLook w:val="04A0"/>
        </w:tblPrEx>
        <w:trPr>
          <w:cantSplit/>
          <w:trHeight w:val="285"/>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RSSAC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2</w:t>
            </w:r>
          </w:p>
        </w:tc>
      </w:tr>
    </w:tbl>
    <w:p>
      <w:pPr>
        <w:pStyle w:val="Normal1"/>
        <w:spacing w:line="240" w:lineRule="auto"/>
        <w:ind w:hanging="540"/>
        <w:rPr>
          <w:rFonts w:ascii="Helvetica" w:hAnsi="Helvetica" w:cs="Times New Roman"/>
          <w:szCs w:val="22"/>
        </w:rPr>
      </w:pPr>
    </w:p>
    <w:p>
      <w:pPr>
        <w:pStyle w:val="Normal1"/>
        <w:spacing w:line="240" w:lineRule="auto"/>
        <w:ind w:hanging="540"/>
        <w:rPr>
          <w:rFonts w:ascii="Helvetica" w:hAnsi="Helvetica" w:cs="Times New Roman"/>
          <w:b/>
          <w:i/>
          <w:szCs w:val="22"/>
          <w:u w:val="single"/>
        </w:rPr>
      </w:pPr>
    </w:p>
    <w:p>
      <w:pPr>
        <w:ind w:right="140" w:hanging="540"/>
      </w:pPr>
      <w:r>
        <w:t>The CCWG-Accountability also discussed two further approaches, neither of which received significant support:</w:t>
      </w:r>
    </w:p>
    <w:p>
      <w:pPr>
        <w:numPr>
          <w:ilvl w:val="0"/>
          <w:numId w:val="33"/>
        </w:numPr>
        <w:ind w:left="1440" w:right="140"/>
      </w:pPr>
      <w:r>
        <w:t>Alternative A - Each SOs receives 4 “votes”; each AC receives 2 “votes”</w:t>
      </w:r>
    </w:p>
    <w:p>
      <w:pPr>
        <w:numPr>
          <w:ilvl w:val="0"/>
          <w:numId w:val="33"/>
        </w:numPr>
        <w:ind w:left="1440" w:right="140"/>
      </w:pPr>
      <w:r>
        <w:t>Alternative B - Each SO and AC receives 5 “votes”</w:t>
      </w:r>
    </w:p>
    <w:p>
      <w:pPr>
        <w:pStyle w:val="Normal1"/>
        <w:tabs>
          <w:tab w:val="left" w:pos="1080"/>
        </w:tabs>
        <w:spacing w:line="240" w:lineRule="auto"/>
        <w:ind w:hanging="540"/>
        <w:rPr>
          <w:rFonts w:ascii="Helvetica" w:hAnsi="Helvetica" w:cs="Times New Roman"/>
          <w:szCs w:val="22"/>
        </w:rPr>
      </w:pP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 xml:space="preserve">The rationale for the Reference Option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Pr>
          <w:rFonts w:ascii="Helvetica" w:eastAsia="Times New Roman" w:hAnsi="Helvetica" w:cs="Times New Roman"/>
          <w:szCs w:val="22"/>
          <w:shd w:val="clear" w:color="auto" w:fill="FFFFFF"/>
        </w:rPr>
        <w:t>(compared with ICANN’s mission being focused mainly on policy)</w:t>
      </w:r>
      <w:r>
        <w:rPr>
          <w:rFonts w:ascii="Helvetica" w:hAnsi="Helvetica" w:cs="Times New Roman"/>
          <w:szCs w:val="22"/>
        </w:rPr>
        <w:t xml:space="preserve">.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rationale for Alternative A is that it gives the bulk of influence to the SOs, while guaranteeing a say for the ACs on an equal basis between them. It is therefore more closely aligned with the existing structure of ICANN.</w:t>
      </w:r>
    </w:p>
    <w:p>
      <w:pPr>
        <w:pStyle w:val="Normal1"/>
        <w:numPr>
          <w:ilvl w:val="0"/>
          <w:numId w:val="34"/>
        </w:numPr>
        <w:spacing w:line="240" w:lineRule="auto"/>
        <w:ind w:left="2880"/>
        <w:rPr>
          <w:rFonts w:ascii="Helvetica" w:hAnsi="Helvetica" w:cs="Times New Roman"/>
          <w:b/>
          <w:i/>
          <w:szCs w:val="22"/>
          <w:u w:val="single"/>
        </w:rPr>
      </w:pPr>
      <w:r>
        <w:rPr>
          <w:rFonts w:ascii="Helvetica" w:eastAsia="Times New Roman" w:hAnsi="Helvetica" w:cs="Times New Roman"/>
          <w:szCs w:val="22"/>
          <w:shd w:val="clear" w:color="auto" w:fill="FFFFFF"/>
        </w:rPr>
        <w:t>The rationale for Alternative B is to give equal influence to each of the seven SOs and ACs.</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szCs w:val="22"/>
          <w:highlight w:val="yellow"/>
        </w:rPr>
        <w:t xml:space="preserve">.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Reference Option emerged as part of Work Party 1’s deliberations following up on the CCWG-Accountability’s discussions in Singapore. Alternatives A and B emerged recently in deliberations and of the whole CCWG-Accountability.</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subsidiary option discussed in Istanbul of 2 votes for the first five SOs and ACs, and one vote for the remaining two, has not been pursued.</w:t>
      </w:r>
    </w:p>
    <w:p>
      <w:pPr>
        <w:pStyle w:val="Normal1"/>
        <w:spacing w:line="240" w:lineRule="auto"/>
        <w:ind w:hanging="540"/>
        <w:rPr>
          <w:rFonts w:ascii="Helvetica" w:hAnsi="Helvetica" w:cs="Times New Roman"/>
          <w:b/>
          <w:i/>
          <w:szCs w:val="22"/>
          <w:u w:val="single"/>
        </w:rPr>
      </w:pPr>
      <w:bookmarkEnd w:id="55"/>
    </w:p>
    <w:p>
      <w:pPr>
        <w:ind w:right="50" w:hanging="540"/>
        <w:rPr>
          <w:b/>
          <w:i/>
          <w:szCs w:val="22"/>
          <w:u w:val="single"/>
        </w:rPr>
      </w:pPr>
      <w:r>
        <w:rPr>
          <w:b/>
          <w:bCs/>
          <w:iCs/>
          <w:szCs w:val="22"/>
          <w:shd w:val="clear" w:color="auto" w:fill="FFFFFF"/>
        </w:rPr>
        <w:t xml:space="preserve">QUESTIONS AND OPEN ISSUES: </w:t>
      </w:r>
      <w:r>
        <w:rPr>
          <w:szCs w:val="22"/>
          <w:shd w:val="clear" w:color="auto" w:fill="FFFFFF"/>
        </w:rPr>
        <w:t> </w:t>
      </w:r>
      <w:r>
        <w:rPr>
          <w:szCs w:val="22"/>
          <w:shd w:val="clear" w:color="auto" w:fill="FFFFFF"/>
        </w:rPr>
        <w:br/>
      </w:r>
    </w:p>
    <w:p>
      <w:pPr>
        <w:ind w:hanging="540"/>
        <w:rPr>
          <w:b/>
          <w:i/>
          <w:szCs w:val="22"/>
          <w:u w:val="single"/>
        </w:rPr>
      </w:pPr>
      <w:r>
        <w:rPr>
          <w:shd w:val="clear" w:color="auto" w:fill="FFFFFF"/>
        </w:rPr>
        <w:t xml:space="preserve">8)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w:t>
      </w:r>
    </w:p>
    <w:p>
      <w:pPr>
        <w:numPr>
          <w:ilvl w:val="0"/>
          <w:numId w:val="0"/>
        </w:numPr>
        <w:ind w:left="360" w:hanging="540"/>
        <w:rPr>
          <w:bCs/>
          <w:szCs w:val="22"/>
        </w:rPr>
      </w:pPr>
    </w:p>
    <w:p>
      <w:pPr>
        <w:pStyle w:val="Heading2"/>
      </w:pPr>
      <w:bookmarkStart w:id="59" w:name="_Toc292025311"/>
      <w:bookmarkStart w:id="60" w:name="_Toc292010160"/>
      <w:r>
        <w:t>2.6.1.3 Governance models and community powers</w:t>
      </w:r>
      <w:bookmarkEnd w:id="59"/>
      <w:bookmarkEnd w:id="60"/>
    </w:p>
    <w:p>
      <w:pPr>
        <w:numPr>
          <w:ilvl w:val="0"/>
          <w:numId w:val="0"/>
        </w:numPr>
        <w:ind w:left="360" w:hanging="540"/>
        <w:rPr>
          <w:bCs/>
          <w:szCs w:val="22"/>
        </w:rPr>
      </w:pPr>
      <w:r>
        <w:rPr>
          <w:szCs w:val="22"/>
          <w:highlight w:val="yellow"/>
        </w:rPr>
        <w:t>Please refer to appendix H produced by the legal firms.</w:t>
      </w:r>
    </w:p>
    <w:p>
      <w:pPr>
        <w:pStyle w:val="Heading2"/>
      </w:pPr>
      <w:bookmarkStart w:id="61" w:name="_Toc291848693"/>
      <w:bookmarkStart w:id="62" w:name="_Toc292025312"/>
      <w:bookmarkStart w:id="63" w:name="_Toc292010161"/>
      <w:r>
        <w:t>2.6.2 Power: reconsider/reject budget or strategy/operating plans</w:t>
      </w:r>
      <w:bookmarkEnd w:id="61"/>
      <w:bookmarkEnd w:id="62"/>
      <w:bookmarkEnd w:id="63"/>
      <w:r>
        <w:t xml:space="preserve"> </w:t>
      </w:r>
    </w:p>
    <w:p>
      <w:pPr>
        <w:ind w:right="50" w:hanging="540"/>
        <w:rPr>
          <w:color w:val="4F81BD"/>
          <w:szCs w:val="22"/>
        </w:rPr>
      </w:pPr>
      <w:r>
        <w:rPr>
          <w:szCs w:val="22"/>
        </w:rPr>
        <w:t xml:space="preserve">The right to set budgets and strategic direction is a critical governance power for an organization. By allocating resources and defining the goals to which they are directed, strategic/operating plans and budgets have a material impact on what ICANN does and how effectively it fulfills its role. </w:t>
      </w:r>
    </w:p>
    <w:p>
      <w:pPr>
        <w:numPr>
          <w:ilvl w:val="0"/>
          <w:numId w:val="0"/>
        </w:numPr>
        <w:ind w:left="360" w:right="50" w:hanging="540"/>
        <w:rPr>
          <w:color w:val="4F81BD"/>
          <w:szCs w:val="22"/>
        </w:rPr>
      </w:pPr>
    </w:p>
    <w:p>
      <w:pPr>
        <w:ind w:right="50" w:hanging="540"/>
        <w:rPr>
          <w:color w:val="4F81BD"/>
          <w:szCs w:val="22"/>
        </w:rPr>
      </w:pPr>
      <w:r>
        <w:rPr>
          <w:szCs w:val="22"/>
        </w:rPr>
        <w:t xml:space="preserve">Today, ICANN’s Board makes final decisions on strategy, operations plans and budgets. </w:t>
      </w:r>
      <w:r>
        <w:rPr>
          <w:szCs w:val="22"/>
          <w:shd w:val="clear" w:color="auto" w:fill="FFFFFF"/>
        </w:rPr>
        <w:t>While ICANN consults the community in developing strategic/business plans, there is no mechanism defined in the Bylaws that requires ICANN to develop such plans in a way that includes a community feedback process. Even if feedback was unanimous, the Board could still opt to ignore it today.</w:t>
      </w:r>
    </w:p>
    <w:p>
      <w:pPr>
        <w:numPr>
          <w:ilvl w:val="0"/>
          <w:numId w:val="0"/>
        </w:numPr>
        <w:ind w:right="50" w:hanging="540"/>
        <w:rPr>
          <w:color w:val="4F81BD"/>
          <w:szCs w:val="22"/>
        </w:rPr>
      </w:pPr>
    </w:p>
    <w:p>
      <w:pPr>
        <w:ind w:right="50" w:hanging="540"/>
        <w:rPr>
          <w:color w:val="4F81BD"/>
          <w:szCs w:val="22"/>
        </w:rPr>
      </w:pPr>
      <w:r>
        <w:rPr>
          <w:szCs w:val="22"/>
        </w:rPr>
        <w:t xml:space="preserve">This new power would give the community the ability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  The full community mechanism could raise concerns; based on that feedback, the Member SOs/ACs would have the power to reject the budget.  </w:t>
      </w:r>
    </w:p>
    <w:p>
      <w:pPr>
        <w:numPr>
          <w:ilvl w:val="0"/>
          <w:numId w:val="0"/>
        </w:numPr>
        <w:ind w:right="50" w:hanging="540"/>
        <w:rPr>
          <w:color w:val="4F81BD"/>
          <w:szCs w:val="22"/>
        </w:rPr>
      </w:pPr>
    </w:p>
    <w:p>
      <w:pPr>
        <w:ind w:right="50" w:hanging="540"/>
        <w:rPr>
          <w:color w:val="4F81BD"/>
          <w:szCs w:val="22"/>
        </w:rPr>
      </w:pPr>
      <w:r>
        <w:rPr>
          <w:szCs w:val="22"/>
        </w:rPr>
        <w:t xml:space="preserve">Time would be included in planning and budgeting processes for the community to consider adopted plans and decide whether to reject such plans (timeframe to be determined). These processes would also need to set out the required level of detail for such documents.  The CWG-Stewardship has expressed a requirement for the budget to be transparent with respect to the IANA function’s costs and clear itemization of such costs.  Note that improvements to the community’s input into these processes are for consideration by the CCWG-Accountability as part of Work Stream 2 efforts. </w:t>
      </w:r>
    </w:p>
    <w:p>
      <w:pPr>
        <w:numPr>
          <w:ilvl w:val="0"/>
          <w:numId w:val="0"/>
        </w:numPr>
        <w:ind w:right="50" w:hanging="540"/>
        <w:rPr>
          <w:color w:val="4F81BD"/>
          <w:szCs w:val="22"/>
        </w:rPr>
      </w:pPr>
    </w:p>
    <w:p>
      <w:pPr>
        <w:ind w:right="50" w:hanging="540"/>
        <w:rPr>
          <w:color w:val="4F81BD"/>
          <w:szCs w:val="22"/>
        </w:rPr>
      </w:pPr>
      <w:r>
        <w:rPr>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numPr>
          <w:ilvl w:val="0"/>
          <w:numId w:val="0"/>
        </w:numPr>
        <w:ind w:right="50" w:hanging="540"/>
        <w:rPr>
          <w:color w:val="4F81BD"/>
          <w:szCs w:val="22"/>
        </w:rPr>
      </w:pPr>
    </w:p>
    <w:p>
      <w:pPr>
        <w:ind w:right="50" w:hanging="540"/>
        <w:rPr>
          <w:color w:val="4F81BD"/>
          <w:szCs w:val="22"/>
        </w:rPr>
      </w:pPr>
      <w:r>
        <w:rPr>
          <w:szCs w:val="22"/>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Eventually it will have to reconcile itself to the community’s view. If the Board is unable or unwilling to do so, other mechanisms (as set out in this part of the First Public Comment Report) are available if the community wanted to take the matter further.</w:t>
      </w:r>
    </w:p>
    <w:p>
      <w:pPr>
        <w:numPr>
          <w:ilvl w:val="0"/>
          <w:numId w:val="0"/>
        </w:numPr>
        <w:ind w:right="50" w:hanging="540"/>
        <w:rPr>
          <w:color w:val="4F81BD"/>
          <w:szCs w:val="22"/>
        </w:rPr>
      </w:pPr>
    </w:p>
    <w:p>
      <w:pPr>
        <w:ind w:right="50" w:hanging="540"/>
        <w:rPr>
          <w:color w:val="4F81BD"/>
          <w:szCs w:val="22"/>
        </w:rPr>
      </w:pPr>
      <w:r>
        <w:rPr>
          <w:szCs w:val="22"/>
        </w:rPr>
        <w:t xml:space="preserve">This power does not allow the community to re-write a plan or a budget: it is a process that requires reconsideration of such documents by the Board if the community feels they are not acceptable. </w:t>
      </w:r>
      <w:r>
        <w:rPr>
          <w:bCs/>
          <w:iCs/>
          <w:szCs w:val="22"/>
        </w:rPr>
        <w:t>Where a plan or budget has been sent back, all the issues must be raised on that first return. That plan or budget cannot be sent back again with new issues raised, but the community can reject a subsequent version where it does not accept the Board’s response to the previous rejection.</w:t>
      </w:r>
    </w:p>
    <w:p>
      <w:pPr>
        <w:numPr>
          <w:ilvl w:val="0"/>
          <w:numId w:val="0"/>
        </w:numPr>
        <w:ind w:right="50"/>
        <w:rPr>
          <w:color w:val="4F81BD"/>
          <w:szCs w:val="22"/>
        </w:rPr>
      </w:pPr>
    </w:p>
    <w:p>
      <w:pPr>
        <w:ind w:right="50" w:hanging="540"/>
        <w:rPr>
          <w:color w:val="4F81BD"/>
          <w:szCs w:val="22"/>
        </w:rPr>
      </w:pPr>
      <w:r>
        <w:rPr>
          <w:szCs w:val="22"/>
        </w:rPr>
        <w:t xml:space="preserve">As this power would become part of existing planning processes (incorporated into the Bylaws as required), it does not raise questions of standing in respect of someone raising a complaint. </w:t>
      </w:r>
    </w:p>
    <w:p>
      <w:pPr>
        <w:numPr>
          <w:ilvl w:val="0"/>
          <w:numId w:val="0"/>
        </w:numPr>
        <w:ind w:right="50"/>
        <w:rPr>
          <w:color w:val="4F81BD"/>
          <w:szCs w:val="22"/>
        </w:rPr>
      </w:pPr>
    </w:p>
    <w:p>
      <w:pPr>
        <w:ind w:right="50" w:hanging="540"/>
        <w:rPr>
          <w:color w:val="4F81BD"/>
          <w:szCs w:val="22"/>
        </w:rPr>
      </w:pPr>
      <w:r>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numPr>
          <w:ilvl w:val="0"/>
          <w:numId w:val="0"/>
        </w:numPr>
        <w:ind w:left="360" w:right="50"/>
        <w:rPr>
          <w:color w:val="4F81BD"/>
          <w:szCs w:val="22"/>
        </w:rPr>
      </w:pPr>
    </w:p>
    <w:p>
      <w:pPr>
        <w:ind w:hanging="540"/>
        <w:rPr>
          <w:b/>
        </w:rPr>
      </w:pPr>
      <w:r>
        <w:rPr>
          <w:b/>
        </w:rPr>
        <w:t xml:space="preserve">QUESTIONS AND OPEN ISSUES: </w:t>
      </w:r>
      <w:r>
        <w:rPr>
          <w:b/>
        </w:rPr>
        <w:br/>
      </w:r>
    </w:p>
    <w:p>
      <w:pPr>
        <w:ind w:hanging="540"/>
        <w:rPr>
          <w:bCs/>
        </w:rPr>
      </w:pPr>
      <w:r>
        <w:t>9) Do you agree that the power for the community to reject a budget or strategic plan would enhance ICANN's accountability? Do you agree with the list of requirements for this recommendation? If not, please detail how you would recommend amending these requirements.</w:t>
      </w:r>
    </w:p>
    <w:p>
      <w:pPr>
        <w:pStyle w:val="Heading2"/>
      </w:pPr>
      <w:bookmarkStart w:id="64" w:name="_Toc291848694"/>
      <w:bookmarkStart w:id="65" w:name="_Toc292025313"/>
      <w:bookmarkStart w:id="66" w:name="_Toc292010162"/>
      <w:r>
        <w:t>2.6.3</w:t>
      </w:r>
      <w:r>
        <w:rPr>
          <w:rStyle w:val="apple-tab-span"/>
        </w:rPr>
        <w:tab/>
        <w:t xml:space="preserve"> </w:t>
      </w:r>
      <w:r>
        <w:t xml:space="preserve">Power: reconsider/reject changes to ICANN “standard” </w:t>
      </w:r>
      <w:bookmarkEnd w:id="64"/>
      <w:bookmarkEnd w:id="65"/>
      <w:bookmarkEnd w:id="66"/>
      <w:r>
        <w:t xml:space="preserve">Bylaws </w:t>
      </w:r>
    </w:p>
    <w:p>
      <w:pPr>
        <w:ind w:hanging="540"/>
        <w:rPr>
          <w:rStyle w:val="Introductorytext"/>
          <w:rFonts w:ascii="Helvetica" w:hAnsi="Helvetica"/>
          <w:sz w:val="22"/>
          <w:szCs w:val="22"/>
        </w:rPr>
      </w:pPr>
      <w:r>
        <w:rPr>
          <w:rStyle w:val="Introductorytext"/>
          <w:rFonts w:ascii="Helvetica" w:hAnsi="Helvetica"/>
          <w:sz w:val="22"/>
          <w:szCs w:val="22"/>
        </w:rPr>
        <w:t xml:space="preserve">This section applies to “standard” bylaws – all those bylaws that are not Fundamental Bylaws (see 2.6.4 below). </w:t>
      </w:r>
    </w:p>
    <w:p>
      <w:pPr>
        <w:numPr>
          <w:ilvl w:val="0"/>
          <w:numId w:val="0"/>
        </w:numPr>
        <w:ind w:left="360" w:hanging="540"/>
        <w:rPr>
          <w:rStyle w:val="Introductorytext"/>
          <w:rFonts w:ascii="Helvetica" w:hAnsi="Helvetica"/>
          <w:sz w:val="22"/>
          <w:szCs w:val="22"/>
        </w:rPr>
      </w:pPr>
    </w:p>
    <w:p>
      <w:pPr>
        <w:ind w:hanging="540"/>
        <w:rPr>
          <w:color w:val="000000"/>
          <w:szCs w:val="22"/>
        </w:rPr>
      </w:pPr>
      <w:r>
        <w:rPr>
          <w:color w:val="000000"/>
          <w:szCs w:val="22"/>
        </w:rPr>
        <w:t xml:space="preserve">ICANN’s Bylaws set out many of the details for how power is exercised in ICANN, including by setting out the company’s Mission, Commitments and Core Values.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pPr>
        <w:numPr>
          <w:ilvl w:val="0"/>
          <w:numId w:val="0"/>
        </w:numPr>
        <w:ind w:hanging="540"/>
        <w:rPr>
          <w:color w:val="000000"/>
          <w:szCs w:val="22"/>
        </w:rPr>
      </w:pPr>
    </w:p>
    <w:p>
      <w:pPr>
        <w:ind w:hanging="540"/>
        <w:rPr>
          <w:color w:val="000000"/>
          <w:szCs w:val="22"/>
        </w:rPr>
      </w:pPr>
      <w:r>
        <w:rPr>
          <w:color w:val="000000"/>
          <w:szCs w:val="22"/>
        </w:rPr>
        <w:t xml:space="preserve">This power would give the Member Sos/ACs (with input from the larger community) the right to reject proposed Bylaws changes </w:t>
      </w:r>
      <w:r>
        <w:rPr>
          <w:bCs/>
          <w:iCs/>
          <w:color w:val="000000"/>
          <w:szCs w:val="22"/>
        </w:rPr>
        <w:t>after they are approved by the Board (but before they come into effect)</w:t>
      </w:r>
      <w:r>
        <w:rPr>
          <w:color w:val="000000"/>
          <w:szCs w:val="22"/>
        </w:rPr>
        <w:t xml:space="preserve">. This would most likely be where a proposed change altered the </w:t>
      </w:r>
      <w:r>
        <w:rPr>
          <w:szCs w:val="22"/>
        </w:rPr>
        <w:t>Mission, Commitments and Core Values</w:t>
      </w:r>
      <w:r>
        <w:rPr>
          <w:color w:val="000000"/>
          <w:szCs w:val="22"/>
        </w:rPr>
        <w:t>, or had a negative impact on ICANN’s ability to fulfill its purpose in the community’s opinion, but would be available in response to any proposed Bylaws change.</w:t>
      </w:r>
    </w:p>
    <w:p>
      <w:pPr>
        <w:numPr>
          <w:ilvl w:val="0"/>
          <w:numId w:val="0"/>
        </w:numPr>
        <w:ind w:hanging="540"/>
        <w:rPr>
          <w:color w:val="000000"/>
          <w:szCs w:val="22"/>
        </w:rPr>
      </w:pPr>
    </w:p>
    <w:p>
      <w:pPr>
        <w:ind w:hanging="540"/>
        <w:rPr>
          <w:color w:val="000000"/>
          <w:szCs w:val="22"/>
        </w:rPr>
      </w:pPr>
      <w:r>
        <w:rPr>
          <w:color w:val="000000"/>
          <w:szCs w:val="22"/>
        </w:rPr>
        <w:t>The time required for this power to be exercised would be included in the Bylaws adoption process (</w:t>
      </w:r>
      <w:r>
        <w:rPr>
          <w:bCs/>
          <w:iCs/>
          <w:color w:val="000000"/>
          <w:szCs w:val="22"/>
        </w:rPr>
        <w:t>probably a two-week window following Board approval</w:t>
      </w:r>
      <w:r>
        <w:rPr>
          <w:color w:val="000000"/>
          <w:szCs w:val="22"/>
        </w:rPr>
        <w:t xml:space="preserve">). If the community exercises this power, the Board would have to absorb the feedback, make adjustments, and propose a new set of amendments to the Bylaws. </w:t>
      </w:r>
    </w:p>
    <w:p>
      <w:pPr>
        <w:numPr>
          <w:ilvl w:val="0"/>
          <w:numId w:val="0"/>
        </w:numPr>
        <w:ind w:hanging="540"/>
        <w:rPr>
          <w:color w:val="000000"/>
          <w:szCs w:val="22"/>
        </w:rPr>
      </w:pPr>
    </w:p>
    <w:p>
      <w:pPr>
        <w:ind w:hanging="540"/>
        <w:rPr>
          <w:color w:val="000000"/>
          <w:szCs w:val="22"/>
        </w:rPr>
      </w:pPr>
      <w:r>
        <w:rPr>
          <w:bCs/>
          <w:iCs/>
          <w:color w:val="000000"/>
          <w:szCs w:val="22"/>
        </w:rPr>
        <w:t>It would require a 3/4 level of support in the community mechanism to reject a proposed Bylaw change</w:t>
      </w:r>
      <w:r>
        <w:rPr>
          <w:color w:val="000000"/>
          <w:szCs w:val="22"/>
        </w:rPr>
        <w:t xml:space="preserve">.  </w:t>
      </w:r>
      <w:r>
        <w:rPr>
          <w:color w:val="000000"/>
          <w:szCs w:val="22"/>
          <w:highlight w:val="yellow"/>
        </w:rPr>
        <w:t>[</w:t>
      </w:r>
      <w:r>
        <w:rPr>
          <w:b/>
          <w:i/>
          <w:color w:val="000000"/>
          <w:szCs w:val="22"/>
          <w:highlight w:val="yellow"/>
        </w:rPr>
        <w:t>Adler</w:t>
      </w:r>
      <w:r>
        <w:rPr>
          <w:color w:val="000000"/>
          <w:szCs w:val="22"/>
          <w:highlight w:val="yellow"/>
        </w:rPr>
        <w:t xml:space="preserve"> </w:t>
      </w:r>
      <w:r>
        <w:rPr>
          <w:b/>
          <w:i/>
          <w:color w:val="000000"/>
          <w:szCs w:val="22"/>
          <w:highlight w:val="yellow"/>
        </w:rPr>
        <w:t>note</w:t>
      </w:r>
      <w:r>
        <w:rPr>
          <w:color w:val="000000"/>
          <w:szCs w:val="22"/>
          <w:highlight w:val="yellow"/>
        </w:rPr>
        <w:t>:  Needs to be adjusted since it’s the Member SOs/ACs that would have the power to reject.  We suggest a very high vote of the Member SOs/ACs to reject a proposed bylaw change]</w:t>
      </w:r>
      <w:r>
        <w:rPr>
          <w:color w:val="000000"/>
          <w:szCs w:val="22"/>
        </w:rPr>
        <w:t>. Note that for the Board to propose a Bylaws change requires a 2/3 vote in favor.</w:t>
      </w:r>
    </w:p>
    <w:p>
      <w:pPr>
        <w:numPr>
          <w:ilvl w:val="0"/>
          <w:numId w:val="0"/>
        </w:numPr>
        <w:ind w:hanging="540"/>
        <w:rPr>
          <w:color w:val="000000"/>
          <w:szCs w:val="22"/>
        </w:rPr>
      </w:pPr>
    </w:p>
    <w:p>
      <w:pPr>
        <w:ind w:hanging="540"/>
        <w:rPr>
          <w:color w:val="000000"/>
          <w:szCs w:val="22"/>
        </w:rPr>
      </w:pPr>
      <w:r>
        <w:rPr>
          <w:color w:val="000000"/>
          <w:szCs w:val="22"/>
        </w:rPr>
        <w:t xml:space="preserve">This power does not allow the community to re-write a proposed Bylaws change: it is a rejection process where the Board gets a clear signal the community is not happy. </w:t>
      </w:r>
      <w:r>
        <w:rPr>
          <w:bCs/>
          <w:iCs/>
          <w:color w:val="000000"/>
          <w:szCs w:val="22"/>
        </w:rPr>
        <w:t>There is no limit to the number of times a proposed change can be rejected, but the threshold for sending one back is a supermajority in the community mechanism set out in 2.6.1 above, to limit any potential for abuse of this power</w:t>
      </w:r>
      <w:r>
        <w:rPr>
          <w:iCs/>
          <w:color w:val="000000"/>
          <w:szCs w:val="22"/>
        </w:rPr>
        <w:t>.</w:t>
      </w:r>
    </w:p>
    <w:p>
      <w:pPr>
        <w:numPr>
          <w:ilvl w:val="0"/>
          <w:numId w:val="0"/>
        </w:numPr>
        <w:ind w:left="360" w:hanging="540"/>
        <w:rPr>
          <w:rFonts w:eastAsia="Times New Roman"/>
          <w:szCs w:val="22"/>
        </w:rPr>
      </w:pPr>
    </w:p>
    <w:p>
      <w:pPr>
        <w:ind w:hanging="540"/>
        <w:rPr>
          <w:color w:val="000000"/>
          <w:szCs w:val="22"/>
        </w:rPr>
      </w:pPr>
      <w:r>
        <w:rPr>
          <w:b/>
          <w:color w:val="000000"/>
          <w:szCs w:val="22"/>
        </w:rPr>
        <w:t>QUESTIONS AND OPEN ISSUES</w:t>
      </w:r>
      <w:r>
        <w:rPr>
          <w:color w:val="000000"/>
          <w:szCs w:val="22"/>
        </w:rPr>
        <w:t xml:space="preserve">: </w:t>
      </w:r>
    </w:p>
    <w:p>
      <w:pPr>
        <w:numPr>
          <w:ilvl w:val="0"/>
          <w:numId w:val="0"/>
        </w:numPr>
        <w:rPr>
          <w:color w:val="000000"/>
          <w:szCs w:val="22"/>
        </w:rPr>
      </w:pPr>
    </w:p>
    <w:p>
      <w:pPr>
        <w:ind w:hanging="540"/>
      </w:pPr>
      <w:r>
        <w:t xml:space="preserve">10) Do you agree that the power for the community to reject a proposed Bylaw change would enhance ICANN's accountability? Do you agree with the list of requirements for this recommendation? If not, please detail how you would recommend to amend these requirements. </w:t>
      </w:r>
    </w:p>
    <w:p>
      <w:pPr>
        <w:pStyle w:val="NormalWeb"/>
        <w:numPr>
          <w:ilvl w:val="0"/>
          <w:numId w:val="0"/>
        </w:numPr>
        <w:spacing w:before="120" w:beforeAutospacing="0" w:afterAutospacing="0"/>
        <w:ind w:left="360"/>
        <w:rPr>
          <w:rFonts w:ascii="Helvetica" w:eastAsia="MS Mincho" w:hAnsi="Helvetica"/>
        </w:rPr>
      </w:pPr>
    </w:p>
    <w:p>
      <w:pPr>
        <w:pStyle w:val="Heading2"/>
      </w:pPr>
      <w:bookmarkStart w:id="67" w:name="_Toc291848695"/>
      <w:bookmarkStart w:id="68" w:name="_Toc292025314"/>
      <w:bookmarkStart w:id="69" w:name="_Toc292010163"/>
      <w:r>
        <w:t>2.6.4</w:t>
      </w:r>
      <w:r>
        <w:rPr>
          <w:rStyle w:val="apple-tab-span"/>
          <w:rFonts w:eastAsia="Times New Roman"/>
          <w:b/>
          <w:bCs w:val="0"/>
          <w:color w:val="000000"/>
        </w:rPr>
        <w:t xml:space="preserve"> </w:t>
      </w:r>
      <w:r>
        <w:t xml:space="preserve">Power: approve changes to “Fundamental” </w:t>
      </w:r>
      <w:bookmarkEnd w:id="67"/>
      <w:r>
        <w:t xml:space="preserve">Bylaws </w:t>
      </w:r>
      <w:bookmarkEnd w:id="68"/>
      <w:bookmarkEnd w:id="69"/>
    </w:p>
    <w:p>
      <w:pPr>
        <w:ind w:hanging="540"/>
        <w:rPr>
          <w:color w:val="4F81BD"/>
        </w:rPr>
      </w:pPr>
      <w:r>
        <w:t>As outlined in section 2.3, the CCWG-Accountability is proposing that some core elements of the Bylaws be defined as “fundamental”. Fundamental Bylaws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numPr>
          <w:ilvl w:val="0"/>
          <w:numId w:val="0"/>
        </w:numPr>
        <w:ind w:left="360"/>
        <w:rPr>
          <w:color w:val="4F81BD"/>
        </w:rPr>
      </w:pPr>
    </w:p>
    <w:p>
      <w:pPr>
        <w:ind w:hanging="540"/>
        <w:rPr>
          <w:color w:val="4F81BD"/>
        </w:rPr>
      </w:pPr>
      <w:r>
        <w:t xml:space="preserve">This power would form part of the process set out for agreeing to any changes of the “fundamental” Bylaws. In conjunction with a community mechanism process, the Member SOs/ACs would have to give positive </w:t>
      </w:r>
      <w:r>
        <w:rPr>
          <w:i/>
          <w:iCs/>
        </w:rPr>
        <w:t>assent</w:t>
      </w:r>
      <w:r>
        <w:t xml:space="preserve"> to any change </w:t>
      </w:r>
      <w:r>
        <w:rPr>
          <w:i/>
          <w:iCs/>
        </w:rPr>
        <w:t>before</w:t>
      </w:r>
      <w:r>
        <w:t xml:space="preserve"> it was finalized, as part of a co-decision process between the Board and the community. </w:t>
      </w:r>
    </w:p>
    <w:p>
      <w:pPr>
        <w:numPr>
          <w:ilvl w:val="0"/>
          <w:numId w:val="0"/>
        </w:numPr>
        <w:rPr>
          <w:color w:val="4F81BD"/>
        </w:rPr>
      </w:pPr>
    </w:p>
    <w:p>
      <w:pPr>
        <w:ind w:hanging="540"/>
        <w:rPr>
          <w:color w:val="4F81BD"/>
        </w:rPr>
      </w:pPr>
      <w:r>
        <w:t>Such changes would require a very high degree of community assent, as the purpose of this power is to make changing items in such Bylaws possible only with very wide support from the community</w:t>
      </w:r>
    </w:p>
    <w:p>
      <w:pPr>
        <w:numPr>
          <w:ilvl w:val="0"/>
          <w:numId w:val="0"/>
        </w:numPr>
        <w:rPr>
          <w:color w:val="4F81BD"/>
        </w:rPr>
      </w:pPr>
    </w:p>
    <w:p>
      <w:pPr>
        <w:ind w:hanging="540"/>
        <w:rPr>
          <w:color w:val="4F81BD"/>
        </w:rPr>
      </w:pPr>
      <w:r>
        <w:t>For further information, see section 2.3.3 of this First Public Comment Report, where we set out what the “fundamental” Bylaws are alongside the process for their creation and amendment.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rPr>
      </w:pPr>
      <w:r>
        <w:rPr>
          <w:rFonts w:ascii="Helvetica" w:hAnsi="Helvetica"/>
          <w:b/>
          <w:color w:val="000000"/>
          <w:sz w:val="22"/>
          <w:szCs w:val="22"/>
        </w:rPr>
        <w:t>QUESTIONS AND OPEN ISSUES</w:t>
      </w:r>
      <w:r>
        <w:rPr>
          <w:rFonts w:ascii="Helvetica" w:hAnsi="Helvetica"/>
          <w:color w:val="000000"/>
          <w:sz w:val="22"/>
          <w:szCs w:val="22"/>
        </w:rPr>
        <w:t xml:space="preserve">: </w:t>
      </w:r>
    </w:p>
    <w:p>
      <w:pPr>
        <w:ind w:hanging="540"/>
      </w:pPr>
      <w:r>
        <w:t>11) Do you agree that the power for the community to approve any fundamental Bylaw change would enhance ICANN's accountability? Do you agree with the list of requirements for this recommendation? If not, please detail how you would recommend to amend these requirements.</w:t>
      </w:r>
      <w:r>
        <w:rPr>
          <w:sz w:val="24"/>
        </w:rPr>
        <w:t xml:space="preserve"> </w:t>
      </w:r>
      <w:r>
        <w:rPr>
          <w:sz w:val="23"/>
          <w:szCs w:val="23"/>
        </w:rPr>
        <w:br/>
      </w:r>
    </w:p>
    <w:p>
      <w:pPr>
        <w:pStyle w:val="Heading2"/>
      </w:pPr>
      <w:bookmarkStart w:id="70" w:name="_Toc291848696"/>
      <w:bookmarkStart w:id="71" w:name="_Toc292025315"/>
      <w:bookmarkStart w:id="72" w:name="_Toc292010164"/>
      <w:r>
        <w:t>2.6.5</w:t>
      </w:r>
      <w:r>
        <w:rPr>
          <w:rStyle w:val="apple-tab-span"/>
          <w:rFonts w:eastAsia="Times New Roman"/>
          <w:b/>
          <w:bCs w:val="0"/>
          <w:color w:val="000000"/>
        </w:rPr>
        <w:t xml:space="preserve"> </w:t>
      </w:r>
      <w:r>
        <w:t>Power: Removing individual ICANN Directors</w:t>
      </w:r>
      <w:bookmarkEnd w:id="70"/>
      <w:bookmarkEnd w:id="71"/>
      <w:bookmarkEnd w:id="72"/>
      <w:r>
        <w:t xml:space="preserve"> </w:t>
      </w:r>
    </w:p>
    <w:p>
      <w:p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pPr>
        <w:numPr>
          <w:ilvl w:val="0"/>
          <w:numId w:val="0"/>
        </w:numPr>
        <w:ind w:left="360" w:hanging="540"/>
        <w:rPr>
          <w:color w:val="4F81BD"/>
        </w:rPr>
      </w:pPr>
    </w:p>
    <w:p>
      <w:pPr>
        <w:ind w:hanging="540"/>
        <w:textAlignment w:val="baseline"/>
        <w:rPr>
          <w:color w:val="4F81BD"/>
          <w:szCs w:val="22"/>
        </w:rPr>
      </w:pPr>
      <w:r>
        <w:rPr>
          <w:szCs w:val="22"/>
        </w:rPr>
        <w:t>Directors are currently appointed for a fixed term and generally are in office for the whole term they are appointed - by their SO/AC, by the Nominating Committee. In addition the Board appoint the President and CEO (confirmed each year at the AGM). The power to remove individual directors of the ICANN Board is available only to the Board itself, and can be exercised through a 75% vote of the Board. There is no limitation</w:t>
      </w:r>
      <w:r>
        <w:rPr>
          <w:rStyle w:val="FootnoteReference"/>
          <w:color w:val="000000"/>
          <w:szCs w:val="22"/>
        </w:rPr>
        <w:footnoteReference w:id="5"/>
      </w:r>
      <w:r>
        <w:rPr>
          <w:szCs w:val="22"/>
        </w:rPr>
        <w:t xml:space="preserve"> on the types of situation for which the Board can remove a director.</w:t>
      </w:r>
      <w:r>
        <w:rPr>
          <w:szCs w:val="22"/>
        </w:rPr>
        <w:br/>
      </w:r>
    </w:p>
    <w:p>
      <w:pPr>
        <w:ind w:hanging="540"/>
        <w:rPr>
          <w:color w:val="4F81BD"/>
          <w:szCs w:val="22"/>
        </w:rPr>
      </w:pPr>
      <w:r>
        <w:rPr>
          <w:szCs w:val="22"/>
        </w:rPr>
        <w:t xml:space="preserve">This power would clarify that each specific community organization that appoints a given director may end his or her service in office, and trigger a reappointment process. The general approach, consistent with the law, is that the appointing body is the removing body. </w:t>
      </w:r>
    </w:p>
    <w:p>
      <w:pPr>
        <w:numPr>
          <w:ilvl w:val="0"/>
          <w:numId w:val="0"/>
        </w:numPr>
        <w:ind w:left="360" w:hanging="540"/>
        <w:rPr>
          <w:color w:val="4F81BD"/>
          <w:szCs w:val="22"/>
        </w:rPr>
      </w:pPr>
    </w:p>
    <w:p>
      <w:pPr>
        <w:ind w:hanging="540"/>
        <w:rPr>
          <w:color w:val="4F81BD"/>
          <w:szCs w:val="22"/>
        </w:rPr>
      </w:pPr>
      <w:r>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pPr>
        <w:numPr>
          <w:ilvl w:val="0"/>
          <w:numId w:val="0"/>
        </w:numPr>
        <w:ind w:left="360" w:hanging="540"/>
        <w:rPr>
          <w:color w:val="4F81BD"/>
          <w:szCs w:val="22"/>
        </w:rPr>
      </w:pPr>
    </w:p>
    <w:p>
      <w:pPr>
        <w:ind w:hanging="540"/>
        <w:rPr>
          <w:color w:val="4F81BD"/>
          <w:szCs w:val="22"/>
        </w:rPr>
      </w:pPr>
      <w:r>
        <w:rPr>
          <w:szCs w:val="22"/>
        </w:rPr>
        <w:t xml:space="preserve">For the directors appointed by the Nominating Committee, </w:t>
      </w:r>
      <w:r>
        <w:rPr>
          <w:bCs/>
          <w:iCs/>
          <w:szCs w:val="22"/>
        </w:rPr>
        <w:t>the CCWG-Accountability seeks the community's views about how to allow for removal. Following the principle of “the appointing body is the removing body”, it does need to be the NomCom that takes the decision to remove one of these directors. Consistent with the Reference Mechanism outlined above, we expect that the NomCom will need to obtain legal structure to be able to remove directors, as well as to appoint directors.  Our initial view is that such a removal process should only be triggered on the petition of at least two of the SOs or ACs (or an SG from the GNSO). Such a petition would set out the reason/s removal was sought, and then the NomCom would consider the matter.  Legal counsel is also considering alternative approaches which would permit NomCom to act without itself becoming a legal entity.</w:t>
      </w:r>
    </w:p>
    <w:p>
      <w:pPr>
        <w:numPr>
          <w:ilvl w:val="0"/>
          <w:numId w:val="0"/>
        </w:numPr>
        <w:ind w:left="360" w:hanging="540"/>
        <w:rPr>
          <w:bCs/>
          <w:iCs/>
          <w:szCs w:val="22"/>
        </w:rPr>
      </w:pPr>
    </w:p>
    <w:p>
      <w:pPr>
        <w:ind w:hanging="540"/>
        <w:rPr>
          <w:color w:val="4F81BD"/>
          <w:szCs w:val="22"/>
        </w:rPr>
      </w:pPr>
      <w:r>
        <w:rPr>
          <w:bCs/>
          <w:iCs/>
          <w:szCs w:val="22"/>
        </w:rPr>
        <w:t xml:space="preserve">The CCWG-Accountability sees two options (either of which is legally viable) for the composition of the NomCom when considering removal of a director. </w:t>
      </w:r>
    </w:p>
    <w:p>
      <w:pPr>
        <w:pStyle w:val="ListParagraph"/>
        <w:numPr>
          <w:ilvl w:val="0"/>
          <w:numId w:val="22"/>
        </w:numPr>
        <w:spacing w:before="120" w:after="100" w:line="240" w:lineRule="auto"/>
        <w:ind w:left="1440"/>
        <w:textAlignment w:val="baseline"/>
        <w:rPr>
          <w:rFonts w:cs="Times New Roman"/>
          <w:color w:val="000000"/>
          <w:szCs w:val="22"/>
        </w:rPr>
      </w:pPr>
      <w:r>
        <w:rPr>
          <w:rFonts w:cs="Times New Roman"/>
          <w:bCs/>
          <w:iCs/>
          <w:color w:val="000000"/>
          <w:szCs w:val="22"/>
        </w:rPr>
        <w:t xml:space="preserve">It could simply be that the NomCom members at the time of a petition being lodged would decide. </w:t>
      </w:r>
    </w:p>
    <w:p>
      <w:pPr>
        <w:pStyle w:val="ListParagraph"/>
        <w:numPr>
          <w:ilvl w:val="0"/>
          <w:numId w:val="22"/>
        </w:numPr>
        <w:spacing w:before="120" w:after="100" w:line="240" w:lineRule="auto"/>
        <w:ind w:left="1440"/>
        <w:textAlignment w:val="baseline"/>
        <w:rPr>
          <w:rFonts w:cs="Times New Roman"/>
          <w:color w:val="000000"/>
          <w:szCs w:val="22"/>
        </w:rPr>
      </w:pPr>
      <w:r>
        <w:rPr>
          <w:rFonts w:cs="Times New Roman"/>
          <w:bCs/>
          <w:iCs/>
          <w:color w:val="000000"/>
          <w:szCs w:val="22"/>
        </w:rPr>
        <w:t xml:space="preserve">Alternatively, a special committee of the NomCom could be established to deal with removal petitions when they arise. This is likely to only rarely be used. The composition of such a special committee has not been determined, and input is welcome. </w:t>
      </w:r>
    </w:p>
    <w:p>
      <w:pPr>
        <w:pStyle w:val="ListParagraph"/>
        <w:numPr>
          <w:ilvl w:val="0"/>
          <w:numId w:val="0"/>
        </w:numPr>
        <w:spacing w:before="120" w:after="100" w:line="240" w:lineRule="auto"/>
        <w:ind w:left="1440"/>
        <w:textAlignment w:val="baseline"/>
        <w:rPr>
          <w:rFonts w:cs="Times New Roman"/>
          <w:color w:val="000000"/>
          <w:szCs w:val="22"/>
        </w:rPr>
      </w:pPr>
    </w:p>
    <w:p>
      <w:pPr>
        <w:pStyle w:val="ListParagraph"/>
        <w:spacing w:before="120" w:after="100" w:line="240" w:lineRule="auto"/>
        <w:ind w:left="360" w:hanging="540"/>
        <w:textAlignment w:val="baseline"/>
        <w:rPr>
          <w:rFonts w:cs="Times New Roman"/>
          <w:color w:val="000000"/>
          <w:szCs w:val="22"/>
        </w:rPr>
      </w:pPr>
      <w:r>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37"/>
        </w:numPr>
        <w:ind w:left="1440"/>
        <w:rPr>
          <w:b w:val="0"/>
          <w:color w:val="4F81BD"/>
        </w:rPr>
      </w:pPr>
      <w:r>
        <w:rPr>
          <w:b w:val="0"/>
        </w:rPr>
        <w:t xml:space="preserve">Whether the decision-making body is the SO/AC or the NomCom, removal would require a </w:t>
      </w:r>
      <w:r>
        <w:t>[</w:t>
      </w:r>
      <w:r>
        <w:rPr>
          <w:u w:val="single"/>
        </w:rPr>
        <w:t>75%</w:t>
      </w:r>
      <w:r>
        <w:t>]</w:t>
      </w:r>
      <w:r>
        <w:rPr>
          <w:b w:val="0"/>
        </w:rPr>
        <w:t xml:space="preserve"> level of support (or equivalent) to decide in favor of removal.</w:t>
      </w:r>
    </w:p>
    <w:p>
      <w:pPr>
        <w:pStyle w:val="Bullets"/>
        <w:numPr>
          <w:ilvl w:val="1"/>
          <w:numId w:val="37"/>
        </w:numPr>
        <w:ind w:left="1440"/>
        <w:rPr>
          <w:b w:val="0"/>
          <w:color w:val="4F81BD"/>
        </w:rPr>
      </w:pPr>
      <w:r>
        <w:rPr>
          <w:b w:val="0"/>
          <w:iCs/>
        </w:rPr>
        <w:t>The petitioning threshold to start the NomCom consideration of removing a director should be set at least at a majority of the SO/AC’s governing body/council</w:t>
      </w:r>
    </w:p>
    <w:p>
      <w:pPr>
        <w:pStyle w:val="Bullets"/>
        <w:numPr>
          <w:ilvl w:val="0"/>
          <w:numId w:val="0"/>
        </w:numPr>
        <w:ind w:left="1440"/>
        <w:rPr>
          <w:b w:val="0"/>
          <w:color w:val="4F81BD"/>
        </w:rPr>
      </w:pPr>
    </w:p>
    <w:p>
      <w:pPr>
        <w:pStyle w:val="NormalWeb"/>
        <w:spacing w:before="120" w:beforeAutospacing="0" w:afterAutospacing="0"/>
        <w:ind w:hanging="540"/>
        <w:rPr>
          <w:rFonts w:ascii="Helvetica" w:hAnsi="Helvetica"/>
          <w:color w:val="000000"/>
          <w:sz w:val="22"/>
          <w:szCs w:val="22"/>
        </w:rPr>
      </w:pPr>
      <w:r>
        <w:rPr>
          <w:rFonts w:ascii="Helvetica" w:eastAsia="Times New Roman" w:hAnsi="Helvetica"/>
          <w:b/>
          <w:color w:val="000000"/>
          <w:sz w:val="22"/>
          <w:szCs w:val="22"/>
        </w:rPr>
        <w:t>QUESTIONS AND OPEN ISSUES</w:t>
      </w:r>
      <w:r>
        <w:rPr>
          <w:rFonts w:ascii="Helvetica" w:eastAsia="Times New Roman" w:hAnsi="Helvetica"/>
          <w:color w:val="000000"/>
          <w:sz w:val="22"/>
          <w:szCs w:val="22"/>
        </w:rPr>
        <w:t xml:space="preserve">: </w:t>
      </w:r>
    </w:p>
    <w:p>
      <w:pPr>
        <w:ind w:hanging="540"/>
      </w:pPr>
      <w:r>
        <w:t>12)</w:t>
      </w:r>
      <w:r>
        <w:rPr>
          <w:b/>
        </w:rPr>
        <w:t xml:space="preserve"> </w:t>
      </w:r>
      <w:r>
        <w:t>Do you agree that the power for the community to remove individual Board Directors would enhance ICANN's accountability? Do you agree with the list of requirements for this recommendation? If not, please detail how you would recommend to amend these requirements.</w:t>
      </w:r>
      <w:r>
        <w:br/>
      </w:r>
    </w:p>
    <w:p>
      <w:pPr>
        <w:pStyle w:val="Heading2"/>
      </w:pPr>
      <w:bookmarkStart w:id="73" w:name="_Toc291848697"/>
      <w:bookmarkStart w:id="74" w:name="_Toc292025316"/>
      <w:bookmarkStart w:id="75" w:name="_Toc292010165"/>
      <w:r>
        <w:t>2.6.6</w:t>
      </w:r>
      <w:r>
        <w:rPr>
          <w:rStyle w:val="apple-tab-span"/>
        </w:rPr>
        <w:t xml:space="preserve"> </w:t>
      </w:r>
      <w:r>
        <w:t xml:space="preserve">Power: Recalling the entire ICANN </w:t>
      </w:r>
      <w:bookmarkEnd w:id="73"/>
      <w:bookmarkEnd w:id="74"/>
      <w:bookmarkEnd w:id="75"/>
      <w:r>
        <w:t>Board</w:t>
      </w:r>
    </w:p>
    <w:p>
      <w:pPr>
        <w:ind w:hanging="540"/>
        <w:rPr>
          <w:color w:val="4F81BD"/>
        </w:rPr>
      </w:pPr>
      <w:r>
        <w:t xml:space="preserve">There may be situations where removing individual ICANN directors is not seen as a sufficient remedy for the community: where a set of problems have become so entrenched that the community wishes to recall the entire ICANN Board in one decision. </w:t>
      </w:r>
    </w:p>
    <w:p>
      <w:pPr>
        <w:numPr>
          <w:ilvl w:val="0"/>
          <w:numId w:val="0"/>
        </w:numPr>
        <w:ind w:left="360"/>
        <w:rPr>
          <w:color w:val="4F81BD"/>
        </w:rPr>
      </w:pPr>
    </w:p>
    <w:p>
      <w:pPr>
        <w:ind w:hanging="540"/>
        <w:rPr>
          <w:color w:val="4F81BD"/>
        </w:rPr>
      </w:pPr>
      <w:r>
        <w:t xml:space="preserve">Beyond the power set out above to remove individual directors, this power would allow the community to cause the recall of the entire ICANN Board. The community would initiate use of this power on the petition of </w:t>
      </w:r>
      <w:r>
        <w:rPr>
          <w:bCs/>
          <w:iCs/>
        </w:rPr>
        <w:t>two thirds of the SOs or ACs in ICANN, with at least one SO and one AC petitioning</w:t>
      </w:r>
      <w:r>
        <w:t xml:space="preserve">.  Again, implementation of this community decision will be accomplished through a further step to be developed in conjunction with legal counsel. </w:t>
      </w:r>
    </w:p>
    <w:p>
      <w:pPr>
        <w:numPr>
          <w:ilvl w:val="0"/>
          <w:numId w:val="0"/>
        </w:numPr>
        <w:ind w:left="360"/>
        <w:rPr>
          <w:color w:val="4F81BD"/>
        </w:rPr>
      </w:pPr>
    </w:p>
    <w:p>
      <w:pPr>
        <w:ind w:hanging="540"/>
        <w:rPr>
          <w:color w:val="4F81BD"/>
        </w:rPr>
      </w:pPr>
      <w: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  Again, implementation of this community decision will be accomplished through a further step to be developed in conjunction with legal counsel.</w:t>
      </w:r>
    </w:p>
    <w:p>
      <w:pPr>
        <w:numPr>
          <w:ilvl w:val="0"/>
          <w:numId w:val="0"/>
        </w:numPr>
        <w:ind w:left="360"/>
        <w:rPr>
          <w:color w:val="4F81BD"/>
        </w:rPr>
      </w:pPr>
    </w:p>
    <w:p>
      <w:pPr>
        <w:ind w:hanging="540"/>
        <w:rPr>
          <w:color w:val="4F81BD"/>
        </w:rPr>
      </w:pPr>
      <w:r>
        <w:t xml:space="preserve">It would be preferable for a decision of this sort to be the result of cross-community consensus. Where this consensus is not apparent, a suitably high threshold for the exercise of this power, </w:t>
      </w:r>
      <w:r>
        <w:rPr>
          <w:b/>
          <w:bCs/>
        </w:rPr>
        <w:t xml:space="preserve">[75%] </w:t>
      </w:r>
      <w:r>
        <w:rPr>
          <w:bCs/>
          <w:iCs/>
        </w:rPr>
        <w:t>of all the support available within the community mechanism would have to be cast in favor to implement it.</w:t>
      </w:r>
      <w:r>
        <w:t xml:space="preserve"> This ensures that non-participation does not lower the threshold required to remove the Board.</w:t>
      </w:r>
    </w:p>
    <w:p>
      <w:pPr>
        <w:numPr>
          <w:ilvl w:val="0"/>
          <w:numId w:val="0"/>
        </w:numPr>
        <w:ind w:left="360"/>
        <w:rPr>
          <w:color w:val="4F81BD"/>
        </w:rPr>
      </w:pPr>
    </w:p>
    <w:p>
      <w:pPr>
        <w:ind w:hanging="540"/>
      </w:pPr>
      <w:r>
        <w: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t>
      </w:r>
    </w:p>
    <w:p>
      <w:pPr>
        <w:numPr>
          <w:ilvl w:val="0"/>
          <w:numId w:val="0"/>
        </w:numPr>
        <w:ind w:left="360"/>
      </w:pPr>
    </w:p>
    <w:p>
      <w:pPr>
        <w:ind w:hanging="540"/>
      </w:pPr>
      <w:r>
        <w:t xml:space="preserve">An alternative option for the threshold is to set it at 80%. This alternative is being considered, but as it would require a unanimous vote by the community, save for one SO or AC. Such a threshold is seen as too high. </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Ongoing work in the CCWG-Accountability will flesh out how to implement this community decision through the ICANN Members, and how to deal with transitional matters raised, including at least the following:</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The need to ensure ICANN does have a Board in place after the removal (whether there is: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phase of “caretaker” behavior by the outgoing Board while new members are elected,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need to elect alternate Board Directors in each Board selection process,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pre-defined subset of the community that could function as an interim Board;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Continuity in the role of Chief Executive were the Board to be removed;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“Caretaker” conventions for the CEO to follow in a situation where the Board had been removed.</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It should be noted that legal advice has confirmed that a caretaker Board mechanism was achievable. </w:t>
      </w:r>
    </w:p>
    <w:p>
      <w:pPr>
        <w:numPr>
          <w:ilvl w:val="0"/>
          <w:numId w:val="0"/>
        </w:numPr>
        <w:ind w:left="360"/>
        <w:rPr>
          <w:b/>
          <w:szCs w:val="22"/>
        </w:rPr>
      </w:pPr>
    </w:p>
    <w:p>
      <w:pPr>
        <w:tabs>
          <w:tab w:val="left" w:pos="8730"/>
        </w:tabs>
        <w:ind w:hanging="540"/>
      </w:pPr>
      <w:r>
        <w:rPr>
          <w:b/>
          <w:szCs w:val="22"/>
        </w:rPr>
        <w:t>QUESTIONS AND OPEN ISSUES:</w:t>
      </w:r>
      <w:r>
        <w:rPr>
          <w:szCs w:val="22"/>
        </w:rPr>
        <w:t xml:space="preserve"> </w:t>
      </w:r>
    </w:p>
    <w:p>
      <w:pPr>
        <w:numPr>
          <w:ilvl w:val="0"/>
          <w:numId w:val="0"/>
        </w:numPr>
        <w:tabs>
          <w:tab w:val="left" w:pos="8730"/>
        </w:tabs>
        <w:rPr>
          <w:szCs w:val="22"/>
        </w:rPr>
      </w:pPr>
    </w:p>
    <w:p>
      <w:pPr>
        <w:tabs>
          <w:tab w:val="left" w:pos="8730"/>
        </w:tabs>
        <w:ind w:hanging="540"/>
      </w:pPr>
      <w:r>
        <w:rPr>
          <w:szCs w:val="22"/>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szCs w:val="22"/>
        </w:rPr>
        <w:br/>
      </w:r>
    </w:p>
    <w:p>
      <w:pPr>
        <w:pStyle w:val="Heading2"/>
      </w:pPr>
      <w:bookmarkStart w:id="76" w:name="_Toc291848698"/>
      <w:bookmarkStart w:id="77" w:name="_Toc292025317"/>
      <w:bookmarkStart w:id="78" w:name="_Toc292010166"/>
      <w:r>
        <w:t xml:space="preserve">2.7 Incorporating AoC into the ICANN </w:t>
      </w:r>
      <w:bookmarkEnd w:id="76"/>
      <w:bookmarkEnd w:id="77"/>
      <w:bookmarkEnd w:id="78"/>
      <w:r>
        <w:t>Bylaws  </w:t>
      </w:r>
    </w:p>
    <w:p>
      <w:pPr>
        <w:ind w:hanging="540"/>
        <w:rPr>
          <w:color w:val="4F81BD"/>
        </w:rPr>
      </w:pPr>
      <w: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numPr>
          <w:ilvl w:val="0"/>
          <w:numId w:val="0"/>
        </w:numPr>
        <w:ind w:left="360" w:hanging="540"/>
        <w:rPr>
          <w:color w:val="4F81BD"/>
        </w:rPr>
      </w:pPr>
    </w:p>
    <w:p>
      <w:pPr>
        <w:ind w:hanging="540"/>
        <w:rPr>
          <w:color w:val="4F81BD"/>
        </w:rPr>
      </w:pPr>
      <w:r>
        <w:t>Elimination of the AoC as a separate agreement would be simple matter for a post-transition ICANN, since the AoC can be terminated by either party with just 120 days’ notice.  The CCWG-Accountability Stress Test Work Party addressed this contingency since it was cited in prior public comments.  The CCWG-Accountability evaluated the contingency of ICANN unilaterally withdrawing from the AoC against existing and proposed accountability measures, including:</w:t>
      </w:r>
    </w:p>
    <w:p>
      <w:pPr>
        <w:numPr>
          <w:ilvl w:val="0"/>
          <w:numId w:val="0"/>
        </w:numPr>
        <w:ind w:hanging="540"/>
        <w:rPr>
          <w:color w:val="4F81BD"/>
        </w:rPr>
      </w:pPr>
    </w:p>
    <w:p>
      <w:pPr>
        <w:ind w:left="900" w:hanging="540"/>
        <w:rPr>
          <w:color w:val="4F81BD"/>
        </w:rPr>
      </w:pPr>
      <w:r>
        <w:t>Preserving ICANN commitments from the AoC, including sections 3,4,7, and 8 as well as commitments cited in the section 9 reviews.  </w:t>
      </w:r>
    </w:p>
    <w:p>
      <w:pPr>
        <w:numPr>
          <w:ilvl w:val="0"/>
          <w:numId w:val="0"/>
        </w:numPr>
        <w:ind w:left="540" w:hanging="540"/>
        <w:rPr>
          <w:color w:val="4F81BD"/>
        </w:rPr>
      </w:pPr>
    </w:p>
    <w:p>
      <w:pPr>
        <w:ind w:left="900" w:hanging="540"/>
        <w:rPr>
          <w:color w:val="4F81BD"/>
        </w:rPr>
      </w:pPr>
      <w:r>
        <w:t>Bringing the four AoC review processes into ICANN’s Bylaws.</w:t>
      </w:r>
    </w:p>
    <w:p>
      <w:pPr>
        <w:numPr>
          <w:ilvl w:val="0"/>
          <w:numId w:val="0"/>
        </w:numPr>
        <w:ind w:left="900" w:hanging="540"/>
        <w:rPr>
          <w:color w:val="4F81BD"/>
        </w:rPr>
      </w:pPr>
    </w:p>
    <w:p>
      <w:pPr>
        <w:ind w:left="900" w:hanging="540"/>
        <w:rPr>
          <w:color w:val="4F81BD"/>
        </w:rPr>
      </w:pPr>
      <w:r>
        <w:t>All of the other sections in the AoC are either preamble text or commitments of the US Government. As such they don’t contain commitments by ICANN, and so they cannot usefully be incorporated in the Bylaws.</w:t>
      </w:r>
    </w:p>
    <w:p>
      <w:pPr>
        <w:numPr>
          <w:ilvl w:val="0"/>
          <w:numId w:val="0"/>
        </w:numPr>
        <w:ind w:left="360" w:hanging="540"/>
        <w:rPr>
          <w:color w:val="4F81BD"/>
        </w:rPr>
      </w:pPr>
    </w:p>
    <w:p>
      <w:pPr>
        <w:ind w:hanging="540"/>
        <w:rPr>
          <w:color w:val="4F81BD"/>
        </w:rPr>
      </w:pPr>
      <w:r>
        <w:t>Each of the above measures is addressed below.</w:t>
      </w:r>
    </w:p>
    <w:p>
      <w:pPr>
        <w:numPr>
          <w:ilvl w:val="0"/>
          <w:numId w:val="0"/>
        </w:numPr>
        <w:ind w:left="360" w:hanging="540"/>
        <w:rPr>
          <w:color w:val="4F81BD"/>
        </w:rPr>
      </w:pPr>
    </w:p>
    <w:p>
      <w:pPr>
        <w:ind w:hanging="540"/>
        <w:rPr>
          <w:color w:val="4F81BD"/>
        </w:rPr>
      </w:pPr>
      <w: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pPr>
        <w:numPr>
          <w:ilvl w:val="0"/>
          <w:numId w:val="0"/>
        </w:numPr>
        <w:ind w:hanging="540"/>
        <w:rPr>
          <w:color w:val="4F81BD"/>
        </w:rPr>
      </w:pPr>
    </w:p>
    <w:p>
      <w:pPr>
        <w:ind w:hanging="540"/>
        <w:rPr>
          <w:color w:val="4F81BD"/>
        </w:rPr>
      </w:pPr>
      <w: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CCWG-Accountability’s work.</w:t>
      </w:r>
      <w:r>
        <w:br/>
      </w:r>
    </w:p>
    <w:p>
      <w:pPr>
        <w:pStyle w:val="Heading2"/>
      </w:pPr>
      <w:bookmarkStart w:id="79" w:name="_Toc291848699"/>
      <w:bookmarkStart w:id="80" w:name="_Toc292025318"/>
      <w:bookmarkStart w:id="81" w:name="_Toc292010167"/>
      <w:r>
        <w:t>Preserving ICANN Commitments from the AoC</w:t>
      </w:r>
      <w:bookmarkEnd w:id="79"/>
      <w:bookmarkEnd w:id="80"/>
      <w:bookmarkEnd w:id="81"/>
      <w:r>
        <w:t xml:space="preserve"> </w:t>
      </w:r>
    </w:p>
    <w:p>
      <w:pPr>
        <w:ind w:hanging="540"/>
      </w:pPr>
      <w:bookmarkStart w:id="82" w:name="_cp_text_1_727"/>
      <w:r>
        <w:rPr>
          <w:highlight w:val="yellow"/>
          <w:u w:color="0000FF"/>
        </w:rPr>
        <w:t>[</w:t>
      </w:r>
      <w:r>
        <w:rPr>
          <w:b/>
          <w:i/>
          <w:highlight w:val="yellow"/>
          <w:u w:color="0000FF"/>
        </w:rPr>
        <w:t>Note</w:t>
      </w:r>
      <w:r>
        <w:rPr>
          <w:highlight w:val="yellow"/>
          <w:u w:color="0000FF"/>
        </w:rPr>
        <w:t>:  All Bylaw text will need significant attention from the Legal Team once the mechanism and power have been decided upon.  Legal counsel has not taken on review of this text at this time.]</w:t>
      </w:r>
      <w:bookmarkEnd w:id="82"/>
      <w:r>
        <w:rPr>
          <w:u w:color="0000FF"/>
        </w:rPr>
        <w:br/>
      </w:r>
    </w:p>
    <w:tbl>
      <w:tblPr>
        <w:tblW w:w="0" w:type="auto"/>
        <w:tblInd w:w="0" w:type="dxa"/>
        <w:tblCellMar>
          <w:top w:w="15" w:type="dxa"/>
          <w:left w:w="15" w:type="dxa"/>
          <w:bottom w:w="15" w:type="dxa"/>
          <w:right w:w="15" w:type="dxa"/>
        </w:tblCellMar>
        <w:tblLook w:val="04A0"/>
      </w:tblPr>
      <w:tblGrid>
        <w:gridCol w:w="5164"/>
        <w:gridCol w:w="4906"/>
      </w:tblGrid>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As expressed in ICANN Bylaws</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3. This document affirms key commitments by DOC and ICANN, including commitments to: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 ensure that decisions made related to the global technical coordination of the DNS are made in the public interest and are accountable and transparent;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(b) preserve the security, stability and resiliency of the DNS;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(c) promote competition, consumer trust, and consumer choice in the DNS marketplace; and </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8"/>
              <w:rPr>
                <w:rStyle w:val="DefaultParagraphFont"/>
                <w:rFonts w:ascii="Helvetica" w:eastAsia="MS Mincho" w:hAnsi="Helvetica"/>
                <w:sz w:val="20"/>
                <w:szCs w:val="20"/>
              </w:rPr>
            </w:pPr>
            <w:r>
              <w:rPr>
                <w:rFonts w:ascii="Helvetica" w:hAnsi="Helvetica" w:eastAsiaTheme="minorEastAsia"/>
                <w:color w:val="000000"/>
                <w:sz w:val="20"/>
                <w:szCs w:val="20"/>
              </w:rPr>
              <w:t>In revised Core Values:</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core value 6</w:t>
            </w:r>
            <w:r>
              <w:rPr>
                <w:rFonts w:ascii="Helvetica" w:hAnsi="Helvetica" w:eastAsiaTheme="minorEastAsia"/>
                <w:color w:val="000000"/>
                <w:sz w:val="20"/>
                <w:szCs w:val="20"/>
              </w:rPr>
              <w:t xml:space="preserve"> (with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Ensure that decisions made related to the global technical coordination of the DNS are made in the </w:t>
            </w:r>
            <w:r>
              <w:rPr>
                <w:rFonts w:ascii="Helvetica" w:hAnsi="Helvetica" w:eastAsiaTheme="minorEastAsia"/>
                <w:b/>
                <w:bCs/>
                <w:color w:val="000000"/>
                <w:sz w:val="20"/>
                <w:szCs w:val="20"/>
                <w:u w:val="single"/>
              </w:rPr>
              <w:t>global</w:t>
            </w:r>
            <w:r>
              <w:rPr>
                <w:rFonts w:ascii="Helvetica" w:hAnsi="Helvetica" w:eastAsiaTheme="minorEastAsia"/>
                <w:color w:val="000000"/>
                <w:sz w:val="20"/>
                <w:szCs w:val="20"/>
              </w:rPr>
              <w:t xml:space="preserve"> public interest and are accountable, transparent </w:t>
            </w:r>
            <w:r>
              <w:rPr>
                <w:rFonts w:ascii="Helvetica" w:hAnsi="Helvetica" w:eastAsiaTheme="minorEastAsia"/>
                <w:b/>
                <w:bCs/>
                <w:color w:val="000000"/>
                <w:sz w:val="20"/>
                <w:szCs w:val="20"/>
                <w:u w:val="single"/>
              </w:rPr>
              <w:t>and should respect the bottom-up multistakeholder nature of ICANN.</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core value 5</w:t>
            </w:r>
            <w:r>
              <w:rPr>
                <w:rFonts w:ascii="Helvetica" w:hAnsi="Helvetica" w:eastAsiaTheme="minorEastAsia"/>
                <w:color w:val="000000"/>
                <w:sz w:val="20"/>
                <w:szCs w:val="20"/>
              </w:rPr>
              <w:t xml:space="preserve"> (with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Where feasible and appropriate, depending on market mechanisms to promote and sustain a competitive environment </w:t>
            </w:r>
            <w:r>
              <w:rPr>
                <w:rFonts w:ascii="Helvetica" w:hAnsi="Helvetica" w:eastAsiaTheme="minorEastAsia"/>
                <w:b/>
                <w:bCs/>
                <w:color w:val="000000"/>
                <w:sz w:val="20"/>
                <w:szCs w:val="20"/>
                <w:u w:val="single"/>
              </w:rPr>
              <w:t>that enhances consumer trust and choice.</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 xml:space="preserve">Proposed new Section 9 in Bylaws Article III Transparency </w:t>
            </w:r>
            <w:r>
              <w:rPr>
                <w:rFonts w:ascii="Helvetica" w:hAnsi="Helvetica" w:eastAsiaTheme="minorEastAsia"/>
                <w:color w:val="000000"/>
                <w:sz w:val="20"/>
                <w:szCs w:val="20"/>
              </w:rPr>
              <w:t xml:space="preserve">(with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shall perform and publish analyses of the positive and negative effects of its decisions on the public, including any financial </w:t>
            </w:r>
            <w:r>
              <w:rPr>
                <w:rFonts w:ascii="Helvetica" w:hAnsi="Helvetica" w:eastAsiaTheme="minorEastAsia"/>
                <w:b/>
                <w:bCs/>
                <w:color w:val="000000"/>
                <w:sz w:val="20"/>
                <w:szCs w:val="20"/>
              </w:rPr>
              <w:t>or non-financial</w:t>
            </w:r>
            <w:r>
              <w:rPr>
                <w:rFonts w:ascii="Helvetica" w:hAnsi="Helvetica" w:eastAsiaTheme="minorEastAsia"/>
                <w:color w:val="000000"/>
                <w:sz w:val="20"/>
                <w:szCs w:val="20"/>
              </w:rPr>
              <w:t xml:space="preserve"> impact on the public, and the positive or negative impact (if any) on the systemic security, stability and resiliency of the DNS.</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insertion of new section 8 in Article III Transparency</w:t>
            </w:r>
            <w:r>
              <w:rPr>
                <w:rFonts w:ascii="Helvetica" w:hAnsi="Helvetica" w:eastAsiaTheme="minorEastAsia"/>
                <w:color w:val="000000"/>
                <w:sz w:val="20"/>
                <w:szCs w:val="20"/>
              </w:rPr>
              <w:t xml:space="preserve"> (this is AoC para 7 in its entirety including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w:t>
            </w:r>
            <w:r>
              <w:rPr>
                <w:rFonts w:ascii="Helvetica" w:hAnsi="Helvetica" w:eastAsiaTheme="minorEastAsia"/>
                <w:b/>
                <w:bCs/>
                <w:color w:val="000000"/>
                <w:sz w:val="20"/>
                <w:szCs w:val="20"/>
                <w:u w:val="single"/>
              </w:rPr>
              <w:t xml:space="preserve">shall </w:t>
            </w:r>
            <w:r>
              <w:rPr>
                <w:rFonts w:ascii="Helvetica" w:hAnsi="Helvetica" w:eastAsiaTheme="minorEastAsia"/>
                <w:color w:val="000000"/>
                <w:sz w:val="20"/>
                <w:szCs w:val="20"/>
              </w:rPr>
              <w:t xml:space="preserve">adhere to transparent and accountable budgeting processes, </w:t>
            </w:r>
            <w:r>
              <w:rPr>
                <w:rFonts w:ascii="Helvetica" w:hAnsi="Helvetica" w:eastAsiaTheme="minorEastAsia"/>
                <w:b/>
                <w:bCs/>
                <w:color w:val="000000"/>
                <w:sz w:val="20"/>
                <w:szCs w:val="20"/>
                <w:u w:val="single"/>
              </w:rPr>
              <w:t xml:space="preserve">providing </w:t>
            </w:r>
            <w:r>
              <w:rPr>
                <w:rFonts w:ascii="Helvetica" w:hAnsi="Helvetica" w:eastAsiaTheme="minorEastAsia"/>
                <w:b/>
                <w:bCs/>
                <w:color w:val="000000"/>
                <w:sz w:val="20"/>
                <w:szCs w:val="20"/>
              </w:rPr>
              <w:t xml:space="preserve">[reasonable] [adequate] </w:t>
            </w:r>
            <w:r>
              <w:rPr>
                <w:rFonts w:ascii="Helvetica" w:hAnsi="Helvetica" w:eastAsiaTheme="minorEastAsia"/>
                <w:b/>
                <w:bCs/>
                <w:color w:val="000000"/>
                <w:sz w:val="20"/>
                <w:szCs w:val="20"/>
                <w:u w:val="single"/>
              </w:rPr>
              <w:t>advance notice to facilitate stakeholder engagement in policy decision-making</w:t>
            </w:r>
            <w:r>
              <w:rPr>
                <w:rFonts w:ascii="Helvetica" w:hAnsi="Helvetica" w:eastAsiaTheme="minorEastAsia"/>
                <w:color w:val="000000"/>
                <w:sz w:val="20"/>
                <w:szCs w:val="20"/>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In addition, ICANN </w:t>
            </w:r>
            <w:r>
              <w:rPr>
                <w:rFonts w:ascii="Helvetica" w:hAnsi="Helvetica" w:eastAsiaTheme="minorEastAsia"/>
                <w:b/>
                <w:bCs/>
                <w:color w:val="000000"/>
                <w:sz w:val="20"/>
                <w:szCs w:val="20"/>
                <w:u w:val="single"/>
              </w:rPr>
              <w:t>shall</w:t>
            </w:r>
            <w:r>
              <w:rPr>
                <w:rFonts w:ascii="Helvetica" w:hAnsi="Helvetica" w:eastAsiaTheme="minorEastAsia"/>
                <w:color w:val="000000"/>
                <w:sz w:val="20"/>
                <w:szCs w:val="20"/>
              </w:rPr>
              <w:t xml:space="preserve"> provide a thorough and reasoned explanation of decisions taken, the rationale thereof and the sources of data and information on which ICANN relied.</w:t>
            </w:r>
          </w:p>
        </w:tc>
      </w:tr>
    </w:tbl>
    <w:p>
      <w:pPr>
        <w:pStyle w:val="NormalWeb"/>
        <w:numPr>
          <w:ilvl w:val="0"/>
          <w:numId w:val="0"/>
        </w:numPr>
        <w:spacing w:before="120" w:beforeAutospacing="0" w:afterAutospacing="0"/>
        <w:rPr>
          <w:rFonts w:ascii="Helvetica" w:hAnsi="Helvetica"/>
        </w:rPr>
      </w:pPr>
    </w:p>
    <w:p>
      <w:pPr>
        <w:numPr>
          <w:ilvl w:val="0"/>
          <w:numId w:val="0"/>
        </w:numPr>
        <w:rPr>
          <w:rFonts w:eastAsiaTheme="minorEastAsia"/>
          <w:sz w:val="20"/>
          <w:szCs w:val="20"/>
        </w:rPr>
      </w:pPr>
      <w:r>
        <w:br w:type="page"/>
      </w:r>
    </w:p>
    <w:p>
      <w:pPr>
        <w:pStyle w:val="NormalWeb"/>
        <w:numPr>
          <w:ilvl w:val="0"/>
          <w:numId w:val="0"/>
        </w:numPr>
        <w:spacing w:before="120" w:beforeAutospacing="0" w:afterAutospacing="0"/>
        <w:rPr>
          <w:rFonts w:ascii="Helvetica" w:hAnsi="Helvetica"/>
        </w:rPr>
      </w:pPr>
    </w:p>
    <w:tbl>
      <w:tblPr>
        <w:tblW w:w="0" w:type="auto"/>
        <w:tblInd w:w="0" w:type="dxa"/>
        <w:tblCellMar>
          <w:top w:w="15" w:type="dxa"/>
          <w:left w:w="15" w:type="dxa"/>
          <w:bottom w:w="15" w:type="dxa"/>
          <w:right w:w="15" w:type="dxa"/>
        </w:tblCellMar>
        <w:tblLook w:val="04A0"/>
      </w:tblPr>
      <w:tblGrid>
        <w:gridCol w:w="3165"/>
        <w:gridCol w:w="6905"/>
      </w:tblGrid>
      <w:tr>
        <w:tblPrEx>
          <w:tblW w:w="0" w:type="auto"/>
          <w:tblInd w:w="0" w:type="dxa"/>
          <w:tblCellMar>
            <w:top w:w="15" w:type="dxa"/>
            <w:left w:w="15" w:type="dxa"/>
            <w:bottom w:w="15" w:type="dxa"/>
            <w:right w:w="15" w:type="dxa"/>
          </w:tblCellMar>
          <w:tblLook w:val="04A0"/>
        </w:tblPrEx>
        <w:tc>
          <w:tcPr>
            <w:tcW w:w="316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ICANN Commitments in AoC</w:t>
            </w:r>
          </w:p>
        </w:tc>
        <w:tc>
          <w:tcPr>
            <w:tcW w:w="69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As expressed in ICANN Bylaws</w:t>
            </w:r>
          </w:p>
        </w:tc>
      </w:tr>
      <w:tr>
        <w:tblPrEx>
          <w:tblW w:w="0" w:type="auto"/>
          <w:tblInd w:w="0" w:type="dxa"/>
          <w:tblCellMar>
            <w:top w:w="15" w:type="dxa"/>
            <w:left w:w="15" w:type="dxa"/>
            <w:bottom w:w="15" w:type="dxa"/>
            <w:right w:w="15" w:type="dxa"/>
          </w:tblCellMar>
          <w:tblLook w:val="04A0"/>
        </w:tblPrEx>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8. ICANN affirms its commitments to: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 maintain the capacity and ability to coordinate the Internet DNS at the overall level and to work for the maintenance of a single, interoperable Internet; </w:t>
            </w:r>
          </w:p>
          <w:p>
            <w:pPr>
              <w:pStyle w:val="NormalWeb"/>
              <w:numPr>
                <w:ilvl w:val="0"/>
                <w:numId w:val="0"/>
              </w:numPr>
              <w:spacing w:before="120" w:beforeAutospacing="0" w:after="100" w:afterAutospacing="0"/>
              <w:ind w:left="360" w:right="2520" w:firstLine="0"/>
              <w:rPr>
                <w:rStyle w:val="DefaultParagraphFont"/>
                <w:rFonts w:ascii="Helvetica" w:hAnsi="Helvetica" w:eastAsiaTheme="minorEastAsia"/>
                <w:sz w:val="20"/>
                <w:szCs w:val="20"/>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 inserting 8(a) in full as a new core value in the Bylaws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maintain the capacity and ability to coordinate the Internet DNS at the overall level and to work for the maintenance of a single, interoperable Internet.</w:t>
            </w:r>
          </w:p>
        </w:tc>
      </w:tr>
      <w:tr>
        <w:tblPrEx>
          <w:tblW w:w="0" w:type="auto"/>
          <w:tblInd w:w="0" w:type="dxa"/>
          <w:tblCellMar>
            <w:top w:w="15" w:type="dxa"/>
            <w:left w:w="15" w:type="dxa"/>
            <w:bottom w:w="15" w:type="dxa"/>
            <w:right w:w="15" w:type="dxa"/>
          </w:tblCellMar>
          <w:tblLook w:val="04A0"/>
        </w:tblPrEx>
        <w:tc>
          <w:tcPr>
            <w:tcW w:w="3165" w:type="dxa"/>
            <w:tcBorders>
              <w:left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(b) remain a not for profit corporation, headquartered in the United States of America with offices around the world to meet the needs of a global community; and </w:t>
            </w:r>
          </w:p>
          <w:p>
            <w:pPr>
              <w:pStyle w:val="NormalWeb"/>
              <w:numPr>
                <w:ilvl w:val="0"/>
                <w:numId w:val="0"/>
              </w:numPr>
              <w:spacing w:before="120" w:beforeAutospacing="0" w:after="100" w:afterAutospacing="0"/>
              <w:ind w:left="360" w:right="2520" w:firstLine="0"/>
              <w:rPr>
                <w:rStyle w:val="DefaultParagraphFont"/>
                <w:rFonts w:ascii="Helvetica" w:hAnsi="Helvetica" w:eastAsiaTheme="minorEastAsia"/>
                <w:color w:val="000000"/>
                <w:sz w:val="20"/>
                <w:szCs w:val="20"/>
              </w:rPr>
            </w:pPr>
          </w:p>
        </w:tc>
        <w:tc>
          <w:tcPr>
            <w:tcW w:w="6905" w:type="dxa"/>
            <w:tcBorders>
              <w:left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The nonprofit commitment in 8b is reflected in ICANN’s ARTICLES OF INCORPORATION:</w:t>
            </w:r>
          </w:p>
          <w:p>
            <w:pPr>
              <w:pStyle w:val="NormalWeb"/>
              <w:numPr>
                <w:ilvl w:val="1"/>
                <w:numId w:val="24"/>
              </w:numPr>
              <w:spacing w:before="120" w:beforeAutospacing="0" w:after="160" w:afterAutospacing="0"/>
              <w:ind w:left="360" w:hanging="360"/>
              <w:rPr>
                <w:rStyle w:val="DefaultParagraphFont"/>
                <w:rFonts w:ascii="Helvetica" w:hAnsi="Helvetica" w:eastAsiaTheme="minorEastAsia"/>
                <w:sz w:val="20"/>
                <w:szCs w:val="20"/>
              </w:rPr>
            </w:pPr>
            <w:r>
              <w:rPr>
                <w:rFonts w:ascii="Helvetica" w:hAnsi="Helvetica" w:eastAsiaTheme="minorEastAsia"/>
                <w:sz w:val="20"/>
                <w:szCs w:val="20"/>
              </w:rPr>
              <w:t>“3. This Corporation is a nonprofit public benefit corporation and is not organized for the private gain of any person. It is organized under the California Nonprofit Public Benefit Corporation Law for charitable and public purposes.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A change to the Articles would require 2/3 vote of the Board and 2/3 vote of the Members.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The ‘</w:t>
            </w:r>
            <w:r>
              <w:rPr>
                <w:rFonts w:ascii="Helvetica" w:hAnsi="Helvetica" w:eastAsiaTheme="minorEastAsia"/>
                <w:sz w:val="20"/>
                <w:szCs w:val="20"/>
                <w:u w:val="single"/>
              </w:rPr>
              <w:t>headquartered</w:t>
            </w:r>
            <w:r>
              <w:rPr>
                <w:rFonts w:ascii="Helvetica" w:hAnsi="Helvetica" w:eastAsiaTheme="minorEastAsia"/>
                <w:sz w:val="20"/>
                <w:szCs w:val="20"/>
              </w:rPr>
              <w:t>” commitment in 8b is already in current ICANN Bylaws, at Article XVIII Section 1:</w:t>
            </w:r>
          </w:p>
          <w:p>
            <w:pPr>
              <w:pStyle w:val="NormalWeb"/>
              <w:numPr>
                <w:ilvl w:val="1"/>
                <w:numId w:val="24"/>
              </w:numPr>
              <w:spacing w:before="120" w:beforeAutospacing="0" w:after="160" w:afterAutospacing="0"/>
              <w:ind w:left="360" w:hanging="360"/>
              <w:rPr>
                <w:rStyle w:val="DefaultParagraphFont"/>
                <w:rFonts w:ascii="Helvetica" w:hAnsi="Helvetica" w:eastAsiaTheme="minorEastAsia"/>
                <w:sz w:val="20"/>
                <w:szCs w:val="20"/>
              </w:rPr>
            </w:pPr>
            <w:r>
              <w:rPr>
                <w:rFonts w:ascii="Helvetica" w:hAnsi="Helvetica" w:eastAsiaTheme="minorEastAsia"/>
                <w:sz w:val="20"/>
                <w:szCs w:val="20"/>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 xml:space="preserve">While the Board could propose a change to this Bylaws provision, Members/Designators could block the proposed change (75% vote). </w:t>
            </w:r>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Have thresholds been determined?]</w:t>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sz w:val="20"/>
                <w:szCs w:val="20"/>
              </w:rPr>
              <w:t>The CCWG-Accountability is considering whether Bylaws Article 18 Section 1 should be keep its current status or be listed as “Fundamental Bylaws”. In the latter case, any Bylaws change would require approval by Members/Designators (75% vote).</w:t>
            </w:r>
          </w:p>
        </w:tc>
      </w:tr>
      <w:tr>
        <w:tblPrEx>
          <w:tblW w:w="0" w:type="auto"/>
          <w:tblInd w:w="0" w:type="dxa"/>
          <w:tblCellMar>
            <w:top w:w="15" w:type="dxa"/>
            <w:left w:w="15" w:type="dxa"/>
            <w:bottom w:w="15" w:type="dxa"/>
            <w:right w:w="15" w:type="dxa"/>
          </w:tblCellMar>
          <w:tblLook w:val="04A0"/>
        </w:tblPrEx>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numId w:val="24"/>
              </w:numPr>
              <w:spacing w:before="100" w:beforeAutospacing="1" w:after="160" w:afterAutospacing="0"/>
              <w:ind w:left="360" w:hanging="450"/>
              <w:rPr>
                <w:rStyle w:val="DefaultParagraphFont"/>
                <w:rFonts w:ascii="Helvetica" w:hAnsi="Helvetica" w:eastAsiaTheme="minorEastAsia"/>
                <w:sz w:val="20"/>
                <w:szCs w:val="20"/>
                <w:lang w:val="en-NZ"/>
              </w:rPr>
            </w:pPr>
            <w:r>
              <w:rPr>
                <w:rFonts w:ascii="Helvetica" w:hAnsi="Helvetica" w:eastAsiaTheme="minorEastAsia"/>
                <w:sz w:val="20"/>
                <w:szCs w:val="20"/>
                <w:lang w:val="en-NZ"/>
              </w:rPr>
              <w:t xml:space="preserve">Propose inserting 8(c) in full as a new core value in the Bylaws (including </w:t>
            </w:r>
            <w:r>
              <w:rPr>
                <w:rFonts w:ascii="Helvetica" w:hAnsi="Helvetica" w:eastAsiaTheme="minorEastAsia"/>
                <w:b/>
                <w:sz w:val="20"/>
                <w:szCs w:val="20"/>
                <w:u w:val="single"/>
                <w:lang w:val="en-NZ"/>
              </w:rPr>
              <w:t>additional text</w:t>
            </w:r>
            <w:r>
              <w:rPr>
                <w:rFonts w:ascii="Helvetica" w:hAnsi="Helvetica" w:eastAsiaTheme="minorEastAsia"/>
                <w:sz w:val="20"/>
                <w:szCs w:val="20"/>
                <w:lang w:val="en-NZ"/>
              </w:rPr>
              <w:t>):</w:t>
            </w:r>
          </w:p>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sz w:val="20"/>
                <w:szCs w:val="20"/>
                <w:lang w:val="en-NZ"/>
              </w:rPr>
              <w:t xml:space="preserve">Operating as a multi-stakeholder, </w:t>
            </w:r>
            <w:r>
              <w:rPr>
                <w:rFonts w:ascii="Helvetica" w:hAnsi="Helvetica" w:eastAsiaTheme="minorEastAsia"/>
                <w:b/>
                <w:sz w:val="20"/>
                <w:szCs w:val="20"/>
                <w:u w:val="single"/>
                <w:lang w:val="en-NZ"/>
              </w:rPr>
              <w:t>bottom-up</w:t>
            </w:r>
            <w:r>
              <w:rPr>
                <w:rFonts w:ascii="Helvetica" w:hAnsi="Helvetica" w:eastAsiaTheme="minorEastAsia"/>
                <w:sz w:val="20"/>
                <w:szCs w:val="20"/>
                <w:u w:val="single"/>
                <w:lang w:val="en-NZ"/>
              </w:rPr>
              <w:t xml:space="preserve"> </w:t>
            </w:r>
            <w:r>
              <w:rPr>
                <w:rFonts w:ascii="Helvetica" w:hAnsi="Helvetica" w:eastAsiaTheme="minorEastAsia"/>
                <w:sz w:val="20"/>
                <w:szCs w:val="20"/>
                <w:lang w:val="en-NZ"/>
              </w:rPr>
              <w:t>private sector led organization with input from the public, for whose benefit ICANN shall in all events act.</w:t>
            </w:r>
          </w:p>
        </w:tc>
      </w:tr>
    </w:tbl>
    <w:p>
      <w:pPr>
        <w:numPr>
          <w:ilvl w:val="0"/>
          <w:numId w:val="0"/>
        </w:numPr>
      </w:pPr>
    </w:p>
    <w:p>
      <w:pPr>
        <w:numPr>
          <w:ilvl w:val="0"/>
          <w:numId w:val="0"/>
        </w:numPr>
      </w:pPr>
    </w:p>
    <w:tbl>
      <w:tblPr>
        <w:tblW w:w="0" w:type="auto"/>
        <w:tblInd w:w="0" w:type="dxa"/>
        <w:tblCellMar>
          <w:top w:w="15" w:type="dxa"/>
          <w:left w:w="15" w:type="dxa"/>
          <w:bottom w:w="15" w:type="dxa"/>
          <w:right w:w="15" w:type="dxa"/>
        </w:tblCellMar>
        <w:tblLook w:val="04A0"/>
      </w:tblPr>
      <w:tblGrid>
        <w:gridCol w:w="5035"/>
        <w:gridCol w:w="5035"/>
      </w:tblGrid>
      <w:tr>
        <w:tblPrEx>
          <w:tblW w:w="0" w:type="auto"/>
          <w:tblInd w:w="0" w:type="dxa"/>
          <w:tblCellMar>
            <w:top w:w="15" w:type="dxa"/>
            <w:left w:w="15" w:type="dxa"/>
            <w:bottom w:w="15" w:type="dxa"/>
            <w:right w:w="15" w:type="dxa"/>
          </w:tblCellMar>
          <w:tblLook w:val="04A0"/>
        </w:tblPrEx>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As expressed in ICANN Bylaws</w:t>
            </w:r>
          </w:p>
        </w:tc>
      </w:tr>
      <w:tr>
        <w:tblPrEx>
          <w:tblW w:w="0" w:type="auto"/>
          <w:tblInd w:w="0" w:type="dxa"/>
          <w:tblCellMar>
            <w:top w:w="15" w:type="dxa"/>
            <w:left w:w="15" w:type="dxa"/>
            <w:bottom w:w="15" w:type="dxa"/>
            <w:right w:w="15" w:type="dxa"/>
          </w:tblCellMar>
          <w:tblLook w:val="04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color w:val="000000"/>
                <w:sz w:val="20"/>
                <w:szCs w:val="20"/>
              </w:rPr>
              <w:t>9.</w:t>
            </w:r>
            <w:r>
              <w:rPr>
                <w:rFonts w:ascii="Helvetica" w:hAnsi="Helvetica" w:eastAsiaTheme="minorEastAsia"/>
                <w:color w:val="000000"/>
                <w:sz w:val="22"/>
                <w:szCs w:val="22"/>
              </w:rPr>
              <w:t xml:space="preserve"> Recognizing that ICANN will evolve and 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color w:val="000000"/>
                <w:sz w:val="22"/>
                <w:szCs w:val="22"/>
              </w:rPr>
              <w:t>See Section 2.6.2 of this document for Bylaws text to preserve commitments to perform these ongoing reviews.</w:t>
            </w:r>
          </w:p>
        </w:tc>
      </w:tr>
    </w:tbl>
    <w:p>
      <w:pPr>
        <w:pStyle w:val="NormalWeb"/>
        <w:numPr>
          <w:ilvl w:val="0"/>
          <w:numId w:val="0"/>
        </w:numPr>
        <w:spacing w:before="120" w:beforeAutospacing="0" w:afterAutospacing="0"/>
        <w:rPr>
          <w:rFonts w:ascii="Helvetica" w:hAnsi="Helvetica"/>
        </w:rPr>
      </w:pPr>
    </w:p>
    <w:p>
      <w:pPr>
        <w:ind w:hanging="540"/>
        <w:rPr>
          <w:szCs w:val="22"/>
        </w:rPr>
      </w:pPr>
      <w:r>
        <w:rPr>
          <w:b/>
          <w:szCs w:val="22"/>
        </w:rPr>
        <w:t>QUESTIONS AND OPEN ISSUES:</w:t>
      </w:r>
      <w:r>
        <w:rPr>
          <w:szCs w:val="22"/>
        </w:rPr>
        <w:t xml:space="preserve"> </w:t>
      </w:r>
      <w:r>
        <w:rPr>
          <w:szCs w:val="22"/>
        </w:rPr>
        <w:br/>
      </w:r>
    </w:p>
    <w:p>
      <w:pPr>
        <w:ind w:hanging="540"/>
        <w:rPr>
          <w:szCs w:val="22"/>
        </w:rPr>
      </w:pPr>
      <w:r>
        <w:rPr>
          <w:szCs w:val="22"/>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numPr>
          <w:ilvl w:val="0"/>
          <w:numId w:val="0"/>
        </w:numPr>
        <w:ind w:left="360"/>
      </w:pPr>
    </w:p>
    <w:p>
      <w:pPr>
        <w:pStyle w:val="Heading2"/>
      </w:pPr>
      <w:bookmarkStart w:id="83" w:name="_Toc291848700"/>
      <w:bookmarkStart w:id="84" w:name="_Toc292025319"/>
      <w:bookmarkStart w:id="85" w:name="_Toc292010168"/>
      <w:r>
        <w:t>2.7.2 AoC Reviews</w:t>
      </w:r>
      <w:bookmarkEnd w:id="83"/>
      <w:bookmarkEnd w:id="84"/>
      <w:bookmarkEnd w:id="85"/>
      <w:r>
        <w:t xml:space="preserve"> </w:t>
      </w:r>
    </w:p>
    <w:p>
      <w:pPr>
        <w:ind w:hanging="540"/>
        <w:rPr>
          <w:color w:val="4F81BD"/>
        </w:rPr>
      </w:pPr>
      <w:r>
        <w:t>Suggestions gathered during 2014 comment periods on ICANN accountability and the IANA Stewardship Transition suggested several ways the AoC Reviews should be adjusted as part of incorporating them into ICANN’s Bylaws:</w:t>
      </w:r>
    </w:p>
    <w:p>
      <w:pPr>
        <w:pStyle w:val="Bullets"/>
        <w:numPr>
          <w:ilvl w:val="1"/>
          <w:numId w:val="37"/>
        </w:numPr>
        <w:ind w:left="1440"/>
        <w:rPr>
          <w:b w:val="0"/>
        </w:rPr>
      </w:pPr>
      <w:r>
        <w:rPr>
          <w:b w:val="0"/>
        </w:rPr>
        <w:t>Ability to sunset reviews and create new reviews</w:t>
      </w:r>
    </w:p>
    <w:p>
      <w:pPr>
        <w:pStyle w:val="Bullets"/>
        <w:numPr>
          <w:ilvl w:val="1"/>
          <w:numId w:val="37"/>
        </w:numPr>
        <w:ind w:left="1440"/>
        <w:rPr>
          <w:b w:val="0"/>
        </w:rPr>
      </w:pPr>
      <w:r>
        <w:rPr>
          <w:b w:val="0"/>
        </w:rPr>
        <w:t>Community stakeholder groups should appoint their own Members to review teams</w:t>
      </w:r>
    </w:p>
    <w:p>
      <w:pPr>
        <w:pStyle w:val="Bullets"/>
        <w:numPr>
          <w:ilvl w:val="1"/>
          <w:numId w:val="37"/>
        </w:numPr>
        <w:ind w:left="1440"/>
        <w:rPr>
          <w:b w:val="0"/>
        </w:rPr>
      </w:pPr>
      <w:r>
        <w:rPr>
          <w:b w:val="0"/>
        </w:rPr>
        <w:t>Give review teams access to all ICANN internal documents</w:t>
      </w:r>
    </w:p>
    <w:p>
      <w:pPr>
        <w:pStyle w:val="Bullets"/>
        <w:numPr>
          <w:ilvl w:val="1"/>
          <w:numId w:val="37"/>
        </w:numPr>
        <w:ind w:left="1440"/>
        <w:rPr>
          <w:b w:val="0"/>
        </w:rPr>
      </w:pPr>
      <w:r>
        <w:rPr>
          <w:b w:val="0"/>
        </w:rPr>
        <w:t>Require the ICANN Board to consider approval and begin implementation of review team recommendations, including from previous reviews. The Board’s decision would be subject to challenge through enhanced Reconsideration and IRP processes.</w:t>
      </w:r>
    </w:p>
    <w:p>
      <w:pPr>
        <w:ind w:hanging="540"/>
        <w:rPr>
          <w:color w:val="4F81BD"/>
        </w:rPr>
      </w:pPr>
      <w:r>
        <w:t xml:space="preserve">In Bylaws Article IV, add a new section for </w:t>
      </w:r>
      <w:r>
        <w:rPr>
          <w:b/>
          <w:bCs/>
        </w:rPr>
        <w:t xml:space="preserve">Periodic Review of ICANN Execution of Key Commitments, </w:t>
      </w:r>
      <w:r>
        <w:t>with an overarching chapeau for the way these reviews are conducted and then one subsection for each of the four current Affirmation Reviews.</w:t>
      </w:r>
    </w:p>
    <w:p>
      <w:pPr>
        <w:numPr>
          <w:ilvl w:val="0"/>
          <w:numId w:val="0"/>
        </w:numPr>
        <w:ind w:left="360"/>
        <w:rPr>
          <w:color w:val="4F81BD"/>
        </w:rPr>
      </w:pPr>
    </w:p>
    <w:p>
      <w:pPr>
        <w:ind w:hanging="540"/>
        <w:rPr>
          <w:color w:val="4F81BD"/>
        </w:rPr>
      </w:pPr>
      <w:r>
        <w:t>These proposals are presented beginning on the next page.</w:t>
      </w:r>
    </w:p>
    <w:p>
      <w:pPr>
        <w:pStyle w:val="Heading4"/>
        <w:ind w:hanging="540"/>
        <w:rPr>
          <w:rFonts w:eastAsia="Times New Roman"/>
        </w:rPr>
      </w:pPr>
      <w:r>
        <w:rPr>
          <w:rFonts w:eastAsia="Times New Roman"/>
          <w:smallCaps/>
          <w:color w:val="000000"/>
        </w:rPr>
        <w:t xml:space="preserve">Possible Bylaw that provides a chapeau for all periodic reviews </w:t>
      </w: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All of the reviews listed in this section 2.6.2 would be governed by the following:</w:t>
      </w:r>
    </w:p>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 Text</w:t>
            </w:r>
          </w:p>
        </w:tc>
        <w:tc>
          <w:tcPr>
            <w:tcW w:w="32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Comment</w:t>
            </w:r>
          </w:p>
        </w:tc>
      </w:tr>
      <w:tr>
        <w:tblPrEx>
          <w:tblW w:w="0" w:type="auto"/>
          <w:tblInd w:w="0" w:type="dxa"/>
          <w:tblCellMar>
            <w:top w:w="15" w:type="dxa"/>
            <w:left w:w="15" w:type="dxa"/>
            <w:bottom w:w="15" w:type="dxa"/>
            <w:right w:w="15" w:type="dxa"/>
          </w:tblCellMar>
          <w:tblLook w:val="04A0"/>
        </w:tblPrEx>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ICANN will produce an annual report on the state of improvements to Accountability and Transparency.</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This is new.  It is a recommendation based on one in ATRT2 and becomes more important as reviews are spread further apart.</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50"/>
              <w:rPr>
                <w:rStyle w:val="DefaultParagraphFont"/>
                <w:rFonts w:ascii="Helvetica" w:eastAsia="Times New Roman" w:hAnsi="Helvetica"/>
                <w:sz w:val="20"/>
                <w:szCs w:val="20"/>
              </w:rPr>
            </w:pPr>
            <w:r>
              <w:rPr>
                <w:rFonts w:ascii="Helvetica" w:eastAsia="Times New Roman" w:hAnsi="Helvetica"/>
                <w:sz w:val="20"/>
                <w:szCs w:val="20"/>
              </w:rPr>
              <w:t>AoC requires Board to ‘take action’ within 6 months</w:t>
            </w:r>
          </w:p>
          <w:p>
            <w:pPr>
              <w:numPr>
                <w:ilvl w:val="0"/>
                <w:numId w:val="0"/>
              </w:numPr>
              <w:ind w:left="360" w:firstLine="0"/>
              <w:rPr>
                <w:rStyle w:val="DefaultParagraphFont"/>
                <w:rFonts w:ascii="Helvetica" w:eastAsia="Times New Roman" w:hAnsi="Helvetica"/>
                <w:sz w:val="20"/>
                <w:szCs w:val="20"/>
              </w:rPr>
            </w:pPr>
          </w:p>
        </w:tc>
      </w:tr>
    </w:tbl>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2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p>
        </w:tc>
      </w:tr>
      <w:tr>
        <w:tblPrEx>
          <w:tblW w:w="0" w:type="auto"/>
          <w:tblInd w:w="0" w:type="dxa"/>
          <w:tblCellMar>
            <w:top w:w="15" w:type="dxa"/>
            <w:left w:w="15" w:type="dxa"/>
            <w:bottom w:w="15" w:type="dxa"/>
            <w:right w:w="15" w:type="dxa"/>
          </w:tblCellMar>
          <w:tblLook w:val="04A0"/>
        </w:tblPrEx>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 </w:t>
            </w:r>
            <w:r>
              <w:rPr>
                <w:rFonts w:ascii="Helvetica" w:hAnsi="Helvetica" w:eastAsiaTheme="minorEastAsia"/>
                <w:b/>
                <w:bCs/>
                <w:color w:val="000000"/>
                <w:sz w:val="20"/>
                <w:szCs w:val="20"/>
              </w:rPr>
              <w:t>Accountability &amp; Transparency Review</w:t>
            </w:r>
            <w:r>
              <w:rPr>
                <w:rFonts w:ascii="Helvetica" w:hAnsi="Helvetica" w:eastAsiaTheme="minorEastAsia"/>
                <w:color w:val="000000"/>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In this review, particular attention should be paid to:</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hAnsi="Helvetica" w:eastAsiaTheme="minorEastAsia"/>
                <w:color w:val="000000"/>
                <w:sz w:val="20"/>
                <w:szCs w:val="20"/>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is reflected in Bylaws Core Values</w:t>
            </w:r>
          </w:p>
          <w:p>
            <w:pPr>
              <w:pStyle w:val="NormalWeb"/>
              <w:numPr>
                <w:ilvl w:val="0"/>
                <w:numId w:val="0"/>
              </w:numPr>
              <w:spacing w:before="120" w:beforeAutospacing="0" w:after="100" w:afterAutospacing="0"/>
              <w:ind w:left="0" w:firstLine="0"/>
              <w:rPr>
                <w:rStyle w:val="DefaultParagraphFont"/>
                <w:rFonts w:ascii="Helvetica" w:hAnsi="Helvetica" w:eastAsiaTheme="minorEastAsia"/>
                <w:sz w:val="20"/>
                <w:szCs w:val="20"/>
              </w:rPr>
            </w:pPr>
            <w:r>
              <w:rPr>
                <w:rStyle w:val="apple-tab-span"/>
                <w:rFonts w:ascii="Helvetica" w:hAnsi="Helvetica" w:eastAsiaTheme="minorEastAsia"/>
                <w:color w:val="000000"/>
                <w:sz w:val="20"/>
                <w:szCs w:val="20"/>
              </w:rPr>
              <w:tab/>
            </w:r>
          </w:p>
        </w:tc>
      </w:tr>
      <w:tr>
        <w:tblPrEx>
          <w:tblW w:w="0" w:type="auto"/>
          <w:tblInd w:w="0" w:type="dxa"/>
          <w:tblCellMar>
            <w:top w:w="15" w:type="dxa"/>
            <w:left w:w="15" w:type="dxa"/>
            <w:bottom w:w="15" w:type="dxa"/>
            <w:right w:w="15" w:type="dxa"/>
          </w:tblCellMar>
          <w:tblLook w:val="04A0"/>
        </w:tblPrEx>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apple-tab-span"/>
                <w:rFonts w:ascii="Helvetica" w:hAnsi="Helvetica" w:eastAsiaTheme="minorEastAsia"/>
                <w:sz w:val="20"/>
                <w:szCs w:val="20"/>
              </w:rPr>
            </w:pPr>
            <w:r>
              <w:rPr>
                <w:rFonts w:ascii="Helvetica" w:hAnsi="Helvetica" w:eastAsiaTheme="minorEastAsia"/>
                <w:color w:val="000000"/>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assessing and improving the processes by which ICANN receives public input (including adequate explanation of decisions taken and the rationale thereof);</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(d) assessing the extent to which ICANN's decisions are embraced, supported and accepted by the public and the Internet community; and</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(e) assessing the policy development process to facilitate enhanced cross community deliberations, and effective and timely policy development.</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review team shall assess the extent to which the Board and staff have implemented the recommendations arising from the reviews required by this section</w:t>
            </w:r>
            <w:r>
              <w:rPr>
                <w:rStyle w:val="apple-tab-span"/>
                <w:rFonts w:ascii="Helvetica" w:hAnsi="Helvetica" w:eastAsiaTheme="minorEastAsia"/>
                <w:color w:val="000000"/>
                <w:sz w:val="20"/>
                <w:szCs w:val="20"/>
              </w:rPr>
              <w:tab/>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Rephrased to avoid implying a review of GAC’s effectiveness</w:t>
            </w:r>
          </w:p>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0"/>
                <w:szCs w:val="20"/>
              </w:rPr>
            </w:pPr>
            <w:r>
              <w:rPr>
                <w:rStyle w:val="apple-tab-span"/>
                <w:rFonts w:ascii="Helvetica" w:hAnsi="Helvetica" w:eastAsiaTheme="minorEastAsia"/>
                <w:color w:val="000000"/>
                <w:sz w:val="20"/>
                <w:szCs w:val="20"/>
              </w:rPr>
              <w:tab/>
            </w:r>
          </w:p>
          <w:p>
            <w:pPr>
              <w:pStyle w:val="NormalWeb"/>
              <w:numPr>
                <w:ilvl w:val="0"/>
                <w:numId w:val="0"/>
              </w:numPr>
              <w:spacing w:before="120" w:beforeAutospacing="0" w:after="160" w:afterAutospacing="0"/>
              <w:ind w:left="360" w:hanging="360"/>
              <w:rPr>
                <w:rStyle w:val="DefaultParagraphFont"/>
                <w:rFonts w:ascii="Helvetica" w:hAnsi="Helvetica" w:eastAsiaTheme="minorEastAsia"/>
                <w:color w:val="000000"/>
                <w:sz w:val="20"/>
                <w:szCs w:val="20"/>
              </w:rPr>
            </w:pPr>
          </w:p>
        </w:tc>
      </w:tr>
      <w:tr>
        <w:tblPrEx>
          <w:tblW w:w="0" w:type="auto"/>
          <w:tblInd w:w="0" w:type="dxa"/>
          <w:tblCellMar>
            <w:top w:w="15" w:type="dxa"/>
            <w:left w:w="15" w:type="dxa"/>
            <w:bottom w:w="15" w:type="dxa"/>
            <w:right w:w="15" w:type="dxa"/>
          </w:tblCellMar>
          <w:tblLook w:val="04A0"/>
        </w:tblPrEx>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review team may recommend termination of other periodic reviews required by this section, and may recommend additional periodic reviews. </w:t>
            </w:r>
            <w:bookmarkStart w:id="86" w:name="_cp_text_1_887"/>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should not include ability to terminate IFR.]</w:t>
            </w:r>
            <w:bookmarkEnd w:id="86"/>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New</w:t>
            </w: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AoC required every 3 years.</w:t>
            </w:r>
          </w:p>
        </w:tc>
      </w:tr>
    </w:tbl>
    <w:p>
      <w:pPr>
        <w:numPr>
          <w:ilvl w:val="0"/>
          <w:numId w:val="0"/>
        </w:numPr>
        <w:ind w:left="360"/>
        <w:rPr>
          <w:rFonts w:eastAsia="Times New Roman"/>
          <w:szCs w:val="22"/>
        </w:rPr>
      </w:pPr>
      <w:r>
        <w:rPr>
          <w:rFonts w:eastAsia="Times New Roman"/>
          <w:szCs w:val="22"/>
        </w:rPr>
        <w:br/>
      </w: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r>
              <w:rPr>
                <w:rStyle w:val="apple-tab-span"/>
                <w:rFonts w:ascii="Helvetica" w:eastAsia="Times New Roman" w:hAnsi="Helvetica"/>
                <w:b/>
                <w:bCs/>
                <w:caps/>
                <w:smallCaps/>
                <w:color w:val="000000"/>
                <w:sz w:val="20"/>
                <w:szCs w:val="20"/>
              </w:rPr>
              <w:tab/>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2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r>
              <w:rPr>
                <w:rStyle w:val="apple-tab-span"/>
                <w:rFonts w:ascii="Helvetica" w:hAnsi="Helvetica" w:eastAsiaTheme="minorEastAsia"/>
                <w:b/>
                <w:bCs/>
                <w:color w:val="000000"/>
                <w:sz w:val="20"/>
                <w:szCs w:val="20"/>
              </w:rPr>
              <w:tab/>
            </w:r>
          </w:p>
        </w:tc>
      </w:tr>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2. </w:t>
            </w:r>
            <w:r>
              <w:rPr>
                <w:rFonts w:ascii="Helvetica" w:hAnsi="Helvetica" w:eastAsiaTheme="minorEastAsia"/>
                <w:b/>
                <w:bCs/>
                <w:color w:val="000000"/>
                <w:sz w:val="20"/>
                <w:szCs w:val="20"/>
              </w:rPr>
              <w:t>Preserving security, stability, and resiliency.</w:t>
            </w:r>
            <w:r>
              <w:rPr>
                <w:rFonts w:ascii="Helvetica" w:hAnsi="Helvetica" w:eastAsiaTheme="minorEastAsia"/>
                <w:color w:val="000000"/>
                <w:sz w:val="20"/>
                <w:szCs w:val="20"/>
              </w:rPr>
              <w:t xml:space="preserve"> </w:t>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The Board shall cause a periodic review of ICANN’s execution of its commitment to enhance the operational stability, reliability, resiliency, security, and global interoperability of the DNS.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In this review, particular attention will be paid to:</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security, stability and resiliency matters, both physical and network, relating to the secure and stable coordination of the Internet DNS;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ensuring appropriate contingency planning; and</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maintaining clear processes.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hAnsi="Helvetica" w:eastAsiaTheme="minorEastAsia"/>
                <w:sz w:val="20"/>
                <w:szCs w:val="20"/>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is reflected in Bylaws Core Values</w:t>
            </w:r>
          </w:p>
          <w:p>
            <w:pPr>
              <w:numPr>
                <w:ilvl w:val="0"/>
                <w:numId w:val="0"/>
              </w:numPr>
              <w:spacing w:after="240"/>
              <w:ind w:left="360" w:firstLine="0"/>
              <w:rPr>
                <w:rStyle w:val="DefaultParagraphFont"/>
                <w:rFonts w:ascii="Helvetica" w:hAnsi="Helvetica"/>
                <w:sz w:val="20"/>
                <w:szCs w:val="20"/>
              </w:rPr>
            </w:pPr>
            <w:r>
              <w:rPr>
                <w:rFonts w:ascii="Helvetica" w:eastAsia="Times New Roman" w:hAnsi="Helvetica"/>
                <w:sz w:val="20"/>
                <w:szCs w:val="20"/>
              </w:rPr>
              <w:br/>
            </w:r>
            <w:r>
              <w:rPr>
                <w:rFonts w:ascii="Helvetica" w:eastAsia="Times New Roman" w:hAnsi="Helvetica"/>
                <w:sz w:val="20"/>
                <w:szCs w:val="20"/>
              </w:rPr>
              <w:br/>
            </w:r>
            <w:r>
              <w:rPr>
                <w:rFonts w:ascii="Helvetica" w:eastAsia="Times New Roman" w:hAnsi="Helvetica"/>
                <w:sz w:val="20"/>
                <w:szCs w:val="20"/>
              </w:rPr>
              <w:br/>
            </w:r>
            <w:r>
              <w:rPr>
                <w:rFonts w:ascii="Helvetica" w:eastAsia="Times New Roman" w:hAnsi="Helvetica"/>
                <w:sz w:val="20"/>
                <w:szCs w:val="20"/>
              </w:rPr>
              <w:br/>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Make this explicit</w:t>
            </w:r>
          </w:p>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AoC required every 3 years.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2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p>
        </w:tc>
      </w:tr>
      <w:tr>
        <w:tblPrEx>
          <w:tblW w:w="0" w:type="auto"/>
          <w:tblInd w:w="0" w:type="dxa"/>
          <w:tblCellMar>
            <w:top w:w="15" w:type="dxa"/>
            <w:left w:w="15" w:type="dxa"/>
            <w:bottom w:w="15" w:type="dxa"/>
            <w:right w:w="15" w:type="dxa"/>
          </w:tblCellMar>
          <w:tblLook w:val="04A0"/>
        </w:tblPrEx>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3. </w:t>
            </w:r>
            <w:r>
              <w:rPr>
                <w:rFonts w:ascii="Helvetica" w:hAnsi="Helvetica" w:eastAsiaTheme="minorEastAsia"/>
                <w:b/>
                <w:bCs/>
                <w:color w:val="000000"/>
                <w:sz w:val="20"/>
                <w:szCs w:val="20"/>
              </w:rPr>
              <w:t>Promoting competition, consumer trust, and consumer choice.</w:t>
            </w:r>
            <w:r>
              <w:rPr>
                <w:rFonts w:ascii="Helvetica" w:hAnsi="Helvetica" w:eastAsiaTheme="minorEastAsia"/>
                <w:color w:val="000000"/>
                <w:sz w:val="20"/>
                <w:szCs w:val="20"/>
              </w:rPr>
              <w:t xml:space="preserve"> </w:t>
            </w:r>
            <w:r>
              <w:rPr>
                <w:rStyle w:val="apple-tab-span"/>
                <w:rFonts w:ascii="Helvetica" w:hAnsi="Helvetica" w:eastAsiaTheme="minorEastAsia"/>
                <w:color w:val="000000"/>
                <w:sz w:val="20"/>
                <w:szCs w:val="20"/>
              </w:rPr>
              <w:tab/>
            </w:r>
            <w:r>
              <w:rPr>
                <w:rFonts w:ascii="Helvetica" w:hAnsi="Helvetica" w:eastAsiaTheme="minorEastAsia"/>
                <w:color w:val="000000"/>
                <w:sz w:val="20"/>
                <w:szCs w:val="2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will be added to Bylaws Core Values</w:t>
            </w:r>
          </w:p>
          <w:p>
            <w:pPr>
              <w:numPr>
                <w:ilvl w:val="0"/>
                <w:numId w:val="0"/>
              </w:numPr>
              <w:ind w:left="360" w:firstLine="0"/>
              <w:rPr>
                <w:rStyle w:val="DefaultParagraphFont"/>
                <w:rFonts w:ascii="Helvetica" w:eastAsia="Times New Roman" w:hAnsi="Helvetica"/>
                <w:sz w:val="20"/>
                <w:szCs w:val="20"/>
              </w:rPr>
            </w:pPr>
          </w:p>
          <w:p>
            <w:pPr>
              <w:numPr>
                <w:ilvl w:val="0"/>
                <w:numId w:val="0"/>
              </w:numPr>
              <w:spacing w:after="240"/>
              <w:ind w:left="360" w:firstLine="0"/>
              <w:rPr>
                <w:rStyle w:val="DefaultParagraphFont"/>
                <w:rFonts w:ascii="Helvetica" w:hAnsi="Helvetica"/>
                <w:sz w:val="20"/>
                <w:szCs w:val="20"/>
              </w:rPr>
            </w:pPr>
            <w:r>
              <w:rPr>
                <w:rFonts w:ascii="Helvetica" w:eastAsia="Times New Roman" w:hAnsi="Helvetica"/>
                <w:sz w:val="20"/>
                <w:szCs w:val="20"/>
              </w:rPr>
              <w:br/>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The Board shall cause a review of ICANN’s execution of this commitment after any batched round of new gTLDs have been in operation for one year.</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This review will examine the extent to which the expansion of gTLDs has promoted competition, consumer trust, and consumer choice, as well as effectiveness of:</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the gTLD application and evaluation process; and</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(b) safeguards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Re-phrased to cover future new gTLD rounds. </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Make this explicit</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New</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These periodic reviews shall be conducted no less frequently than every five years, measured from the date the Board received the final report of the relevant review team. </w:t>
            </w:r>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CWG-Stewardship contemplates first IANA Function Review at 2 years post-transition and then periodic reviews every 5 years thereafter.]</w:t>
            </w:r>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AoC also required a review 2 years after the 1 year review.</w:t>
            </w:r>
          </w:p>
          <w:p>
            <w:pPr>
              <w:pStyle w:val="NormalWeb"/>
              <w:numPr>
                <w:ilvl w:val="0"/>
                <w:numId w:val="0"/>
              </w:numPr>
              <w:spacing w:before="120" w:beforeAutospacing="0" w:after="160" w:afterAutospacing="0"/>
              <w:ind w:left="-90" w:firstLine="0"/>
              <w:rPr>
                <w:rStyle w:val="DefaultParagraphFont"/>
                <w:rFonts w:ascii="Helvetica" w:hAnsi="Helvetica" w:eastAsiaTheme="minorEastAsia"/>
                <w:color w:val="000000"/>
                <w:sz w:val="20"/>
                <w:szCs w:val="20"/>
              </w:rPr>
            </w:pPr>
          </w:p>
        </w:tc>
      </w:tr>
    </w:tbl>
    <w:tbl>
      <w:tblPr>
        <w:tblpPr w:leftFromText="180" w:rightFromText="180" w:vertAnchor="page" w:horzAnchor="page" w:tblpX="1120" w:tblpY="5821"/>
        <w:tblW w:w="10111" w:type="dxa"/>
        <w:tblInd w:w="0" w:type="dxa"/>
        <w:tblLayout w:type="fixed"/>
        <w:tblCellMar>
          <w:top w:w="15" w:type="dxa"/>
          <w:left w:w="15" w:type="dxa"/>
          <w:bottom w:w="15" w:type="dxa"/>
          <w:right w:w="15" w:type="dxa"/>
        </w:tblCellMar>
        <w:tblLook w:val="04A0"/>
      </w:tblPr>
      <w:tblGrid>
        <w:gridCol w:w="6855"/>
        <w:gridCol w:w="3256"/>
      </w:tblGrid>
      <w:tr>
        <w:tblPrEx>
          <w:tblW w:w="10111" w:type="dxa"/>
          <w:tblInd w:w="0" w:type="dxa"/>
          <w:tblLayout w:type="fixed"/>
          <w:tblCellMar>
            <w:top w:w="15" w:type="dxa"/>
            <w:left w:w="15" w:type="dxa"/>
            <w:bottom w:w="15" w:type="dxa"/>
            <w:right w:w="15" w:type="dxa"/>
          </w:tblCellMar>
          <w:tblLook w:val="04A0"/>
        </w:tblPrEx>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r>
              <w:rPr>
                <w:rStyle w:val="apple-tab-span"/>
                <w:rFonts w:ascii="Helvetica" w:eastAsia="Times New Roman" w:hAnsi="Helvetica"/>
                <w:b/>
                <w:bCs/>
                <w:caps/>
                <w:smallCaps/>
                <w:color w:val="000000"/>
                <w:sz w:val="20"/>
                <w:szCs w:val="20"/>
              </w:rPr>
              <w:tab/>
            </w:r>
          </w:p>
        </w:tc>
        <w:tc>
          <w:tcPr>
            <w:tcW w:w="325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color w:val="000000"/>
                <w:sz w:val="20"/>
                <w:szCs w:val="20"/>
              </w:rPr>
              <w:t>NOTES</w:t>
            </w:r>
          </w:p>
        </w:tc>
      </w:tr>
      <w:tr>
        <w:tblPrEx>
          <w:tblW w:w="10111" w:type="dxa"/>
          <w:tblInd w:w="0" w:type="dxa"/>
          <w:tblLayout w:type="fixed"/>
          <w:tblCellMar>
            <w:top w:w="15" w:type="dxa"/>
            <w:left w:w="15" w:type="dxa"/>
            <w:bottom w:w="15" w:type="dxa"/>
            <w:right w:w="15" w:type="dxa"/>
          </w:tblCellMar>
          <w:tblLook w:val="04A0"/>
        </w:tblPrEx>
        <w:trPr>
          <w:trHeight w:val="2826"/>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4. </w:t>
            </w:r>
            <w:r>
              <w:rPr>
                <w:rFonts w:ascii="Helvetica" w:eastAsia="Times New Roman" w:hAnsi="Helvetica"/>
                <w:b/>
                <w:bCs/>
                <w:caps w:val="0"/>
                <w:color w:val="000000"/>
                <w:sz w:val="20"/>
                <w:szCs w:val="20"/>
              </w:rPr>
              <w:t>Reviewing effectiveness of WHOIS/Directory Services policy and the extent to which its implementation meets the legitimate needs of law enforcement and promotes consumer trust.</w:t>
            </w:r>
            <w:r>
              <w:rPr>
                <w:rFonts w:ascii="Helvetica" w:eastAsia="Times New Roman" w:hAnsi="Helvetica"/>
                <w:b w:val="0"/>
                <w:bCs w:val="0"/>
                <w:caps w:val="0"/>
                <w:color w:val="000000"/>
                <w:sz w:val="20"/>
                <w:szCs w:val="20"/>
              </w:rPr>
              <w:t xml:space="preserve"> </w:t>
            </w:r>
          </w:p>
          <w:p>
            <w:pPr>
              <w:numPr>
                <w:ilvl w:val="0"/>
                <w:numId w:val="0"/>
              </w:numPr>
              <w:ind w:left="360" w:firstLine="0"/>
              <w:rPr>
                <w:rStyle w:val="DefaultParagraphFont"/>
                <w:rFonts w:ascii="Helvetica" w:hAnsi="Helvetica"/>
                <w:sz w:val="20"/>
                <w:szCs w:val="20"/>
              </w:rPr>
            </w:pPr>
          </w:p>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keepNext/>
              <w:keepLines/>
              <w:numPr>
                <w:ilvl w:val="0"/>
                <w:numId w:val="0"/>
              </w:numPr>
              <w:spacing w:before="0" w:after="0"/>
              <w:ind w:left="360" w:firstLine="0"/>
              <w:outlineLvl w:val="3"/>
              <w:rPr>
                <w:rStyle w:val="DefaultParagraphFont"/>
                <w:rFonts w:ascii="Helvetica" w:eastAsia="Times New Roman" w:hAnsi="Helvetica"/>
                <w:b/>
                <w:bCs w:val="0"/>
                <w:caps/>
                <w:sz w:val="20"/>
                <w:szCs w:val="20"/>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Such existing policy also includes the requirements that legal constraints regarding privacy, as defined by OECD in </w:t>
            </w:r>
            <w:r>
              <w:fldChar w:fldCharType="begin"/>
            </w:r>
            <w:r>
              <w:rPr>
                <w:rFonts w:ascii="Helvetica" w:eastAsia="MS Gothic" w:hAnsi="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b w:val="0"/>
                <w:bCs w:val="0"/>
                <w:caps w:val="0"/>
                <w:color w:val="1155CC" w:themeColor="hyperlink"/>
                <w:sz w:val="20"/>
                <w:szCs w:val="20"/>
                <w:u w:val="single"/>
              </w:rPr>
              <w:t>1980</w:t>
            </w:r>
            <w:r>
              <w:fldChar w:fldCharType="end"/>
            </w:r>
            <w:r>
              <w:rPr>
                <w:rFonts w:ascii="Helvetica" w:eastAsia="Times New Roman" w:hAnsi="Helvetica"/>
                <w:b w:val="0"/>
                <w:bCs w:val="0"/>
                <w:caps w:val="0"/>
                <w:color w:val="000000"/>
                <w:sz w:val="20"/>
                <w:szCs w:val="20"/>
              </w:rPr>
              <w:t xml:space="preserve"> as amended in </w:t>
            </w:r>
            <w:r>
              <w:fldChar w:fldCharType="begin"/>
            </w:r>
            <w:r>
              <w:rPr>
                <w:rFonts w:ascii="Helvetica" w:eastAsia="MS Gothic" w:hAnsi="Helvetica"/>
                <w:b/>
                <w:bCs/>
                <w:caps/>
                <w:sz w:val="22"/>
                <w:szCs w:val="22"/>
              </w:rPr>
              <w:instrText xml:space="preserve"> HYPERLINK "http://www.oecd.org/internet/ieconomy/privacy-guidelines.htm" </w:instrText>
            </w:r>
            <w:r>
              <w:fldChar w:fldCharType="separate"/>
            </w:r>
            <w:r>
              <w:rPr>
                <w:rStyle w:val="Hyperlink"/>
                <w:rFonts w:ascii="Helvetica" w:eastAsia="Times New Roman" w:hAnsi="Helvetica"/>
                <w:b w:val="0"/>
                <w:bCs w:val="0"/>
                <w:caps w:val="0"/>
                <w:color w:val="1155CC" w:themeColor="hyperlink"/>
                <w:sz w:val="20"/>
                <w:szCs w:val="20"/>
                <w:u w:val="single"/>
              </w:rPr>
              <w:t>2013</w:t>
            </w:r>
            <w:r>
              <w:fldChar w:fldCharType="end"/>
            </w:r>
            <w:r>
              <w:rPr>
                <w:rFonts w:ascii="Helvetica" w:eastAsia="Times New Roman" w:hAnsi="Helvetica"/>
                <w:b w:val="0"/>
                <w:bCs w:val="0"/>
                <w:caps w:val="0"/>
                <w:color w:val="000000"/>
                <w:sz w:val="20"/>
                <w:szCs w:val="20"/>
              </w:rPr>
              <w:t>. “</w:t>
            </w: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val="0"/>
                <w:sz w:val="20"/>
                <w:szCs w:val="20"/>
              </w:rPr>
            </w:pPr>
            <w:r>
              <w:fldChar w:fldCharType="begin"/>
            </w:r>
            <w:r>
              <w:rPr>
                <w:rFonts w:ascii="Helvetica" w:eastAsia="MS Gothic" w:hAnsi="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b w:val="0"/>
                <w:bCs w:val="0"/>
                <w:caps w:val="0"/>
                <w:color w:val="1155CC" w:themeColor="hyperlink"/>
                <w:sz w:val="20"/>
                <w:szCs w:val="20"/>
                <w:u w:val="single"/>
              </w:rPr>
              <w:t>http://www.oecd.org/sti/ieconomy/oecdguidelinesontheprotectionofprivacyandtransborderflowsofpersonaldata.htm</w:t>
            </w:r>
            <w:r>
              <w:fldChar w:fldCharType="end"/>
            </w: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1155CC"/>
                <w:sz w:val="20"/>
                <w:szCs w:val="20"/>
                <w:u w:val="single"/>
              </w:rPr>
              <w:t>http://www.oecd.org/internet/ieconomy/privacy-guidelines.htm</w:t>
            </w:r>
          </w:p>
          <w:p>
            <w:pPr>
              <w:numPr>
                <w:ilvl w:val="0"/>
                <w:numId w:val="0"/>
              </w:numPr>
              <w:ind w:left="360" w:firstLine="0"/>
              <w:rPr>
                <w:rStyle w:val="DefaultParagraphFont"/>
                <w:rFonts w:ascii="Helvetica" w:hAnsi="Helvetica"/>
                <w:sz w:val="20"/>
                <w:szCs w:val="20"/>
              </w:rPr>
            </w:pPr>
          </w:p>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New</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The review team shall assess the extent to which prior review recommendations have been implemented.</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Make this explicit</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This periodic review shall be conducted no less frequently than every five years, measured from the date the Board received the final report of the prior review team.</w:t>
            </w:r>
            <w:r>
              <w:rPr>
                <w:rStyle w:val="apple-tab-span"/>
                <w:rFonts w:ascii="Helvetica" w:eastAsia="Times New Roman" w:hAnsi="Helvetica"/>
                <w:b w:val="0"/>
                <w:bCs w:val="0"/>
                <w:caps w:val="0"/>
                <w:color w:val="000000"/>
                <w:sz w:val="20"/>
                <w:szCs w:val="20"/>
              </w:rPr>
              <w:tab/>
            </w:r>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AoC required every 3 years.</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bl>
    <w:p>
      <w:pPr>
        <w:numPr>
          <w:ilvl w:val="0"/>
          <w:numId w:val="0"/>
        </w:numPr>
        <w:ind w:left="360" w:hanging="360"/>
      </w:pPr>
    </w:p>
    <w:p>
      <w:pPr>
        <w:pStyle w:val="NormalWeb"/>
        <w:spacing w:before="0" w:beforeAutospacing="0" w:after="0" w:afterAutospacing="0"/>
        <w:ind w:hanging="540"/>
        <w:rPr>
          <w:rFonts w:ascii="Helvetica" w:hAnsi="Helvetica"/>
          <w:color w:val="000000"/>
          <w:sz w:val="22"/>
          <w:szCs w:val="22"/>
          <w:shd w:val="clear" w:color="auto" w:fill="FFFF00"/>
        </w:rPr>
      </w:pPr>
      <w:r>
        <w:rPr>
          <w:rFonts w:ascii="Helvetica" w:hAnsi="Helvetica"/>
          <w:sz w:val="22"/>
          <w:szCs w:val="22"/>
        </w:rPr>
        <w:t xml:space="preserve">The CWG-Stewardship has also proposed an IANA Function Review that should be added to the ICANN Bylaws, as a Fundamental Bylaw.  </w:t>
      </w:r>
    </w:p>
    <w:p>
      <w:pPr>
        <w:numPr>
          <w:ilvl w:val="0"/>
          <w:numId w:val="0"/>
        </w:numPr>
        <w:rPr>
          <w:rFonts w:eastAsia="Times New Roman"/>
          <w:szCs w:val="22"/>
        </w:rPr>
      </w:pPr>
      <w:r>
        <w:rPr>
          <w:rFonts w:eastAsia="Times New Roman"/>
          <w:szCs w:val="22"/>
        </w:rPr>
        <w:br w:type="page"/>
      </w:r>
    </w:p>
    <w:p>
      <w:pPr>
        <w:numPr>
          <w:ilvl w:val="0"/>
          <w:numId w:val="0"/>
        </w:numPr>
        <w:ind w:left="360"/>
        <w:rPr>
          <w:rFonts w:eastAsia="Times New Roman"/>
          <w:szCs w:val="22"/>
        </w:rPr>
      </w:pPr>
      <w:r>
        <w:rPr>
          <w:rFonts w:eastAsia="Times New Roman"/>
          <w:szCs w:val="22"/>
        </w:rPr>
        <w:br/>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7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076" w:type="dxa"/>
            <w:shd w:val="clear" w:color="auto" w:fill="D9D9D9" w:themeFill="background1" w:themeFillShade="D9"/>
          </w:tcPr>
          <w:p>
            <w:pPr>
              <w:pStyle w:val="Heading4"/>
              <w:keepNext/>
              <w:keepLines/>
              <w:numPr>
                <w:ilvl w:val="0"/>
                <w:numId w:val="0"/>
              </w:numPr>
              <w:spacing w:before="120" w:after="120"/>
              <w:ind w:left="360" w:firstLine="0"/>
              <w:outlineLvl w:val="3"/>
              <w:rPr>
                <w:rStyle w:val="DefaultParagraphFont"/>
                <w:rFonts w:ascii="Helvetica" w:eastAsia="MS Gothic" w:hAnsi="Helvetica" w:cs="Times New Roman"/>
                <w:b/>
                <w:bCs/>
                <w:caps/>
                <w:color w:val="000000"/>
                <w:sz w:val="20"/>
                <w:szCs w:val="20"/>
                <w:lang w:val="en-AU"/>
              </w:rPr>
            </w:pPr>
            <w:r>
              <w:rPr>
                <w:rFonts w:ascii="Helvetica" w:eastAsia="MS Gothic" w:hAnsi="Helvetica" w:cs="Times New Roman"/>
                <w:b/>
                <w:bCs/>
                <w:caps/>
                <w:color w:val="000000"/>
                <w:sz w:val="20"/>
                <w:szCs w:val="20"/>
                <w:lang w:val="en-AU"/>
              </w:rPr>
              <w:t>IANA Function Review</w:t>
            </w:r>
          </w:p>
        </w:tc>
      </w:tr>
      <w:tr>
        <w:tblPrEx>
          <w:tblW w:w="0" w:type="auto"/>
          <w:tblInd w:w="0" w:type="dxa"/>
          <w:tblCellMar>
            <w:top w:w="0" w:type="dxa"/>
            <w:left w:w="108" w:type="dxa"/>
            <w:bottom w:w="0" w:type="dxa"/>
            <w:right w:w="108" w:type="dxa"/>
          </w:tblCellMar>
          <w:tblLook w:val="04A0"/>
        </w:tblPrEx>
        <w:tc>
          <w:tcPr>
            <w:tcW w:w="10076" w:type="dxa"/>
          </w:tcPr>
          <w:p>
            <w:pPr>
              <w:pStyle w:val="NormalWeb"/>
              <w:numPr>
                <w:numId w:val="24"/>
              </w:numPr>
              <w:spacing w:before="120" w:beforeAutospacing="0" w:after="100" w:afterAutospacing="0"/>
              <w:ind w:left="360" w:hanging="450"/>
              <w:rPr>
                <w:rStyle w:val="apple-tab-span"/>
                <w:rFonts w:ascii="Helvetica" w:eastAsia="MS Mincho" w:hAnsi="Helvetica" w:cs="Times New Roman"/>
                <w:color w:val="auto"/>
                <w:sz w:val="20"/>
                <w:szCs w:val="20"/>
                <w:lang w:val="en-AU"/>
              </w:rPr>
            </w:pPr>
            <w:r>
              <w:rPr>
                <w:rFonts w:ascii="Helvetica" w:hAnsi="Helvetica" w:eastAsiaTheme="minorEastAsia" w:cs="Arial"/>
                <w:color w:val="000000"/>
                <w:sz w:val="20"/>
                <w:szCs w:val="20"/>
                <w:lang w:val="en-AU"/>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the Post-Transition IANA entity (PTI),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s="Times New Roman"/>
                <w:color w:val="auto"/>
                <w:sz w:val="20"/>
                <w:szCs w:val="20"/>
                <w:lang w:val="en-AU"/>
              </w:rPr>
              <w:br/>
            </w:r>
          </w:p>
          <w:p>
            <w:pPr>
              <w:pStyle w:val="NormalWeb"/>
              <w:numPr>
                <w:numId w:val="24"/>
              </w:numPr>
              <w:spacing w:before="120" w:beforeAutospacing="0" w:after="100" w:afterAutospacing="0"/>
              <w:ind w:left="360" w:hanging="450"/>
              <w:rPr>
                <w:rStyle w:val="DefaultParagraphFont"/>
                <w:rFonts w:ascii="Helvetica" w:hAnsi="Helvetica" w:eastAsiaTheme="minorEastAsia" w:cs="Times New Roman"/>
                <w:color w:val="auto"/>
                <w:sz w:val="20"/>
                <w:szCs w:val="20"/>
                <w:lang w:val="en-AU"/>
              </w:rPr>
            </w:pPr>
            <w:r>
              <w:rPr>
                <w:rFonts w:ascii="Helvetica" w:hAnsi="Helvetica" w:eastAsiaTheme="minorEastAsia" w:cs="Arial"/>
                <w:color w:val="000000"/>
                <w:sz w:val="20"/>
                <w:szCs w:val="20"/>
                <w:lang w:val="en-AU"/>
              </w:rPr>
              <w:t xml:space="preserve">The first IFR is recommended to take place no more than 2 years after the transition is completed. After the initial review, the IFR should occur every 5 years. </w:t>
            </w:r>
            <w:r>
              <w:rPr>
                <w:rFonts w:ascii="Helvetica" w:hAnsi="Helvetica" w:eastAsiaTheme="minorEastAsia" w:cs="Arial"/>
                <w:color w:val="000000"/>
                <w:sz w:val="20"/>
                <w:szCs w:val="20"/>
                <w:lang w:val="en-AU"/>
              </w:rPr>
              <w:br/>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p>
          <w:p>
            <w:pPr>
              <w:pStyle w:val="NormalWeb"/>
              <w:numPr>
                <w:numId w:val="24"/>
              </w:numPr>
              <w:spacing w:before="120" w:beforeAutospacing="0" w:after="100" w:afterAutospacing="0"/>
              <w:ind w:left="360" w:hanging="450"/>
              <w:rPr>
                <w:rStyle w:val="DefaultParagraphFont"/>
                <w:rFonts w:ascii="Helvetica" w:hAnsi="Helvetica" w:eastAsiaTheme="minorEastAsia" w:cs="Times New Roman"/>
                <w:color w:val="auto"/>
                <w:sz w:val="20"/>
                <w:szCs w:val="20"/>
                <w:lang w:val="en-AU"/>
              </w:rPr>
            </w:pPr>
            <w:r>
              <w:rPr>
                <w:rFonts w:ascii="Helvetica" w:hAnsi="Helvetica" w:eastAsiaTheme="minorEastAsia" w:cs="Arial"/>
                <w:color w:val="000000"/>
                <w:sz w:val="20"/>
                <w:szCs w:val="20"/>
                <w:lang w:val="en-AU"/>
              </w:rPr>
              <w:t>The IFR should be outlined in the ICANN Bylaws and included as a Fundamental Bylaw as part of the work of the CCWG-Accountability and would operate in a manner analogous to an Affirmation of Commitments (AOC) review.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r>
              <w:rPr>
                <w:rFonts w:ascii="Helvetica" w:hAnsi="Helvetica" w:eastAsiaTheme="minorEastAsia" w:cs="Times New Roman"/>
                <w:color w:val="auto"/>
                <w:sz w:val="20"/>
                <w:szCs w:val="20"/>
                <w:lang w:val="en-AU"/>
              </w:rPr>
              <w:br/>
            </w:r>
          </w:p>
          <w:p>
            <w:pPr>
              <w:numPr>
                <w:numId w:val="24"/>
              </w:numPr>
              <w:ind w:left="360" w:hanging="450"/>
              <w:rPr>
                <w:rStyle w:val="DefaultParagraphFont"/>
                <w:rFonts w:ascii="Helvetica" w:eastAsia="Times New Roman" w:hAnsi="Helvetica" w:cs="Times New Roman"/>
                <w:color w:val="000000"/>
                <w:sz w:val="20"/>
                <w:szCs w:val="20"/>
                <w:lang w:val="en-AU"/>
              </w:rPr>
            </w:pPr>
            <w:r>
              <w:rPr>
                <w:rFonts w:ascii="Helvetica" w:eastAsia="Arial" w:hAnsi="Helvetica" w:cs="Arial"/>
                <w:color w:val="000000"/>
                <w:sz w:val="20"/>
                <w:szCs w:val="20"/>
                <w:lang w:val="en-AU"/>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pPr>
              <w:numPr>
                <w:ilvl w:val="0"/>
                <w:numId w:val="0"/>
              </w:numPr>
              <w:ind w:left="0" w:firstLine="0"/>
              <w:rPr>
                <w:rStyle w:val="DefaultParagraphFont"/>
                <w:rFonts w:ascii="Helvetica" w:eastAsia="Times New Roman" w:hAnsi="Helvetica" w:cs="Times New Roman"/>
                <w:color w:val="000000"/>
                <w:sz w:val="20"/>
                <w:szCs w:val="20"/>
                <w:lang w:val="en-AU"/>
              </w:rPr>
            </w:pPr>
          </w:p>
        </w:tc>
      </w:tr>
    </w:tbl>
    <w:p>
      <w:pPr>
        <w:numPr>
          <w:ilvl w:val="0"/>
          <w:numId w:val="0"/>
        </w:numPr>
        <w:rPr>
          <w:rFonts w:eastAsia="Times New Roman"/>
          <w:szCs w:val="22"/>
        </w:rPr>
      </w:pPr>
    </w:p>
    <w:p>
      <w:pPr>
        <w:numPr>
          <w:ilvl w:val="0"/>
          <w:numId w:val="0"/>
        </w:numPr>
        <w:ind w:left="360"/>
        <w:rPr>
          <w:rFonts w:eastAsia="Times New Roman"/>
          <w:szCs w:val="22"/>
        </w:rPr>
      </w:pPr>
    </w:p>
    <w:p>
      <w:pPr>
        <w:pStyle w:val="NormalWeb"/>
        <w:spacing w:before="0" w:beforeAutospacing="0" w:after="0" w:afterAutospacing="0"/>
        <w:ind w:hanging="540"/>
        <w:rPr>
          <w:rFonts w:ascii="Helvetica" w:hAnsi="Helvetica"/>
          <w:color w:val="000000"/>
          <w:sz w:val="22"/>
          <w:szCs w:val="22"/>
          <w:shd w:val="clear" w:color="auto" w:fill="FFFF00"/>
        </w:rPr>
      </w:pPr>
      <w:bookmarkStart w:id="87" w:name="_Toc291776277"/>
      <w:bookmarkStart w:id="88" w:name="_Toc291848701"/>
      <w:r>
        <w:rPr>
          <w:rFonts w:ascii="Helvetica" w:hAnsi="Helvetica"/>
          <w:sz w:val="22"/>
          <w:szCs w:val="22"/>
        </w:rPr>
        <w:t xml:space="preserve">The CWG-Stewardship has also proposed a separation review. </w:t>
      </w:r>
    </w:p>
    <w:p>
      <w:pPr>
        <w:numPr>
          <w:ilvl w:val="0"/>
          <w:numId w:val="0"/>
        </w:numPr>
        <w:ind w:left="360"/>
        <w:rPr>
          <w:rFonts w:eastAsia="Times New Roman"/>
          <w:szCs w:val="22"/>
        </w:rPr>
      </w:pPr>
      <w:r>
        <w:rPr>
          <w:rFonts w:eastAsia="Times New Roman"/>
          <w:szCs w:val="22"/>
        </w:rPr>
        <w:br/>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7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076" w:type="dxa"/>
          </w:tcPr>
          <w:p>
            <w:pPr>
              <w:pStyle w:val="Heading4"/>
              <w:keepNext/>
              <w:keepLines/>
              <w:numPr>
                <w:ilvl w:val="0"/>
                <w:numId w:val="0"/>
              </w:numPr>
              <w:spacing w:before="240" w:after="220"/>
              <w:ind w:left="360" w:firstLine="0"/>
              <w:outlineLvl w:val="3"/>
              <w:rPr>
                <w:rStyle w:val="DefaultParagraphFont"/>
                <w:rFonts w:ascii="Helvetica" w:eastAsia="MS Gothic" w:hAnsi="Helvetica" w:cs="Times New Roman"/>
                <w:b/>
                <w:bCs/>
                <w:caps/>
                <w:color w:val="000000"/>
                <w:sz w:val="22"/>
                <w:szCs w:val="22"/>
                <w:lang w:val="en-AU"/>
              </w:rPr>
            </w:pPr>
            <w:r>
              <w:rPr>
                <w:rFonts w:ascii="Helvetica" w:eastAsia="MS Gothic" w:hAnsi="Helvetica" w:cs="Times New Roman"/>
                <w:b/>
                <w:bCs/>
                <w:caps/>
                <w:color w:val="000000"/>
                <w:sz w:val="22"/>
                <w:szCs w:val="22"/>
                <w:lang w:val="en-AU"/>
              </w:rPr>
              <w:t>SEPARATION REVIEW</w:t>
            </w:r>
          </w:p>
        </w:tc>
      </w:tr>
      <w:tr>
        <w:tblPrEx>
          <w:tblW w:w="0" w:type="auto"/>
          <w:tblInd w:w="0" w:type="dxa"/>
          <w:tblCellMar>
            <w:top w:w="0" w:type="dxa"/>
            <w:left w:w="108" w:type="dxa"/>
            <w:bottom w:w="0" w:type="dxa"/>
            <w:right w:w="108" w:type="dxa"/>
          </w:tblCellMar>
          <w:tblLook w:val="04A0"/>
        </w:tblPrEx>
        <w:tc>
          <w:tcPr>
            <w:tcW w:w="10076" w:type="dxa"/>
          </w:tcPr>
          <w:p>
            <w:pPr>
              <w:numPr>
                <w:numId w:val="24"/>
              </w:numPr>
              <w:ind w:left="360" w:hanging="450"/>
              <w:rPr>
                <w:rStyle w:val="DefaultParagraphFont"/>
                <w:rFonts w:ascii="Helvetica" w:eastAsia="Arial" w:hAnsi="Helvetica" w:cs="Times New Roman"/>
                <w:color w:val="auto"/>
                <w:sz w:val="22"/>
                <w:szCs w:val="22"/>
                <w:lang w:val="en-AU"/>
              </w:rPr>
            </w:pPr>
            <w:r>
              <w:rPr>
                <w:rFonts w:ascii="Helvetica" w:eastAsia="Arial" w:hAnsi="Helvetica" w:cs="Times New Roman"/>
                <w:color w:val="auto"/>
                <w:sz w:val="22"/>
                <w:szCs w:val="22"/>
                <w:lang w:val="en-AU"/>
              </w:rPr>
              <w:t xml:space="preserve">The CWG-Stewardship recommends that a fundamental Bylaw be created to define a Separation Review that can be triggered by an IFR, if needed. This would only occur if other escalation mechanisms and methods have been exhausted. The CWG-Stewardship proposal contemplates a process that may include a cross community of the ICANN Supporting Organizations and Advisory Committees which would be formed to review the issues and make recommendations. The recommendations would need to be approved by the ICANN Board and would be subject to all escalations and appeals mechanisms. </w:t>
            </w:r>
          </w:p>
          <w:p>
            <w:pPr>
              <w:numPr>
                <w:ilvl w:val="0"/>
                <w:numId w:val="0"/>
              </w:numPr>
              <w:ind w:left="360" w:firstLine="0"/>
              <w:rPr>
                <w:rStyle w:val="DefaultParagraphFont"/>
                <w:rFonts w:ascii="Helvetica" w:eastAsia="Arial" w:hAnsi="Helvetica" w:cs="Times New Roman"/>
                <w:color w:val="auto"/>
                <w:sz w:val="22"/>
                <w:szCs w:val="22"/>
                <w:lang w:val="en-AU"/>
              </w:rPr>
            </w:pPr>
          </w:p>
          <w:p>
            <w:pPr>
              <w:numPr>
                <w:numId w:val="24"/>
              </w:numPr>
              <w:ind w:left="360" w:hanging="450"/>
              <w:rPr>
                <w:rStyle w:val="DefaultParagraphFont"/>
                <w:rFonts w:ascii="Helvetica" w:eastAsia="Arial" w:hAnsi="Helvetica" w:cs="Times New Roman"/>
                <w:color w:val="auto"/>
                <w:sz w:val="22"/>
                <w:szCs w:val="22"/>
                <w:lang w:val="en-AU"/>
              </w:rPr>
            </w:pPr>
            <w:r>
              <w:rPr>
                <w:rFonts w:ascii="Helvetica" w:eastAsia="Arial" w:hAnsi="Helvetica" w:cs="Times New Roman"/>
                <w:color w:val="auto"/>
                <w:sz w:val="22"/>
                <w:szCs w:val="22"/>
                <w:lang w:val="en-AU"/>
              </w:rPr>
              <w:t>There would be no prescribed action for the Separation Review. It would be empowered to make a recommendation ranging from “no action required” to the initiation of an RFP and the recommendation for a new IANA functions operator.</w:t>
            </w:r>
          </w:p>
          <w:p>
            <w:pPr>
              <w:numPr>
                <w:ilvl w:val="0"/>
                <w:numId w:val="0"/>
              </w:numPr>
              <w:ind w:left="0" w:firstLine="0"/>
              <w:rPr>
                <w:rStyle w:val="DefaultParagraphFont"/>
                <w:rFonts w:ascii="Helvetica" w:eastAsia="Times New Roman" w:hAnsi="Helvetica" w:cs="Times New Roman"/>
                <w:color w:val="000000"/>
                <w:sz w:val="22"/>
                <w:szCs w:val="22"/>
                <w:lang w:val="en-AU"/>
              </w:rPr>
            </w:pPr>
          </w:p>
        </w:tc>
      </w:tr>
    </w:tbl>
    <w:p>
      <w:pPr>
        <w:numPr>
          <w:ilvl w:val="0"/>
          <w:numId w:val="0"/>
        </w:numPr>
        <w:ind w:left="360" w:hanging="360"/>
      </w:pPr>
    </w:p>
    <w:p>
      <w:pPr>
        <w:ind w:hanging="540"/>
      </w:pPr>
      <w:r>
        <w:rPr>
          <w:b/>
        </w:rPr>
        <w:t xml:space="preserve">QUESTIONS AND OPEN ISSUES: </w:t>
      </w:r>
      <w:r>
        <w:rPr>
          <w:b/>
        </w:rPr>
        <w:br/>
      </w:r>
    </w:p>
    <w:p>
      <w:pPr>
        <w:ind w:hanging="540"/>
      </w:pPr>
      <w:r>
        <w:t>17)</w:t>
      </w:r>
      <w:r>
        <w:rPr>
          <w:b/>
        </w:rPr>
        <w:t xml:space="preserve"> </w:t>
      </w:r>
      <w:r>
        <w:t>Do you agree that the incorporation into ICANN’s Bylaws of the AoC reviews would enhance ICANN's accountability? Do you agree with the list of requirements for this recommendation? If not, please detail how you would recommend to amend these requirements.</w:t>
      </w:r>
      <w:bookmarkEnd w:id="87"/>
      <w:bookmarkEnd w:id="88"/>
      <w:r>
        <w:rPr>
          <w:b/>
        </w:rPr>
        <w:t xml:space="preserve"> </w:t>
      </w:r>
    </w:p>
    <w:p>
      <w:pPr>
        <w:numPr>
          <w:ilvl w:val="0"/>
          <w:numId w:val="0"/>
        </w:numPr>
        <w:ind w:left="360"/>
        <w:rPr>
          <w:rFonts w:eastAsia="Times New Roman"/>
          <w:szCs w:val="22"/>
        </w:rPr>
      </w:pPr>
    </w:p>
    <w:p>
      <w:pPr>
        <w:pStyle w:val="Heading2"/>
      </w:pPr>
      <w:bookmarkStart w:id="89" w:name="_Toc291848702"/>
      <w:bookmarkStart w:id="90" w:name="_Toc292025320"/>
      <w:bookmarkStart w:id="91" w:name="_Toc292010169"/>
      <w:r>
        <w:t>2.8 Bylaws changes suggested by Stress Tests</w:t>
      </w:r>
      <w:bookmarkEnd w:id="89"/>
      <w:bookmarkEnd w:id="90"/>
      <w:bookmarkEnd w:id="91"/>
      <w:r>
        <w:t xml:space="preserve"> </w:t>
      </w:r>
    </w:p>
    <w:p>
      <w:pPr>
        <w:numPr>
          <w:ilvl w:val="0"/>
          <w:numId w:val="108"/>
        </w:numPr>
        <w:ind w:hanging="540"/>
        <w:rPr>
          <w:color w:val="0000FF"/>
          <w:kern w:val="20"/>
          <w:highlight w:val="yellow"/>
          <w:u w:val="double" w:color="0000FF"/>
        </w:rPr>
      </w:pPr>
      <w:bookmarkStart w:id="92" w:name="_cp_blt_1_995"/>
      <w:bookmarkStart w:id="93" w:name="_cp_text_1_996"/>
      <w:r>
        <w:rPr>
          <w:color w:val="0000FF"/>
          <w:kern w:val="20"/>
          <w:highlight w:val="yellow"/>
          <w:u w:val="double" w:color="0000FF"/>
        </w:rPr>
        <w:t>[</w:t>
      </w:r>
      <w:bookmarkEnd w:id="92"/>
      <w:r>
        <w:rPr>
          <w:b/>
          <w:i/>
          <w:color w:val="0000FF"/>
          <w:kern w:val="20"/>
          <w:highlight w:val="yellow"/>
          <w:u w:val="double" w:color="0000FF"/>
        </w:rPr>
        <w:t>Note</w:t>
      </w:r>
      <w:r>
        <w:rPr>
          <w:color w:val="0000FF"/>
          <w:kern w:val="20"/>
          <w:highlight w:val="yellow"/>
          <w:u w:val="double" w:color="0000FF"/>
        </w:rPr>
        <w:t>:  Sidley Austin LLP and Adler &amp; Colvin are not reviewing Bylaw text at this stage of review.]</w:t>
      </w:r>
    </w:p>
    <w:p>
      <w:pPr>
        <w:numPr>
          <w:ilvl w:val="0"/>
          <w:numId w:val="0"/>
        </w:numPr>
        <w:ind w:left="360"/>
        <w:rPr>
          <w:color w:val="4F81BD"/>
        </w:rPr>
      </w:pPr>
      <w:bookmarkEnd w:id="93"/>
    </w:p>
    <w:p>
      <w:pPr>
        <w:ind w:hanging="540"/>
        <w:rPr>
          <w:color w:val="4F81BD"/>
        </w:rPr>
      </w:pPr>
      <w:r>
        <w:t>The CCWG-Accountability Charter calls for stress testing of accountability enhancements in both Work Streams 1 and 2. Among deliverables listed in the charter are:</w:t>
      </w:r>
    </w:p>
    <w:p>
      <w:pPr>
        <w:numPr>
          <w:ilvl w:val="0"/>
          <w:numId w:val="0"/>
        </w:numPr>
        <w:ind w:left="360"/>
        <w:rPr>
          <w:color w:val="4F81BD"/>
        </w:rPr>
      </w:pPr>
    </w:p>
    <w:p>
      <w:pPr>
        <w:ind w:left="900" w:hanging="540"/>
      </w:pPr>
      <w:r>
        <w:rPr>
          <w:b/>
          <w:bCs/>
          <w:iCs/>
        </w:rPr>
        <w:t xml:space="preserve">Identification of contingencies to be considered in the stress tests. </w:t>
      </w:r>
    </w:p>
    <w:p>
      <w:pPr>
        <w:numPr>
          <w:ilvl w:val="0"/>
          <w:numId w:val="0"/>
        </w:numPr>
        <w:ind w:left="540"/>
      </w:pPr>
    </w:p>
    <w:p>
      <w:pPr>
        <w:ind w:left="900" w:hanging="540"/>
      </w:pPr>
      <w:r>
        <w:rPr>
          <w:iCs/>
        </w:rPr>
        <w:t>Review of possible solutions for each Work Stream including stress tests against identified contingencies.</w:t>
      </w:r>
    </w:p>
    <w:p>
      <w:pPr>
        <w:numPr>
          <w:ilvl w:val="0"/>
          <w:numId w:val="0"/>
        </w:numPr>
        <w:ind w:left="540"/>
      </w:pPr>
    </w:p>
    <w:p>
      <w:pPr>
        <w:ind w:left="900" w:hanging="540"/>
      </w:pPr>
      <w:r>
        <w:rPr>
          <w:iCs/>
        </w:rPr>
        <w:t>The CCWG-Accountability should consider the following methodology for stress tests</w:t>
      </w:r>
    </w:p>
    <w:p>
      <w:pPr>
        <w:pStyle w:val="Bullets"/>
        <w:numPr>
          <w:ilvl w:val="1"/>
          <w:numId w:val="37"/>
        </w:numPr>
        <w:ind w:left="1980"/>
        <w:rPr>
          <w:b w:val="0"/>
          <w:color w:val="1768B1"/>
        </w:rPr>
      </w:pPr>
      <w:r>
        <w:rPr>
          <w:b w:val="0"/>
        </w:rPr>
        <w:t>Analysis of potential weaknesses and risks</w:t>
      </w:r>
    </w:p>
    <w:p>
      <w:pPr>
        <w:pStyle w:val="Bullets"/>
        <w:numPr>
          <w:ilvl w:val="1"/>
          <w:numId w:val="37"/>
        </w:numPr>
        <w:ind w:left="1980"/>
        <w:rPr>
          <w:b w:val="0"/>
          <w:color w:val="1768B1"/>
        </w:rPr>
      </w:pPr>
      <w:r>
        <w:rPr>
          <w:b w:val="0"/>
        </w:rPr>
        <w:t>Analysis existing remedies and their robustness</w:t>
      </w:r>
    </w:p>
    <w:p>
      <w:pPr>
        <w:pStyle w:val="Bullets"/>
        <w:numPr>
          <w:ilvl w:val="1"/>
          <w:numId w:val="37"/>
        </w:numPr>
        <w:ind w:left="1980"/>
        <w:rPr>
          <w:b w:val="0"/>
          <w:color w:val="1768B1"/>
        </w:rPr>
      </w:pPr>
      <w:r>
        <w:rPr>
          <w:b w:val="0"/>
        </w:rPr>
        <w:t>Definition of additional remedies or modification of existing remedies</w:t>
      </w:r>
    </w:p>
    <w:p>
      <w:pPr>
        <w:pStyle w:val="Bullets"/>
        <w:numPr>
          <w:ilvl w:val="1"/>
          <w:numId w:val="37"/>
        </w:numPr>
        <w:ind w:left="1980"/>
        <w:rPr>
          <w:b w:val="0"/>
          <w:color w:val="1768B1"/>
        </w:rPr>
      </w:pPr>
      <w:r>
        <w:rPr>
          <w:b w:val="0"/>
        </w:rPr>
        <w:t>Description how the proposed solutions would mitigate the risk of contingencies or protect the organization against such contingencies</w:t>
      </w:r>
    </w:p>
    <w:p>
      <w:pPr>
        <w:pStyle w:val="Bullets"/>
        <w:numPr>
          <w:ilvl w:val="0"/>
          <w:numId w:val="0"/>
        </w:numPr>
        <w:ind w:left="1440"/>
        <w:rPr>
          <w:b w:val="0"/>
          <w:color w:val="1768B1"/>
        </w:rPr>
      </w:pPr>
      <w:r>
        <w:rPr>
          <w:b w:val="0"/>
          <w:color w:val="000000"/>
        </w:rPr>
        <w:t>CCWG-Accountability must structure its work to ensure that stress tests can be (i) designed (ii) carried out and (iii) its results being analyzed timely before the transition.</w:t>
      </w:r>
    </w:p>
    <w:p>
      <w:pPr>
        <w:ind w:hanging="540"/>
        <w:rPr>
          <w:color w:val="4F81BD"/>
        </w:rPr>
      </w:pPr>
      <w: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pPr>
        <w:numPr>
          <w:ilvl w:val="0"/>
          <w:numId w:val="0"/>
        </w:numPr>
        <w:ind w:left="360"/>
        <w:rPr>
          <w:color w:val="4F81BD"/>
        </w:rPr>
      </w:pPr>
    </w:p>
    <w:p>
      <w:pPr>
        <w:ind w:hanging="540"/>
        <w:rPr>
          <w:color w:val="4F81BD"/>
        </w:rPr>
      </w:pPr>
      <w:r>
        <w:t>The exercise of applying stress tests identified changes to ICANN Bylaws that might be necessary to allow the CCWG-Accountability to evaluate proposed accountability mechanisms as adequate to meet the challenges uncovered.</w:t>
      </w:r>
    </w:p>
    <w:p>
      <w:pPr>
        <w:numPr>
          <w:ilvl w:val="0"/>
          <w:numId w:val="0"/>
        </w:numPr>
        <w:ind w:left="360"/>
        <w:rPr>
          <w:rFonts w:eastAsia="Times New Roman"/>
          <w:szCs w:val="22"/>
        </w:rPr>
      </w:pPr>
    </w:p>
    <w:p>
      <w:pPr>
        <w:pStyle w:val="Heading2"/>
      </w:pPr>
      <w:bookmarkStart w:id="94" w:name="_Toc291848703"/>
      <w:bookmarkStart w:id="95" w:name="_Toc292025321"/>
      <w:bookmarkStart w:id="96" w:name="_Toc292010170"/>
      <w:r>
        <w:t>2.8.1 Forcing the Board to respond to Advisory Committee formal advice</w:t>
      </w:r>
      <w:bookmarkEnd w:id="94"/>
      <w:bookmarkEnd w:id="95"/>
      <w:bookmarkEnd w:id="96"/>
      <w:r>
        <w:t xml:space="preserve"> </w:t>
      </w:r>
    </w:p>
    <w:p>
      <w:pPr>
        <w:ind w:hanging="540"/>
        <w:rPr>
          <w:color w:val="4F81BD"/>
        </w:rPr>
      </w:pPr>
      <w:r>
        <w:t>Several stress tests indicate the need for a community power to force ICANN to take a decision on previously-approved Review Team Recommendations, consensus policy, or formal advice from an Advisory Committee (SSAC, ALAC, GAC, RSSAC).</w:t>
      </w:r>
    </w:p>
    <w:p>
      <w:pPr>
        <w:numPr>
          <w:ilvl w:val="0"/>
          <w:numId w:val="0"/>
        </w:numPr>
        <w:ind w:left="360"/>
        <w:rPr>
          <w:color w:val="4F81BD"/>
        </w:rPr>
      </w:pPr>
    </w:p>
    <w:p>
      <w:pPr>
        <w:ind w:hanging="540"/>
        <w:rPr>
          <w:color w:val="4F81BD"/>
        </w:rPr>
      </w:pPr>
      <w: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numPr>
          <w:ilvl w:val="0"/>
          <w:numId w:val="0"/>
        </w:numPr>
        <w:rPr>
          <w:color w:val="4F81BD"/>
        </w:rPr>
      </w:pPr>
    </w:p>
    <w:p>
      <w:pPr>
        <w:ind w:hanging="540"/>
        <w:rPr>
          <w:color w:val="4F81BD"/>
        </w:rPr>
      </w:pPr>
      <w:r>
        <w:t>Recommendation 9 from ATRT2</w:t>
      </w:r>
      <w:r>
        <w:rPr>
          <w:rStyle w:val="FootnoteReference"/>
          <w:color w:val="000000"/>
          <w:szCs w:val="22"/>
        </w:rPr>
        <w:footnoteReference w:id="6"/>
      </w:r>
      <w:r>
        <w:t xml:space="preserve"> may answer this need:</w:t>
      </w:r>
    </w:p>
    <w:p>
      <w:pPr>
        <w:pStyle w:val="Bullets"/>
        <w:numPr>
          <w:ilvl w:val="0"/>
          <w:numId w:val="0"/>
        </w:numPr>
        <w:ind w:left="1080"/>
        <w:rPr>
          <w:b w:val="0"/>
        </w:rPr>
      </w:pPr>
      <w:r>
        <w:rPr>
          <w:b w:val="0"/>
        </w:rPr>
        <w:t xml:space="preserve">9.1. ICANN Bylaws Article XI should be amended to include the following language to mandate Board Response to Advisory Committee Formal Advice: </w:t>
      </w:r>
    </w:p>
    <w:p>
      <w:pPr>
        <w:pStyle w:val="Bullets"/>
        <w:numPr>
          <w:ilvl w:val="0"/>
          <w:numId w:val="0"/>
        </w:numPr>
        <w:ind w:left="1080"/>
        <w:rPr>
          <w:b w:val="0"/>
          <w:i/>
        </w:rPr>
      </w:pPr>
      <w:r>
        <w:rPr>
          <w:b w:val="0"/>
          <w:i/>
        </w:rPr>
        <w:t>The ICANN Board will respond in a timely manner to formal advice from all Advisory Committees, explaining what action it took and the rationale for doing so.</w:t>
      </w:r>
    </w:p>
    <w:p>
      <w:pPr>
        <w:ind w:hanging="540"/>
      </w:pPr>
      <w:r>
        <w:t>This ATRT2 recommendation has not yet been reflected in ICANN Bylaws, so this change should be required before the IANA stewardship transition.   In addition, there is a question as to whether a Board "response" would be sufficient to trigger the RR and IRP review mechanisms in this proposal.  The CCWG-Accountability and CWG-Stewardship are waiting on legal advice as to that question.</w:t>
      </w:r>
    </w:p>
    <w:p>
      <w:pPr>
        <w:pStyle w:val="NormalWeb"/>
        <w:numPr>
          <w:ilvl w:val="0"/>
          <w:numId w:val="0"/>
        </w:numPr>
        <w:spacing w:before="120" w:beforeAutospacing="0" w:afterAutospacing="0"/>
        <w:ind w:left="360"/>
        <w:rPr>
          <w:rFonts w:ascii="Helvetica" w:hAnsi="Helvetica"/>
          <w:sz w:val="22"/>
          <w:szCs w:val="22"/>
        </w:rPr>
      </w:pPr>
    </w:p>
    <w:p>
      <w:pPr>
        <w:pStyle w:val="Heading2"/>
        <w:rPr>
          <w:shd w:val="clear" w:color="auto" w:fill="6FA8DC"/>
        </w:rPr>
      </w:pPr>
      <w:bookmarkStart w:id="97" w:name="_Toc291848704"/>
      <w:bookmarkStart w:id="98" w:name="_Toc292025322"/>
      <w:bookmarkStart w:id="99" w:name="_Toc292010171"/>
      <w:r>
        <w:t>2.8.2</w:t>
      </w:r>
      <w:r>
        <w:rPr>
          <w:rStyle w:val="apple-tab-span"/>
          <w:rFonts w:eastAsia="Times New Roman"/>
          <w:b/>
          <w:bCs w:val="0"/>
          <w:color w:val="000000"/>
          <w:sz w:val="22"/>
          <w:szCs w:val="22"/>
        </w:rPr>
        <w:t xml:space="preserve">  </w:t>
      </w:r>
      <w:r>
        <w:t>Require consultation and mutually acceptable solution for GAC advice that is backed by consensus</w:t>
      </w:r>
      <w:bookmarkEnd w:id="97"/>
      <w:bookmarkEnd w:id="98"/>
      <w:bookmarkEnd w:id="99"/>
      <w:r>
        <w:t xml:space="preserve"> </w:t>
      </w:r>
    </w:p>
    <w:p>
      <w:pPr>
        <w:ind w:hanging="540"/>
      </w:pPr>
      <w:bookmarkStart w:id="100" w:name="_Toc291848705"/>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100"/>
    </w:p>
    <w:p>
      <w:pPr>
        <w:numPr>
          <w:ilvl w:val="0"/>
          <w:numId w:val="0"/>
        </w:numPr>
        <w:ind w:left="360"/>
        <w:rPr>
          <w:szCs w:val="22"/>
        </w:rPr>
      </w:pPr>
    </w:p>
    <w:tbl>
      <w:tblPr>
        <w:tblW w:w="0" w:type="auto"/>
        <w:tblInd w:w="0" w:type="dxa"/>
        <w:tblCellMar>
          <w:top w:w="15" w:type="dxa"/>
          <w:left w:w="15" w:type="dxa"/>
          <w:bottom w:w="15" w:type="dxa"/>
          <w:right w:w="15" w:type="dxa"/>
        </w:tblCellMar>
        <w:tblLook w:val="04A0"/>
      </w:tblPr>
      <w:tblGrid>
        <w:gridCol w:w="3356"/>
        <w:gridCol w:w="3357"/>
        <w:gridCol w:w="3357"/>
      </w:tblGrid>
      <w:tr>
        <w:tblPrEx>
          <w:tblW w:w="0" w:type="auto"/>
          <w:tblInd w:w="0" w:type="dxa"/>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2"/>
              </w:rPr>
            </w:pPr>
            <w:r>
              <w:rPr>
                <w:rFonts w:ascii="Helvetica" w:hAnsi="Helvetica" w:eastAsiaTheme="minorEastAsia"/>
                <w:color w:val="000000"/>
                <w:sz w:val="20"/>
                <w:szCs w:val="22"/>
              </w:rPr>
              <w:t>18. Governments in ICANN’s Government Advisory Committee (GAC) amend their operating procedures to change from consensus decisions to majority voting for advice to ICANN’s Board.</w:t>
            </w:r>
          </w:p>
          <w:p>
            <w:pPr>
              <w:pStyle w:val="NormalWeb"/>
              <w:numPr>
                <w:ilvl w:val="0"/>
                <w:numId w:val="0"/>
              </w:numPr>
              <w:spacing w:before="0" w:beforeAutospacing="0" w:after="0" w:afterAutospacing="0"/>
              <w:ind w:left="360" w:firstLine="0"/>
              <w:rPr>
                <w:rStyle w:val="DefaultParagraphFont"/>
                <w:rFonts w:ascii="Helvetica" w:eastAsia="MS Mincho" w:hAnsi="Helvetica"/>
                <w:sz w:val="20"/>
                <w:szCs w:val="22"/>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2"/>
              </w:rPr>
              <w:t>Consequence: Under current Bylaws,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2"/>
              </w:rPr>
            </w:pPr>
            <w:r>
              <w:rPr>
                <w:rFonts w:ascii="Helvetica" w:hAnsi="Helvetica" w:eastAsiaTheme="minorEastAsia"/>
                <w:color w:val="000000"/>
                <w:sz w:val="20"/>
                <w:szCs w:val="22"/>
              </w:rPr>
              <w:t>Current ICANN Bylaws (Section XI) give due deference to GAC advice, including a requirement to try to find “a mutually acceptable solution.”</w:t>
            </w:r>
          </w:p>
          <w:p>
            <w:pPr>
              <w:pStyle w:val="NormalWeb"/>
              <w:numPr>
                <w:ilvl w:val="0"/>
                <w:numId w:val="0"/>
              </w:numPr>
              <w:spacing w:before="0" w:beforeAutospacing="0" w:after="0" w:afterAutospacing="0"/>
              <w:ind w:left="360" w:firstLine="0"/>
              <w:rPr>
                <w:rStyle w:val="DefaultParagraphFont"/>
                <w:rFonts w:ascii="Helvetica" w:hAnsi="Helvetica" w:eastAsiaTheme="minorEastAsia"/>
                <w:sz w:val="20"/>
                <w:szCs w:val="22"/>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2"/>
              </w:rPr>
            </w:pPr>
            <w:r>
              <w:rPr>
                <w:rFonts w:ascii="Helvetica" w:hAnsi="Helvetica" w:eastAsiaTheme="minorEastAsia"/>
                <w:color w:val="000000"/>
                <w:sz w:val="20"/>
                <w:szCs w:val="22"/>
              </w:rPr>
              <w:t>This is required for any GAC advice, not just for GAC consensus advice.</w:t>
            </w:r>
            <w:r>
              <w:rPr>
                <w:rFonts w:ascii="Helvetica" w:hAnsi="Helvetica" w:eastAsiaTheme="minorEastAsia"/>
                <w:color w:val="000000"/>
                <w:sz w:val="20"/>
                <w:szCs w:val="22"/>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2"/>
              </w:rPr>
              <w:t>Today, GAC adopts formal advice according to its Operating Principle 47: “</w:t>
            </w:r>
            <w:r>
              <w:rPr>
                <w:rFonts w:ascii="Helvetica" w:hAnsi="Helvetica" w:eastAsiaTheme="minorEastAsia"/>
                <w:i/>
                <w:iCs/>
                <w:color w:val="000000"/>
                <w:sz w:val="20"/>
                <w:szCs w:val="22"/>
              </w:rPr>
              <w:t>consensus is understood to mean the practice of adopting decisions by general agreement in the absence of any formal objection</w:t>
            </w:r>
            <w:r>
              <w:rPr>
                <w:rStyle w:val="FootnoteReference"/>
                <w:rFonts w:ascii="Helvetica" w:hAnsi="Helvetica"/>
                <w:i/>
                <w:iCs/>
                <w:color w:val="000000"/>
                <w:szCs w:val="22"/>
              </w:rPr>
              <w:footnoteReference w:id="7"/>
            </w:r>
            <w:r>
              <w:rPr>
                <w:rFonts w:ascii="Helvetica" w:hAnsi="Helvetica" w:eastAsiaTheme="minorEastAsia"/>
                <w:color w:val="000000"/>
                <w:sz w:val="20"/>
                <w:szCs w:val="22"/>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sz w:val="20"/>
                <w:szCs w:val="20"/>
              </w:rPr>
            </w:pPr>
            <w:r>
              <w:rPr>
                <w:rFonts w:ascii="Helvetica" w:hAnsi="Helvetica" w:eastAsiaTheme="minorEastAsia"/>
                <w:sz w:val="20"/>
                <w:szCs w:val="20"/>
              </w:rPr>
              <w:t>One proposed measure would amend ICANN Bylaws (Article XI, Section 2, item 1j) to require trying to find a mutually agreeable solution only where GAC advice was supported by GAC consensus.</w:t>
            </w:r>
          </w:p>
          <w:p>
            <w:pPr>
              <w:pStyle w:val="NormalWeb"/>
              <w:numPr>
                <w:ilvl w:val="0"/>
                <w:numId w:val="0"/>
              </w:numPr>
              <w:spacing w:before="100" w:beforeAutospacing="1" w:after="100" w:afterAutospacing="1"/>
              <w:ind w:left="360" w:firstLine="0"/>
              <w:rPr>
                <w:rStyle w:val="DefaultParagraphFont"/>
                <w:rFonts w:ascii="Helvetica" w:hAnsi="Helvetica" w:eastAsiaTheme="minorEastAsia"/>
                <w:sz w:val="20"/>
                <w:szCs w:val="20"/>
              </w:rPr>
            </w:pPr>
            <w:r>
              <w:rPr>
                <w:rFonts w:ascii="Helvetica" w:hAnsi="Helvetica" w:eastAsiaTheme="minorEastAsia"/>
                <w:sz w:val="20"/>
                <w:szCs w:val="20"/>
              </w:rPr>
              <w:t>The GAC could change its Operating Principle 47 to use majority voting for formal GAC advice, but ICANN Bylaws would require trying to find a mutually agreeable solution only on advice that had GAC consensus. </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GAC can still give ICANN advice at any time, with or without consensus</w:t>
            </w:r>
          </w:p>
        </w:tc>
      </w:tr>
    </w:tbl>
    <w:p>
      <w:pPr>
        <w:numPr>
          <w:ilvl w:val="0"/>
          <w:numId w:val="0"/>
        </w:numPr>
        <w:ind w:left="360"/>
        <w:rPr>
          <w:rFonts w:eastAsia="Times New Roman"/>
          <w:szCs w:val="22"/>
        </w:rPr>
      </w:pPr>
    </w:p>
    <w:p>
      <w:pPr>
        <w:ind w:hanging="540"/>
        <w:rPr>
          <w:color w:val="4F81BD"/>
        </w:rPr>
      </w:pPr>
      <w:r>
        <w:t xml:space="preserve">The CCWG-Accountability proposes a response to Stress Test 18 to amend ICANN Bylaws such that only consensus advice would trigger the obligation to try to find a mutually acceptable solution.  The proposal is to amend ICANN Bylaws, Article XI Section 2 clause j as seen below. (Addition here </w:t>
      </w:r>
      <w:r>
        <w:rPr>
          <w:b/>
          <w:bCs/>
          <w:i/>
          <w:iCs/>
          <w:u w:val="single"/>
        </w:rPr>
        <w:t>bold, italic and underlined</w:t>
      </w:r>
      <w:r>
        <w:t>)   Clause k is also shown for completeness but is not being amended.</w:t>
      </w:r>
      <w:r>
        <w:br/>
      </w:r>
    </w:p>
    <w:p>
      <w:pPr>
        <w:ind w:left="1440" w:hanging="1620"/>
        <w:rPr>
          <w:i/>
          <w:szCs w:val="22"/>
        </w:rPr>
      </w:pPr>
      <w:r>
        <w:rPr>
          <w:iCs/>
          <w:color w:val="000000"/>
          <w:szCs w:val="22"/>
        </w:rPr>
        <w:t xml:space="preserve">j: </w:t>
      </w:r>
      <w:r>
        <w:rPr>
          <w:i/>
          <w:iCs/>
          <w:color w:val="000000"/>
          <w:szCs w:val="22"/>
        </w:rPr>
        <w:t>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r>
        <w:rPr>
          <w:i/>
          <w:color w:val="000000"/>
          <w:szCs w:val="22"/>
        </w:rPr>
        <w:br/>
      </w:r>
    </w:p>
    <w:p>
      <w:pPr>
        <w:ind w:left="1440" w:hanging="1620"/>
        <w:rPr>
          <w:szCs w:val="22"/>
        </w:rPr>
      </w:pPr>
      <w:r>
        <w:rPr>
          <w:iCs/>
          <w:color w:val="000000"/>
          <w:szCs w:val="22"/>
        </w:rPr>
        <w:t xml:space="preserve">k: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color w:val="000000"/>
          <w:szCs w:val="22"/>
        </w:rPr>
        <w:t>‬‬‬‬‬‬</w:t>
      </w:r>
      <w:r>
        <w:rPr>
          <w:rFonts w:eastAsiaTheme="minorEastAsia"/>
          <w:color w:val="000000"/>
          <w:szCs w:val="22"/>
        </w:rPr>
        <w:br/>
      </w:r>
    </w:p>
    <w:p>
      <w:pPr>
        <w:ind w:hanging="540"/>
        <w:rPr>
          <w:szCs w:val="22"/>
        </w:rPr>
      </w:pPr>
      <w:r>
        <w:rPr>
          <w:color w:val="000000"/>
          <w:szCs w:val="22"/>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color w:val="000000"/>
          <w:szCs w:val="22"/>
        </w:rPr>
        <w:br/>
      </w:r>
    </w:p>
    <w:p>
      <w:pPr>
        <w:ind w:hanging="540"/>
        <w:rPr>
          <w:szCs w:val="22"/>
        </w:rPr>
      </w:pPr>
      <w:r>
        <w:rPr>
          <w:color w:val="000000"/>
          <w:szCs w:val="22"/>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r>
        <w:rPr>
          <w:color w:val="000000"/>
          <w:szCs w:val="22"/>
        </w:rPr>
        <w:br/>
      </w:r>
    </w:p>
    <w:p>
      <w:pPr>
        <w:ind w:hanging="540"/>
        <w:rPr>
          <w:szCs w:val="22"/>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color w:val="000000"/>
          <w:szCs w:val="22"/>
        </w:rPr>
        <w:br/>
      </w:r>
    </w:p>
    <w:p>
      <w:pPr>
        <w:ind w:hanging="540"/>
        <w:rPr>
          <w:szCs w:val="22"/>
        </w:rPr>
      </w:pPr>
      <w:r>
        <w:rPr>
          <w:color w:val="000000"/>
          <w:szCs w:val="22"/>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pPr>
        <w:pStyle w:val="NormalWeb"/>
        <w:numPr>
          <w:ilvl w:val="0"/>
          <w:numId w:val="0"/>
        </w:numPr>
        <w:spacing w:before="120" w:beforeAutospacing="0" w:afterAutospacing="0"/>
        <w:ind w:left="2880"/>
        <w:rPr>
          <w:rFonts w:ascii="Helvetica" w:hAnsi="Helvetica"/>
          <w:sz w:val="22"/>
          <w:szCs w:val="22"/>
        </w:rPr>
      </w:pPr>
    </w:p>
    <w:p>
      <w:pPr>
        <w:ind w:hanging="540"/>
        <w:rPr>
          <w:szCs w:val="22"/>
        </w:rPr>
      </w:pPr>
      <w:r>
        <w:rPr>
          <w:b/>
          <w:szCs w:val="22"/>
        </w:rPr>
        <w:t>QUESTIONS AND OPEN ISSUES:</w:t>
      </w:r>
      <w:r>
        <w:rPr>
          <w:szCs w:val="22"/>
        </w:rPr>
        <w:br/>
      </w:r>
    </w:p>
    <w:p>
      <w:pPr>
        <w:ind w:hanging="540"/>
        <w:rPr>
          <w:szCs w:val="22"/>
        </w:rPr>
      </w:pPr>
      <w:r>
        <w:rPr>
          <w:szCs w:val="22"/>
        </w:rPr>
        <w:t>18)</w:t>
      </w:r>
      <w:r>
        <w:rPr>
          <w:b/>
          <w:szCs w:val="22"/>
        </w:rPr>
        <w:t xml:space="preserve"> </w:t>
      </w:r>
      <w:r>
        <w:rPr>
          <w:szCs w:val="22"/>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ind w:right="0" w:hanging="540"/>
        <w:rPr>
          <w:rFonts w:ascii="Helvetica" w:hAnsi="Helvetica"/>
          <w:color w:val="1F497D" w:themeColor="text2"/>
          <w:szCs w:val="56"/>
        </w:rPr>
      </w:pPr>
      <w:r>
        <w:rPr>
          <w:rFonts w:ascii="Helvetica" w:hAnsi="Helvetica"/>
          <w:sz w:val="22"/>
          <w:szCs w:val="22"/>
        </w:rPr>
        <w:br/>
      </w:r>
      <w:bookmarkStart w:id="101" w:name="_Toc291848706"/>
      <w:bookmarkStart w:id="102" w:name="_Toc292025323"/>
      <w:bookmarkStart w:id="103" w:name="_Toc292010172"/>
      <w:r>
        <w:rPr>
          <w:rFonts w:ascii="Helvetica" w:hAnsi="Helvetica"/>
          <w:color w:val="1F497D" w:themeColor="text2"/>
          <w:szCs w:val="56"/>
        </w:rPr>
        <w:t>3) Stress Tests</w:t>
      </w:r>
      <w:bookmarkEnd w:id="101"/>
      <w:bookmarkEnd w:id="102"/>
      <w:bookmarkEnd w:id="103"/>
    </w:p>
    <w:p>
      <w:pPr>
        <w:pStyle w:val="Heading2"/>
      </w:pPr>
      <w:bookmarkStart w:id="104" w:name="_Toc292025324"/>
      <w:bookmarkStart w:id="105" w:name="_Toc292010173"/>
      <w:r>
        <w:t>Introduction</w:t>
      </w:r>
      <w:bookmarkEnd w:id="104"/>
      <w:bookmarkEnd w:id="105"/>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An essential part of our CCWG-Accountability Charter calls for stress testing of accountability enhancements in both Work Streams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hAnsi="Helvetica"/>
          <w:i/>
          <w:iCs/>
          <w:color w:val="000000"/>
          <w:sz w:val="22"/>
          <w:szCs w:val="22"/>
        </w:rPr>
        <w:t xml:space="preserve">. </w:t>
      </w:r>
    </w:p>
    <w:p>
      <w:pPr>
        <w:pStyle w:val="Heading2"/>
      </w:pPr>
      <w:bookmarkStart w:id="106" w:name="_Toc291848707"/>
      <w:bookmarkStart w:id="107" w:name="_Toc291931690"/>
      <w:bookmarkStart w:id="108" w:name="_Toc292010174"/>
      <w:r>
        <w:t>Purpose &amp; Methodology</w:t>
      </w:r>
      <w:bookmarkEnd w:id="106"/>
      <w:bookmarkEnd w:id="107"/>
      <w:bookmarkEnd w:id="108"/>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ind w:left="360"/>
        <w:rPr>
          <w:rFonts w:eastAsia="Times New Roman"/>
        </w:rPr>
      </w:pPr>
      <w:r>
        <w:rPr>
          <w:rFonts w:eastAsia="Times New Roman"/>
          <w:smallCaps/>
          <w:color w:val="000000"/>
        </w:rPr>
        <w:t>Among deliverables listed in the CCWG-Accountability Charter are:</w:t>
      </w:r>
    </w:p>
    <w:p>
      <w:pPr>
        <w:pStyle w:val="NormalWeb"/>
        <w:spacing w:before="120" w:beforeAutospacing="0" w:afterAutospacing="0"/>
        <w:ind w:left="900" w:hanging="1080"/>
        <w:rPr>
          <w:rFonts w:ascii="Helvetica" w:eastAsia="MS Mincho" w:hAnsi="Helvetica"/>
          <w:sz w:val="22"/>
          <w:szCs w:val="22"/>
        </w:rPr>
      </w:pPr>
      <w:r>
        <w:rPr>
          <w:rFonts w:ascii="Helvetica" w:hAnsi="Helvetica"/>
          <w:color w:val="000000"/>
          <w:sz w:val="22"/>
          <w:szCs w:val="22"/>
        </w:rPr>
        <w:t xml:space="preserve">Identification of contingencies to be considered in the stress tests </w:t>
      </w:r>
    </w:p>
    <w:p>
      <w:pPr>
        <w:pStyle w:val="NormalWeb"/>
        <w:spacing w:before="120" w:beforeAutospacing="0" w:afterAutospacing="0"/>
        <w:ind w:left="900" w:hanging="1080"/>
        <w:rPr>
          <w:rFonts w:ascii="Helvetica" w:hAnsi="Helvetica"/>
          <w:sz w:val="22"/>
          <w:szCs w:val="22"/>
        </w:rPr>
      </w:pPr>
      <w:r>
        <w:rPr>
          <w:rFonts w:ascii="Helvetica" w:hAnsi="Helvetica"/>
          <w:color w:val="000000"/>
          <w:sz w:val="22"/>
          <w:szCs w:val="22"/>
        </w:rPr>
        <w:t>Review of possible solutions for each Work Stream including stress tests against identified contingencies. The CCWG-Accountability should consider the following methodology for stress tests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Analysis of potential weaknesses and risks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Analysis of existing remedies and their robustness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Definition of additional remedies or modification of existing remedies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Description of how the proposed solutions would mitigate the risk of contingencies or protect the organization against such contingencies</w:t>
      </w:r>
    </w:p>
    <w:p>
      <w:pPr>
        <w:pStyle w:val="NormalWeb"/>
        <w:spacing w:before="120" w:beforeAutospacing="0" w:afterAutospacing="0"/>
        <w:ind w:left="900" w:hanging="1080"/>
        <w:rPr>
          <w:rFonts w:ascii="Helvetica" w:hAnsi="Helvetica"/>
          <w:sz w:val="22"/>
          <w:szCs w:val="22"/>
        </w:rPr>
      </w:pPr>
      <w:r>
        <w:rPr>
          <w:rFonts w:ascii="Helvetica" w:hAnsi="Helvetica"/>
          <w:color w:val="000000"/>
          <w:sz w:val="22"/>
          <w:szCs w:val="22"/>
        </w:rPr>
        <w:t>CCWG-Accountability must structure its work to ensure that stress tests can be (i) designed (ii) carried out and (iii) analyzed timely before the transition.</w:t>
      </w:r>
    </w:p>
    <w:p>
      <w:pPr>
        <w:pStyle w:val="Heading4"/>
        <w:ind w:hanging="540"/>
        <w:rPr>
          <w:rFonts w:eastAsia="Times New Roman"/>
          <w:b w:val="0"/>
          <w:bCs w:val="0"/>
        </w:rPr>
      </w:pPr>
      <w:r>
        <w:rPr>
          <w:rFonts w:eastAsia="Times New Roman"/>
          <w:b w:val="0"/>
          <w:bCs w:val="0"/>
          <w:caps w:val="0"/>
          <w:color w:val="000000"/>
        </w:rPr>
        <w:t>In addition, the CCWG-Accountability chairs asked our work party to consider this yes/no question:</w:t>
      </w:r>
    </w:p>
    <w:p>
      <w:pPr>
        <w:pStyle w:val="NormalWeb"/>
        <w:numPr>
          <w:ilvl w:val="0"/>
          <w:numId w:val="0"/>
        </w:numPr>
        <w:spacing w:before="120" w:beforeAutospacing="0" w:afterAutospacing="0"/>
        <w:ind w:left="720"/>
        <w:rPr>
          <w:rFonts w:ascii="Helvetica" w:eastAsia="MS Mincho" w:hAnsi="Helvetica"/>
          <w:sz w:val="22"/>
          <w:szCs w:val="22"/>
        </w:rPr>
      </w:pPr>
      <w:r>
        <w:rPr>
          <w:rFonts w:ascii="Helvetica" w:hAnsi="Helvetica"/>
          <w:i/>
          <w:iCs/>
          <w:color w:val="000000"/>
          <w:sz w:val="22"/>
          <w:szCs w:val="22"/>
        </w:rPr>
        <w:t xml:space="preserve">While this is not a gating factor, is the threat directly related to the transition of the IANA stewardship? </w:t>
      </w:r>
      <w:r>
        <w:rPr>
          <w:rFonts w:ascii="Helvetica" w:eastAsia="MS Mincho"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the CCWG-Accountability charter does not ask that probability estimates be assigned for contingencies.  The purpose of applying tests to proposed accountability measures is to determine if the community has adequate means to challenge ICANN’s reactions to the contingency.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CCWG-Accountability Work Team 4 gathered an inventory of contingencies identified in prior public comments.   That document was posted to the wiki at </w:t>
      </w:r>
      <w:r>
        <w:fldChar w:fldCharType="begin"/>
      </w:r>
      <w:r>
        <w:instrText xml:space="preserve"> HYPERLINK "https://community.icann.org/display/acctcrosscomm/ST-WP+--+Stress+Tests+Work+Party" </w:instrText>
      </w:r>
      <w:r>
        <w:fldChar w:fldCharType="separate"/>
      </w:r>
      <w:r>
        <w:rPr>
          <w:rStyle w:val="Hyperlink"/>
          <w:rFonts w:ascii="Helvetica" w:hAnsi="Helvetica"/>
          <w:sz w:val="22"/>
          <w:szCs w:val="22"/>
        </w:rPr>
        <w:t>https://community.icann.org/display/acctcrosscomm/ST-WP+--+Stress+Tests+Work+Party</w:t>
      </w:r>
      <w:r>
        <w:fldChar w:fldCharType="end"/>
      </w:r>
      <w:r>
        <w:rPr>
          <w:rFonts w:ascii="Helvetica" w:hAnsi="Helvetica"/>
          <w:color w:val="000000"/>
          <w:sz w:val="22"/>
          <w:szCs w:val="22"/>
        </w:rPr>
        <w:t xml:space="preserve">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CCWG-Accountability’s proposed accountability measures.  </w:t>
      </w:r>
    </w:p>
    <w:p>
      <w:pPr>
        <w:pStyle w:val="Heading3"/>
      </w:pPr>
      <w:bookmarkStart w:id="109" w:name="_Toc291848708"/>
      <w:bookmarkStart w:id="110" w:name="_Toc291931691"/>
      <w:bookmarkStart w:id="111" w:name="_Toc292010175"/>
      <w:r>
        <w:t>I. Financial Crisis or Insolvency (Scenarios #5, 6, 7, 8 and 9)</w:t>
      </w:r>
      <w:bookmarkEnd w:id="109"/>
      <w:bookmarkEnd w:id="110"/>
      <w:bookmarkEnd w:id="111"/>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hAnsi="Helvetica"/>
          <w:color w:val="000000"/>
          <w:sz w:val="22"/>
          <w:szCs w:val="22"/>
        </w:rPr>
        <w:br/>
      </w:r>
    </w:p>
    <w:p>
      <w:pPr>
        <w:pStyle w:val="Heading3"/>
      </w:pPr>
      <w:bookmarkStart w:id="112" w:name="_Toc291848709"/>
      <w:bookmarkStart w:id="113" w:name="_Toc291931692"/>
      <w:bookmarkStart w:id="114" w:name="_Toc292010176"/>
      <w:r>
        <w:t>II. Failure to Meet Operational Obligations (Scenarios #1, 2, 11, 17, and 21)</w:t>
      </w:r>
      <w:bookmarkEnd w:id="112"/>
      <w:bookmarkEnd w:id="113"/>
      <w:bookmarkEnd w:id="114"/>
    </w:p>
    <w:p>
      <w:pPr>
        <w:ind w:left="1080" w:hanging="1260"/>
      </w:pPr>
      <w:r>
        <w:t>ICANN fails to process change or delegation requests to the IANA Root Zone, or executes a change or delegation over the objections of stakeholders, such as those defined as 'Significantly Interested Parties' [</w:t>
      </w:r>
      <w:r>
        <w:fldChar w:fldCharType="begin"/>
      </w:r>
      <w:r>
        <w:instrText xml:space="preserve"> HYPERLINK "http://ccnso.icann.org/workinggroups/foi-final-07oct14-en.pdf" </w:instrText>
      </w:r>
      <w:r>
        <w:fldChar w:fldCharType="separate"/>
      </w:r>
      <w:r>
        <w:rPr>
          <w:rStyle w:val="Hyperlink"/>
          <w:szCs w:val="22"/>
        </w:rPr>
        <w:t>http://ccnso.icann.org/workinggroups/foi-final-07oct14-en.pdf</w:t>
      </w:r>
      <w:r>
        <w:fldChar w:fldCharType="end"/>
      </w:r>
      <w:r>
        <w:t>]</w:t>
      </w:r>
      <w:r>
        <w:br/>
      </w:r>
    </w:p>
    <w:p>
      <w:pPr>
        <w:pStyle w:val="Heading3"/>
      </w:pPr>
      <w:bookmarkStart w:id="115" w:name="_Toc291848710"/>
      <w:bookmarkStart w:id="116" w:name="_Toc291931693"/>
      <w:bookmarkStart w:id="117" w:name="_Toc292010177"/>
      <w:r>
        <w:t>III. Legal/Legislative Action (Scenarios #3, 4, 19, and 20)</w:t>
      </w:r>
      <w:bookmarkEnd w:id="115"/>
      <w:bookmarkEnd w:id="116"/>
      <w:bookmarkEnd w:id="117"/>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Pr>
          <w:rFonts w:ascii="Helvetica" w:hAnsi="Helvetica"/>
          <w:color w:val="000000"/>
          <w:sz w:val="22"/>
          <w:szCs w:val="22"/>
        </w:rPr>
        <w:br/>
      </w:r>
    </w:p>
    <w:p>
      <w:pPr>
        <w:pStyle w:val="Heading3"/>
      </w:pPr>
      <w:bookmarkStart w:id="118" w:name="_Toc291848711"/>
      <w:bookmarkStart w:id="119" w:name="_Toc291931694"/>
      <w:bookmarkStart w:id="120" w:name="_Toc292010178"/>
      <w:r>
        <w:t>IV. Failure of Accountability (Scenarios #10, 12, 13, 16, 18, 22, 23, 24 and 26)</w:t>
      </w:r>
      <w:bookmarkEnd w:id="118"/>
      <w:bookmarkEnd w:id="119"/>
      <w:bookmarkEnd w:id="120"/>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Actions (or expenditure of resources) by one or more ICANN Board Directors,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r>
        <w:rPr>
          <w:rFonts w:ascii="Helvetica" w:hAnsi="Helvetica"/>
          <w:color w:val="000000"/>
          <w:sz w:val="22"/>
          <w:szCs w:val="22"/>
        </w:rPr>
        <w:br/>
      </w:r>
    </w:p>
    <w:p>
      <w:pPr>
        <w:pStyle w:val="Heading3"/>
      </w:pPr>
      <w:bookmarkStart w:id="121" w:name="_Toc291848712"/>
      <w:bookmarkStart w:id="122" w:name="_Toc291931695"/>
      <w:bookmarkStart w:id="123" w:name="_Toc292010179"/>
      <w:r>
        <w:t>V. Failure of Accountability to External Stakeholders (Scenarios #14, 15, and 25)</w:t>
      </w:r>
      <w:bookmarkEnd w:id="121"/>
      <w:bookmarkEnd w:id="122"/>
      <w:bookmarkEnd w:id="123"/>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Pr>
          <w:rFonts w:ascii="Helvetica" w:hAnsi="Helvetica"/>
          <w:color w:val="000000"/>
          <w:sz w:val="22"/>
          <w:szCs w:val="22"/>
        </w:rPr>
        <w:br/>
      </w:r>
      <w:r>
        <w:rPr>
          <w:rFonts w:ascii="Helvetica" w:eastAsia="MS Mincho" w:hAnsi="Helvetica"/>
          <w:sz w:val="22"/>
          <w:szCs w:val="22"/>
        </w:rPr>
        <w:br/>
      </w:r>
    </w:p>
    <w:p>
      <w:pPr>
        <w:pStyle w:val="NormalWeb"/>
        <w:spacing w:before="120"/>
        <w:ind w:hanging="540"/>
        <w:rPr>
          <w:rFonts w:ascii="Helvetica" w:hAnsi="Helvetica"/>
          <w:b/>
          <w:iCs/>
          <w:sz w:val="22"/>
          <w:szCs w:val="22"/>
        </w:rPr>
      </w:pPr>
      <w:r>
        <w:rPr>
          <w:rFonts w:ascii="Helvetica" w:hAnsi="Helvetica"/>
          <w:b/>
          <w:sz w:val="24"/>
          <w:szCs w:val="22"/>
        </w:rPr>
        <w:t>Applying Additional Stress Tests</w:t>
      </w:r>
      <w:r>
        <w:rPr>
          <w:rFonts w:ascii="Helvetica" w:hAnsi="Helvetica"/>
          <w:b/>
          <w:sz w:val="24"/>
          <w:szCs w:val="22"/>
        </w:rPr>
        <w:br/>
      </w:r>
    </w:p>
    <w:p>
      <w:pPr>
        <w:pStyle w:val="NormalWeb"/>
        <w:spacing w:before="120"/>
        <w:ind w:hanging="540"/>
        <w:rPr>
          <w:rFonts w:ascii="Helvetica" w:hAnsi="Helvetica"/>
          <w:iCs/>
          <w:sz w:val="22"/>
          <w:szCs w:val="22"/>
        </w:rPr>
      </w:pPr>
      <w:r>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iCs/>
          <w:sz w:val="22"/>
          <w:szCs w:val="22"/>
        </w:rPr>
        <w:br/>
      </w:r>
    </w:p>
    <w:p>
      <w:pPr>
        <w:pStyle w:val="NormalWeb"/>
        <w:spacing w:before="120"/>
        <w:ind w:hanging="54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hAnsi="Helvetica"/>
          <w:iCs/>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several stress tests can specifically apply to work of the CWG-Stewardship regarding transition of the IANA naming functions contract (see Stress Tests #1 &amp; 2, 10, 11, 14, 15, 16, 17, 19, 22, 24, 25) </w:t>
      </w:r>
      <w:r>
        <w:rPr>
          <w:rFonts w:ascii="Helvetica" w:hAnsi="Helvetica"/>
          <w:color w:val="000000"/>
          <w:sz w:val="22"/>
          <w:szCs w:val="22"/>
        </w:rPr>
        <w:br/>
      </w:r>
    </w:p>
    <w:p>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r>
        <w:rPr>
          <w:rFonts w:ascii="Helvetica" w:hAnsi="Helvetica"/>
          <w:color w:val="000000"/>
          <w:sz w:val="22"/>
          <w:szCs w:val="22"/>
        </w:rPr>
        <w:br/>
      </w:r>
    </w:p>
    <w:p>
      <w:pPr>
        <w:pStyle w:val="NormalWeb"/>
        <w:spacing w:before="120"/>
        <w:ind w:hanging="540"/>
        <w:rPr>
          <w:rFonts w:ascii="Helvetica" w:hAnsi="Helvetica"/>
          <w:iCs/>
          <w:sz w:val="22"/>
          <w:szCs w:val="22"/>
        </w:rPr>
      </w:pPr>
      <w:r>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iCs/>
          <w:sz w:val="22"/>
          <w:szCs w:val="22"/>
        </w:rPr>
        <w:br/>
      </w:r>
    </w:p>
    <w:p>
      <w:pPr>
        <w:pStyle w:val="NormalWeb"/>
        <w:spacing w:before="120"/>
        <w:ind w:hanging="54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hAnsi="Helvetica"/>
          <w:iCs/>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several stress tests can specifically apply to work of the CWG-Stewardship regarding transition of the IANA naming functions contract (see Stress Tests #1 &amp; 2, 10, 11, 14, 15, 16, 17, 19, 22, 24, 25) </w:t>
      </w:r>
      <w:r>
        <w:rPr>
          <w:rFonts w:ascii="Helvetica" w:hAnsi="Helvetica"/>
          <w:color w:val="000000"/>
          <w:sz w:val="22"/>
          <w:szCs w:val="22"/>
        </w:rPr>
        <w:br/>
      </w:r>
    </w:p>
    <w:p>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numPr>
          <w:ilvl w:val="0"/>
          <w:numId w:val="0"/>
        </w:numPr>
        <w:ind w:left="360"/>
        <w:rPr>
          <w:rFonts w:eastAsia="Times New Roman"/>
          <w:szCs w:val="22"/>
        </w:rPr>
      </w:pPr>
    </w:p>
    <w:p>
      <w:pPr>
        <w:pStyle w:val="Heading2"/>
      </w:pPr>
      <w:bookmarkStart w:id="124" w:name="_Toc291848713"/>
      <w:bookmarkStart w:id="125" w:name="_Toc292025331"/>
      <w:bookmarkStart w:id="126" w:name="_Toc292010180"/>
      <w:r>
        <w:t>Stress test category I: Financial Crisis or Insolvency</w:t>
      </w:r>
      <w:bookmarkEnd w:id="124"/>
      <w:bookmarkEnd w:id="125"/>
      <w:bookmarkEnd w:id="126"/>
      <w:r>
        <w:t xml:space="preserve"> </w:t>
      </w:r>
    </w:p>
    <w:tbl>
      <w:tblPr>
        <w:tblW w:w="0" w:type="auto"/>
        <w:tblInd w:w="-110" w:type="dxa"/>
        <w:tblCellMar>
          <w:top w:w="15" w:type="dxa"/>
          <w:left w:w="15" w:type="dxa"/>
          <w:bottom w:w="15" w:type="dxa"/>
          <w:right w:w="15" w:type="dxa"/>
        </w:tblCellMar>
        <w:tblLook w:val="04A0"/>
      </w:tblPr>
      <w:tblGrid>
        <w:gridCol w:w="3403"/>
        <w:gridCol w:w="3403"/>
        <w:gridCol w:w="3404"/>
      </w:tblGrid>
      <w:tr>
        <w:tblPrEx>
          <w:tblW w:w="0" w:type="auto"/>
          <w:tblInd w:w="-110" w:type="dxa"/>
          <w:tblCellMar>
            <w:top w:w="15" w:type="dxa"/>
            <w:left w:w="15" w:type="dxa"/>
            <w:bottom w:w="15" w:type="dxa"/>
            <w:right w:w="15" w:type="dxa"/>
          </w:tblCellMar>
          <w:tblLook w:val="04A0"/>
        </w:tblPrEx>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Ex>
        <w:tc>
          <w:tcPr>
            <w:tcW w:w="3403" w:type="dxa"/>
          </w:tcPr>
          <w:p>
            <w:pPr>
              <w:numPr>
                <w:numId w:val="24"/>
              </w:numPr>
              <w:ind w:left="360" w:hanging="418"/>
              <w:rPr>
                <w:rStyle w:val="DefaultParagraphFont"/>
                <w:rFonts w:ascii="Helvetica" w:hAnsi="Helvetica"/>
                <w:sz w:val="20"/>
                <w:szCs w:val="20"/>
              </w:rPr>
            </w:pPr>
            <w:r>
              <w:rPr>
                <w:rFonts w:ascii="Helvetica" w:hAnsi="Helvetica"/>
                <w:sz w:val="20"/>
                <w:szCs w:val="20"/>
              </w:rPr>
              <w:t>5. Domain industry financial crisis.   Consequence: significant reduction in domain sales generated revenues and significant increase in registrar and registry costs, threatening ICANN’s ability to operate.</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6. General financial crisis.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7. Litigation arising from private contract, e.g., Breach of Contract.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8. Technology competing with DNS.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Consequence: loss affecting reserves sufficient to threaten business continuity.</w:t>
            </w:r>
          </w:p>
        </w:tc>
        <w:tc>
          <w:tcPr>
            <w:tcW w:w="3403" w:type="dxa"/>
          </w:tcPr>
          <w:p>
            <w:pPr>
              <w:numPr>
                <w:numId w:val="24"/>
              </w:numPr>
              <w:ind w:left="360" w:hanging="418"/>
              <w:rPr>
                <w:rStyle w:val="DefaultParagraphFont"/>
                <w:rFonts w:ascii="Helvetica" w:hAnsi="Helvetica"/>
                <w:sz w:val="20"/>
                <w:szCs w:val="20"/>
              </w:rPr>
            </w:pPr>
            <w:r>
              <w:rPr>
                <w:rFonts w:ascii="Helvetica" w:hAnsi="Helvetica"/>
                <w:sz w:val="20"/>
                <w:szCs w:val="20"/>
              </w:rPr>
              <w:t>ICANN could propose revenue increases or spending cuts, but these decisions are not subject to challenge by the ICANN community.</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The Community has input in ICANN budgeting and Strat Plan.</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Registrars must approve ICANN’s variable registrar fees. If not, registry operators pay the fees.</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ICANN’s reserve fund could support operations in a period of reduced revenue. Reserve fund is independently reviewed periodically. </w:t>
            </w:r>
          </w:p>
        </w:tc>
        <w:tc>
          <w:tcPr>
            <w:tcW w:w="3404" w:type="dxa"/>
          </w:tcPr>
          <w:p>
            <w:pPr>
              <w:numPr>
                <w:numId w:val="24"/>
              </w:numPr>
              <w:ind w:left="360" w:hanging="418"/>
              <w:rPr>
                <w:rStyle w:val="DefaultParagraphFont"/>
                <w:rFonts w:ascii="Helvetica" w:hAnsi="Helvetica"/>
                <w:sz w:val="20"/>
                <w:szCs w:val="20"/>
              </w:rPr>
            </w:pPr>
            <w:r>
              <w:rPr>
                <w:rFonts w:ascii="Helvetica" w:hAnsi="Helvetica"/>
                <w:sz w:val="20"/>
                <w:szCs w:val="20"/>
              </w:rPr>
              <w:t>One proposed measure would empower the community to veto ICANN’s proposed annual budget. This measure enables blocking a proposal by ICANN to increase its revenues by adding fees on registrars, registries, and/or registrants.</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may be able to reverse that decision unless it was deemed vital to ICANN.</w:t>
            </w:r>
          </w:p>
        </w:tc>
      </w:tr>
      <w:tr>
        <w:tblPrEx>
          <w:tblW w:w="0" w:type="auto"/>
          <w:tblInd w:w="-110" w:type="dxa"/>
          <w:tblCellMar>
            <w:top w:w="15" w:type="dxa"/>
            <w:left w:w="15" w:type="dxa"/>
            <w:bottom w:w="15" w:type="dxa"/>
            <w:right w:w="15" w:type="dxa"/>
          </w:tblCellMar>
          <w:tblLook w:val="04A0"/>
        </w:tblPrEx>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3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hanging="43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hanging="43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c) Proposed measures are helpful, but might not be adequate if revenue loss was extreme and sustained.</w:t>
            </w:r>
          </w:p>
        </w:tc>
      </w:tr>
    </w:tbl>
    <w:p>
      <w:pPr>
        <w:numPr>
          <w:ilvl w:val="0"/>
          <w:numId w:val="0"/>
        </w:numPr>
        <w:ind w:left="360"/>
        <w:rPr>
          <w:rFonts w:eastAsia="Times New Roman"/>
          <w:sz w:val="20"/>
          <w:szCs w:val="20"/>
        </w:rPr>
      </w:pPr>
    </w:p>
    <w:tbl>
      <w:tblPr>
        <w:tblW w:w="0" w:type="auto"/>
        <w:tblInd w:w="-60" w:type="dxa"/>
        <w:tblCellMar>
          <w:top w:w="15" w:type="dxa"/>
          <w:left w:w="15" w:type="dxa"/>
          <w:bottom w:w="15" w:type="dxa"/>
          <w:right w:w="15" w:type="dxa"/>
        </w:tblCellMar>
        <w:tblLook w:val="04A0"/>
      </w:tblPr>
      <w:tblGrid>
        <w:gridCol w:w="3386"/>
        <w:gridCol w:w="3387"/>
        <w:gridCol w:w="3387"/>
      </w:tblGrid>
      <w:tr>
        <w:tblPrEx>
          <w:tblW w:w="0" w:type="auto"/>
          <w:tblInd w:w="-60" w:type="dxa"/>
          <w:tblCellMar>
            <w:top w:w="15" w:type="dxa"/>
            <w:left w:w="15" w:type="dxa"/>
            <w:bottom w:w="15" w:type="dxa"/>
            <w:right w:w="15" w:type="dxa"/>
          </w:tblCellMar>
          <w:tblLook w:val="04A0"/>
        </w:tblPrEx>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60" w:type="dxa"/>
          <w:tblCellMar>
            <w:top w:w="15" w:type="dxa"/>
            <w:left w:w="15" w:type="dxa"/>
            <w:bottom w:w="15" w:type="dxa"/>
            <w:right w:w="15" w:type="dxa"/>
          </w:tblCellMar>
          <w:tblLook w:val="04A0"/>
        </w:tblPrEx>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9. Major corruption or fraud. </w:t>
            </w:r>
            <w:r>
              <w:rPr>
                <w:rFonts w:ascii="Helvetica" w:hAnsi="Helvetica" w:eastAsiaTheme="minorEastAsia"/>
                <w:color w:val="000000"/>
                <w:sz w:val="20"/>
                <w:szCs w:val="20"/>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0"/>
              <w:rPr>
                <w:rStyle w:val="DefaultParagraphFont"/>
                <w:rFonts w:ascii="Helvetica" w:hAnsi="Helvetica"/>
                <w:sz w:val="20"/>
                <w:szCs w:val="20"/>
              </w:rPr>
            </w:pPr>
            <w:r>
              <w:rPr>
                <w:rFonts w:ascii="Helvetica" w:hAnsi="Helvetica"/>
                <w:sz w:val="20"/>
                <w:szCs w:val="20"/>
              </w:rPr>
              <w:t xml:space="preserve">ICANN has annual independent audit that includes testing of internal controls designed to prevent fraud and corruption.  </w:t>
            </w:r>
          </w:p>
          <w:p>
            <w:pPr>
              <w:numPr>
                <w:ilvl w:val="0"/>
                <w:numId w:val="0"/>
              </w:numPr>
              <w:ind w:left="36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ICANN maintains an anonymous hotline for employees to report suspected fraud.</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 xml:space="preserve">ICANN Board can dismiss CEO and/or executives responsible. </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The community has no ability to force the Board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0"/>
              <w:rPr>
                <w:rStyle w:val="DefaultParagraphFont"/>
                <w:rFonts w:ascii="Helvetica" w:hAnsi="Helvetica"/>
                <w:sz w:val="20"/>
                <w:szCs w:val="20"/>
              </w:rPr>
            </w:pPr>
            <w:r>
              <w:rPr>
                <w:rFonts w:ascii="Helvetica" w:hAnsi="Helvetica"/>
                <w:sz w:val="20"/>
                <w:szCs w:val="20"/>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Another proposed measure would empower the community to veto ICANN’s proposed annual budget.  This measure enables blocking a budget proposal that is tainted by corruption or fraud.</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eastAsia="Calibri" w:hAnsi="Helvetica" w:cs="Calibri"/>
                <w:sz w:val="20"/>
                <w:szCs w:val="20"/>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tblPrEx>
          <w:tblW w:w="0" w:type="auto"/>
          <w:tblInd w:w="-60" w:type="dxa"/>
          <w:tblCellMar>
            <w:top w:w="15" w:type="dxa"/>
            <w:left w:w="15" w:type="dxa"/>
            <w:bottom w:w="15" w:type="dxa"/>
            <w:right w:w="15" w:type="dxa"/>
          </w:tblCellMar>
          <w:tblLook w:val="04A0"/>
        </w:tblPrEx>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b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br/>
              <w:t>c) Proposed measures are helpful, but might not be adequate if litigation costs and losses were extreme and sustained.</w:t>
            </w:r>
          </w:p>
        </w:tc>
      </w:tr>
    </w:tbl>
    <w:p>
      <w:pPr>
        <w:numPr>
          <w:ilvl w:val="0"/>
          <w:numId w:val="0"/>
        </w:numPr>
        <w:ind w:left="360"/>
        <w:rPr>
          <w:rFonts w:eastAsia="Times New Roman"/>
          <w:szCs w:val="22"/>
        </w:rPr>
      </w:pPr>
      <w:r>
        <w:rPr>
          <w:rFonts w:eastAsia="Times New Roman"/>
          <w:szCs w:val="22"/>
        </w:rPr>
        <w:br/>
      </w:r>
    </w:p>
    <w:p>
      <w:pPr>
        <w:pStyle w:val="Heading2"/>
      </w:pPr>
      <w:bookmarkStart w:id="127" w:name="_Toc291848714"/>
      <w:bookmarkStart w:id="128" w:name="_Toc292025332"/>
      <w:bookmarkStart w:id="129" w:name="_Toc292010181"/>
      <w:r>
        <w:t>Stress test category II: Failure to Meet Operational Expectations</w:t>
      </w:r>
      <w:bookmarkEnd w:id="127"/>
      <w:bookmarkEnd w:id="128"/>
      <w:bookmarkEnd w:id="129"/>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 Change authority for the Root Zone ceases to function, in part or in whole. </w:t>
            </w:r>
          </w:p>
          <w:p>
            <w:pPr>
              <w:pStyle w:val="NormalWeb"/>
              <w:numPr>
                <w:ilvl w:val="0"/>
                <w:numId w:val="0"/>
              </w:numPr>
              <w:spacing w:before="0" w:beforeAutospacing="0" w:after="0" w:afterAutospacing="0"/>
              <w:ind w:left="360" w:firstLine="0"/>
              <w:rPr>
                <w:rStyle w:val="DefaultParagraphFont"/>
                <w:rFonts w:ascii="Helvetica" w:eastAsia="MS Mincho" w:hAnsi="Helvetica"/>
                <w:sz w:val="20"/>
                <w:szCs w:val="20"/>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2. Delegation authority for the Root Zone ceases to function, in part or in whole.</w:t>
            </w:r>
          </w:p>
          <w:p>
            <w:pPr>
              <w:pStyle w:val="NormalWeb"/>
              <w:numPr>
                <w:ilvl w:val="0"/>
                <w:numId w:val="0"/>
              </w:numPr>
              <w:spacing w:before="0" w:beforeAutospacing="0" w:after="0" w:afterAutospacing="0"/>
              <w:ind w:left="0" w:firstLine="0"/>
              <w:rPr>
                <w:rStyle w:val="DefaultParagraphFont"/>
                <w:rFonts w:ascii="Helvetica" w:hAnsi="Helvetica" w:eastAsiaTheme="minorEastAsi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Under the present IANA functions contract, NTIA can revoke ICANN’s authority to perform IANA functions and re-assign to different entity/entities. </w:t>
            </w:r>
          </w:p>
          <w:p>
            <w:pPr>
              <w:pStyle w:val="NormalWeb"/>
              <w:numPr>
                <w:ilvl w:val="0"/>
                <w:numId w:val="0"/>
              </w:numPr>
              <w:spacing w:before="0" w:beforeAutospacing="0" w:after="0" w:afterAutospacing="0"/>
              <w:ind w:left="360" w:firstLine="0"/>
              <w:rPr>
                <w:rStyle w:val="DefaultParagraphFont"/>
                <w:rFonts w:ascii="Helvetica" w:hAnsi="Helvetica" w:eastAsiaTheme="minorEastAsi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CWG-Stewardship proposal includes various escalation procedures to prevent degradation of service, as well as a framework (operational) for the transition of the IANA function. </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CWG-Stewardship proposes that IANA naming functions be legally transferred to a new Post-Transition IANA entity (PTI) that would be a subsidiary or affiliate of ICANN. </w:t>
            </w:r>
            <w:r>
              <w:rPr>
                <w:rFonts w:ascii="Helvetica" w:hAnsi="Helvetica" w:eastAsiaTheme="minorEastAsia"/>
                <w:color w:val="000000"/>
                <w:sz w:val="20"/>
                <w:szCs w:val="20"/>
              </w:rPr>
              <w:br/>
              <w:t xml:space="preserve"> </w:t>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CWG-Stewardship proposes the ability for the multistakeholder community to require, if necessary and after other escalation mechanisms and methods have been exhausted, the selection of a new operator for the IANA Functions.  </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Suggestions for Work Stream 2:</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Require annual external security audits and publication of results.</w:t>
            </w:r>
            <w:r>
              <w:rPr>
                <w:rFonts w:ascii="Helvetica" w:hAnsi="Helvetica" w:eastAsiaTheme="minorEastAsia"/>
                <w:color w:val="000000"/>
                <w:sz w:val="20"/>
                <w:szCs w:val="20"/>
              </w:rPr>
              <w:br/>
              <w:t xml:space="preserve"> </w:t>
            </w:r>
          </w:p>
          <w:p>
            <w:pPr>
              <w:pStyle w:val="NormalWeb"/>
              <w:numPr>
                <w:numId w:val="24"/>
              </w:numPr>
              <w:spacing w:before="100" w:beforeAutospacing="1" w:after="0" w:afterAutospacing="0"/>
              <w:ind w:left="360" w:hanging="446"/>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Require certification per international standards (ISO 27001) and publication of results.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 xml:space="preserve">c) </w:t>
            </w:r>
            <w:r>
              <w:rPr>
                <w:rFonts w:ascii="Helvetica" w:eastAsia="Calibri" w:hAnsi="Helvetica"/>
                <w:sz w:val="20"/>
                <w:szCs w:val="20"/>
              </w:rPr>
              <w:t>Proposed measures are, in combination, adequate to mitigate this contingency</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11. Compromise of credentials. </w:t>
            </w:r>
            <w:r>
              <w:rPr>
                <w:rFonts w:ascii="Helvetica" w:hAnsi="Helvetica" w:eastAsiaTheme="minorEastAsia"/>
                <w:color w:val="000000"/>
                <w:sz w:val="20"/>
                <w:szCs w:val="20"/>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Consequence: major impact on corporate reputation, significant loss of authentication and/or authorization capacities.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Regarding compromise of internal systems: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Based upon experience of the recent security breach, it is not apparent how the community holds ICANN management accountable for implementation of adopted security procedures.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It also appears that the community cannot force ICANN to conduct an after-action report on a security incident and reveal that report.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Regarding DNS security:</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hAnsi="Helvetica"/>
                <w:sz w:val="20"/>
                <w:szCs w:val="20"/>
              </w:rPr>
              <w:t>Beyond operating procedures, there are credentials employed in DNSSEC.</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ICANN annually seeks </w:t>
            </w:r>
            <w:r>
              <w:fldChar w:fldCharType="begin"/>
            </w:r>
            <w:r>
              <w:rPr>
                <w:rFonts w:ascii="Helvetica" w:hAnsi="Helvetica"/>
                <w:sz w:val="22"/>
              </w:rPr>
              <w:instrText xml:space="preserve"> HYPERLINK "https://www.iana.org/dnssec/systrust" </w:instrText>
            </w:r>
            <w:r>
              <w:fldChar w:fldCharType="separate"/>
            </w:r>
            <w:r>
              <w:rPr>
                <w:rFonts w:ascii="Helvetica" w:hAnsi="Helvetica"/>
                <w:color w:val="0000FF"/>
                <w:sz w:val="20"/>
                <w:szCs w:val="20"/>
                <w:u w:val="single"/>
              </w:rPr>
              <w:t>SysTrust</w:t>
            </w:r>
            <w:r>
              <w:fldChar w:fldCharType="end"/>
            </w:r>
            <w:r>
              <w:rPr>
                <w:rFonts w:ascii="Helvetica" w:hAnsi="Helvetica"/>
                <w:sz w:val="20"/>
                <w:szCs w:val="20"/>
              </w:rPr>
              <w:t xml:space="preserve"> Certification for its role as the Root Zone KSK manager.</w:t>
            </w:r>
          </w:p>
          <w:p>
            <w:pPr>
              <w:numPr>
                <w:numId w:val="24"/>
              </w:numPr>
              <w:ind w:left="360" w:hanging="433"/>
              <w:rPr>
                <w:rStyle w:val="DefaultParagraphFont"/>
                <w:rFonts w:ascii="Helvetica" w:hAnsi="Helvetica"/>
                <w:sz w:val="20"/>
                <w:szCs w:val="20"/>
              </w:rPr>
            </w:pPr>
            <w:r>
              <w:rPr>
                <w:rFonts w:ascii="Helvetica" w:hAnsi="Helvetica"/>
                <w:sz w:val="20"/>
                <w:szCs w:val="20"/>
              </w:rPr>
              <w:t xml:space="preserve">The IANA Department has </w:t>
            </w:r>
            <w:r>
              <w:fldChar w:fldCharType="begin"/>
            </w:r>
            <w:r>
              <w:rPr>
                <w:rFonts w:ascii="Helvetica" w:hAnsi="Helvetica"/>
                <w:sz w:val="22"/>
              </w:rPr>
              <w:instrText xml:space="preserve"> HYPERLINK "http://www.iana.org/about/excellence" </w:instrText>
            </w:r>
            <w:r>
              <w:fldChar w:fldCharType="separate"/>
            </w:r>
            <w:r>
              <w:rPr>
                <w:rFonts w:ascii="Helvetica" w:hAnsi="Helvetica"/>
                <w:color w:val="0000FF"/>
                <w:sz w:val="20"/>
                <w:szCs w:val="20"/>
                <w:u w:val="single"/>
              </w:rPr>
              <w:t>achieved</w:t>
            </w:r>
            <w:r>
              <w:fldChar w:fldCharType="end"/>
            </w:r>
            <w:r>
              <w:rPr>
                <w:rFonts w:ascii="Helvetica" w:hAnsi="Helvetica"/>
                <w:sz w:val="20"/>
                <w:szCs w:val="20"/>
              </w:rPr>
              <w:t xml:space="preserve"> EFQM Committed to Excellence certification for its Business Excellence activities.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Regarding compromise of internal systems: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No measures yet suggested would force ICANN management to conduct an after-action report and disclose it to the community.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Nor can the community force ICANN management to execute its stated security procedures for employees and contractors.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Regarding DNS security:</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One proposed measure empowers the community to force ICANN’s Board to consider a recommendation arising from an AoC Review – namely, </w:t>
            </w:r>
            <w:r>
              <w:rPr>
                <w:rFonts w:ascii="Helvetica" w:hAnsi="Helvetica"/>
                <w:i/>
                <w:sz w:val="20"/>
                <w:szCs w:val="20"/>
              </w:rPr>
              <w:t>Security Stability and Resiliency</w:t>
            </w:r>
            <w:r>
              <w:rPr>
                <w:rFonts w:ascii="Helvetica" w:hAnsi="Helvetica"/>
                <w:sz w:val="20"/>
                <w:szCs w:val="20"/>
              </w:rPr>
              <w: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Suggestions for Work Stream 2:</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hAnsi="Helvetica"/>
                <w:sz w:val="20"/>
                <w:szCs w:val="20"/>
              </w:rPr>
              <w:t xml:space="preserve">- Require annual external security audits and publication of results. </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eastAsia="Times New Roman" w:hAnsi="Helvetica"/>
                <w:color w:val="000000"/>
                <w:sz w:val="20"/>
                <w:szCs w:val="20"/>
              </w:rPr>
              <w:t xml:space="preserve">- </w:t>
            </w:r>
            <w:r>
              <w:rPr>
                <w:rFonts w:ascii="Helvetica" w:hAnsi="Helvetica"/>
                <w:sz w:val="20"/>
                <w:szCs w:val="20"/>
              </w:rPr>
              <w:t>Require certification per international standards (ISO 27001) and publication of results.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33"/>
              <w:rPr>
                <w:rStyle w:val="DefaultParagraphFont"/>
                <w:rFonts w:ascii="Helvetica" w:hAnsi="Helvetica"/>
                <w:sz w:val="20"/>
                <w:szCs w:val="20"/>
              </w:rPr>
            </w:pPr>
            <w:r>
              <w:rPr>
                <w:rFonts w:ascii="Helvetica" w:hAnsi="Helvetica"/>
                <w:color w:val="000000"/>
                <w:sz w:val="20"/>
                <w:szCs w:val="2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c) Proposed Work Stream 1 measures, in combination, would be helpful to mitigate the scenario, but not to prevent it. W2 suggestions might provide risk mitigation measures.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17. ICANN attempts to add a new top-level domain in spite of security and stability concerns expressed by technical community or other stakeholder groups. </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In 2013-14 the community demonstrated that it could eventually prod ICANN management to attend to risks identified by SSAC.  For example: dotless domains (SAC 053); security certificates and name collisions such as .mail, .home (SAC 057)</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color w:val="000000"/>
                <w:sz w:val="20"/>
                <w:szCs w:val="20"/>
              </w:rPr>
            </w:pPr>
            <w:r>
              <w:rPr>
                <w:rFonts w:ascii="Helvetica" w:hAnsi="Helvetica"/>
                <w:color w:val="000000"/>
                <w:sz w:val="20"/>
                <w:szCs w:val="20"/>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rFonts w:ascii="Helvetica" w:hAnsi="Helvetica"/>
                <w:color w:val="000000"/>
                <w:sz w:val="20"/>
                <w:szCs w:val="20"/>
              </w:rPr>
              <w:br/>
            </w:r>
          </w:p>
          <w:p>
            <w:pPr>
              <w:numPr>
                <w:numId w:val="24"/>
              </w:numPr>
              <w:ind w:left="360" w:hanging="450"/>
              <w:rPr>
                <w:rStyle w:val="DefaultParagraphFont"/>
                <w:rFonts w:ascii="Helvetica" w:hAnsi="Helvetica"/>
                <w:color w:val="000000"/>
                <w:sz w:val="20"/>
                <w:szCs w:val="20"/>
              </w:rPr>
            </w:pPr>
            <w:r>
              <w:rPr>
                <w:rFonts w:ascii="Helvetica" w:hAnsi="Helvetica"/>
                <w:color w:val="000000"/>
                <w:sz w:val="20"/>
                <w:szCs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enhance community’s power to mitigate the risks of this scenario.</w:t>
            </w:r>
          </w:p>
        </w:tc>
      </w:tr>
    </w:tbl>
    <w:p>
      <w:pPr>
        <w:numPr>
          <w:ilvl w:val="0"/>
          <w:numId w:val="0"/>
        </w:numPr>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21. A government official demands ICANN rescind responsibility for management of a ccTLD from an incumbent ccTLD Manager.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However, the IANA Functions Manager is unable to document voluntary and specific consent for the revocation from the incumbent ccTLD Manager.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stress test examines the community’s ability to hold ICANN accountable to follow established policies.  It does not deal with the adequacy of policies in place.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There is presently no mechanism for the incumbent ccTLD Manager or the community to challenge ICANN’s certification that process was followed properly.</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See GAC Principles for delegation and administration of ccTLDs.   GAC Advice published in 2000 and updated in 2005 specifically referenced to Sections 1.2 &amp; 7.1</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See </w:t>
            </w:r>
            <w:r>
              <w:fldChar w:fldCharType="begin"/>
            </w:r>
            <w:r>
              <w:rPr>
                <w:rFonts w:ascii="Helvetica" w:hAnsi="Helvetica"/>
                <w:sz w:val="22"/>
              </w:rPr>
              <w:instrText xml:space="preserve"> HYPERLINK "http://ccnso.icann.org/workinggroups/foi-final-07oct14-en.pdf" </w:instrText>
            </w:r>
            <w:r>
              <w:fldChar w:fldCharType="separate"/>
            </w:r>
            <w:r>
              <w:rPr>
                <w:rStyle w:val="Hyperlink"/>
                <w:rFonts w:ascii="Helvetica" w:eastAsia="Calibri" w:hAnsi="Helvetica"/>
                <w:color w:val="0000FF" w:themeColor="hyperlink"/>
                <w:sz w:val="20"/>
                <w:szCs w:val="20"/>
                <w:u w:val="single"/>
              </w:rPr>
              <w:t>Framework of Interpretation</w:t>
            </w:r>
            <w:r>
              <w:fldChar w:fldCharType="end"/>
            </w:r>
            <w:r>
              <w:rPr>
                <w:rFonts w:ascii="Helvetica" w:hAnsi="Helvetica"/>
                <w:sz w:val="20"/>
                <w:szCs w:val="20"/>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From the CWG-Stewardship draft proposal: “CWG-Stewardship recommends not including any appeal mechanism that would apply to ccTLD delegations and redelegations in the IANA Stewardship Transition proposal.”</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eastAsia="Calibri" w:hAnsi="Helvetica"/>
                <w:sz w:val="20"/>
                <w:szCs w:val="20"/>
              </w:rPr>
            </w:pPr>
            <w:r>
              <w:rPr>
                <w:rFonts w:ascii="Helvetica" w:eastAsia="Calibri" w:hAnsi="Helvetica"/>
                <w:sz w:val="20"/>
                <w:szCs w:val="20"/>
              </w:rPr>
              <w:t>From CWG-Stewardship co-chair correspondence on 15-Apr-2015: “</w:t>
            </w:r>
            <w:r>
              <w:rPr>
                <w:rFonts w:ascii="Helvetica" w:hAnsi="Helvetica"/>
                <w:sz w:val="20"/>
                <w:szCs w:val="20"/>
              </w:rPr>
              <w:t>As such, any appeal mechanism developed by the CCWG-Accountability should not cover ccTLD delegation / re-delegation issues as these are expected to be developed by the ccTLD community through the appropriate processes.</w:t>
            </w:r>
            <w:r>
              <w:rPr>
                <w:rFonts w:ascii="Helvetica" w:eastAsia="Calibri" w:hAnsi="Helvetica"/>
                <w:sz w:val="20"/>
                <w:szCs w:val="20"/>
              </w:rPr>
              <w:t>”</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Regarding CCWG-Accountability proposed measures: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pPr>
              <w:numPr>
                <w:ilvl w:val="0"/>
                <w:numId w:val="0"/>
              </w:numPr>
              <w:ind w:left="360" w:firstLine="0"/>
              <w:rPr>
                <w:rStyle w:val="DefaultParagraphFont"/>
                <w:rFonts w:ascii="Helvetica" w:hAnsi="Helvetica"/>
                <w:sz w:val="20"/>
                <w:szCs w:val="20"/>
              </w:rPr>
            </w:pPr>
          </w:p>
          <w:p>
            <w:pPr>
              <w:numPr>
                <w:ilvl w:val="0"/>
                <w:numId w:val="0"/>
              </w:numPr>
              <w:ind w:left="360" w:firstLine="0"/>
              <w:rPr>
                <w:rStyle w:val="DefaultParagraphFont"/>
                <w:rFonts w:ascii="Helvetica" w:eastAsia="Times New Roman" w:hAnsi="Helvetica"/>
                <w:sz w:val="20"/>
                <w:szCs w:val="20"/>
              </w:rPr>
            </w:pPr>
            <w:r>
              <w:rPr>
                <w:rFonts w:ascii="Helvetica" w:hAnsi="Helvetica"/>
                <w:sz w:val="20"/>
                <w:szCs w:val="20"/>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 xml:space="preserve">c) </w:t>
            </w:r>
            <w:r>
              <w:rPr>
                <w:rFonts w:ascii="Helvetica" w:hAnsi="Helvetica"/>
                <w:sz w:val="20"/>
                <w:szCs w:val="20"/>
              </w:rPr>
              <w:t>Proposed measures do not adequately empower the community to address this scenario until the appropriate processes develop appropriate mechanisms.</w:t>
            </w:r>
          </w:p>
        </w:tc>
      </w:tr>
    </w:tbl>
    <w:p>
      <w:pPr>
        <w:numPr>
          <w:ilvl w:val="0"/>
          <w:numId w:val="0"/>
        </w:numPr>
        <w:ind w:left="360"/>
        <w:rPr>
          <w:rFonts w:eastAsia="Times New Roman"/>
          <w:szCs w:val="22"/>
        </w:rPr>
      </w:pPr>
      <w:r>
        <w:rPr>
          <w:rFonts w:eastAsia="Times New Roman"/>
          <w:szCs w:val="22"/>
        </w:rPr>
        <w:br/>
      </w:r>
    </w:p>
    <w:p>
      <w:pPr>
        <w:pStyle w:val="Heading2"/>
      </w:pPr>
      <w:bookmarkStart w:id="130" w:name="_Toc291848715"/>
      <w:bookmarkStart w:id="131" w:name="_Toc292025333"/>
      <w:bookmarkStart w:id="132" w:name="_Toc292010182"/>
      <w:r>
        <w:t>Stress test category III: Legal/Legislative Action</w:t>
      </w:r>
      <w:bookmarkEnd w:id="130"/>
      <w:bookmarkEnd w:id="131"/>
      <w:bookmarkEnd w:id="132"/>
      <w:r>
        <w:t xml:space="preserve"> </w:t>
      </w: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3. Litigation arising from existing public policy, e.g., Antitrust suit</w:t>
            </w:r>
            <w:r>
              <w:rPr>
                <w:rFonts w:ascii="Helvetica" w:hAnsi="Helvetica"/>
                <w:sz w:val="20"/>
                <w:szCs w:val="20"/>
              </w:rPr>
              <w:br/>
            </w:r>
          </w:p>
          <w:p>
            <w:pPr>
              <w:numPr>
                <w:numId w:val="24"/>
              </w:numPr>
              <w:ind w:left="360" w:hanging="360"/>
              <w:rPr>
                <w:rStyle w:val="DefaultParagraphFont"/>
                <w:rFonts w:ascii="Helvetica" w:hAnsi="Helvetica"/>
                <w:sz w:val="20"/>
                <w:szCs w:val="20"/>
              </w:rPr>
            </w:pPr>
            <w:r>
              <w:rPr>
                <w:rFonts w:ascii="Helvetica" w:hAnsi="Helvetica"/>
                <w:sz w:val="20"/>
                <w:szCs w:val="20"/>
              </w:rPr>
              <w:t>In response, ICANN Board would decide whether to litigate, concede, settle, etc.</w:t>
            </w:r>
            <w:r>
              <w:rPr>
                <w:rFonts w:ascii="Helvetica" w:hAnsi="Helvetica"/>
                <w:sz w:val="20"/>
                <w:szCs w:val="20"/>
              </w:rPr>
              <w:br/>
              <w:t xml:space="preserve"> </w:t>
            </w:r>
          </w:p>
          <w:p>
            <w:pPr>
              <w:numPr>
                <w:numId w:val="24"/>
              </w:numPr>
              <w:ind w:left="360" w:hanging="360"/>
              <w:rPr>
                <w:rStyle w:val="DefaultParagraphFont"/>
                <w:rFonts w:ascii="Helvetica" w:hAnsi="Helvetica"/>
                <w:sz w:val="20"/>
                <w:szCs w:val="20"/>
              </w:rPr>
            </w:pPr>
            <w:r>
              <w:rPr>
                <w:rFonts w:ascii="Helvetica" w:hAnsi="Helvetica"/>
                <w:sz w:val="20"/>
                <w:szCs w:val="20"/>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The community could develop new policies that respond to litigation challenges. </w:t>
            </w:r>
          </w:p>
          <w:p>
            <w:pPr>
              <w:pStyle w:val="NormalWeb"/>
              <w:numPr>
                <w:numId w:val="24"/>
              </w:numPr>
              <w:spacing w:before="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An ICANN Board decision (litigate or settle) could not be challenged by the community at-large, which lacks standing to use IRP. </w:t>
            </w:r>
          </w:p>
          <w:p>
            <w:pPr>
              <w:pStyle w:val="NormalWeb"/>
              <w:numPr>
                <w:numId w:val="24"/>
              </w:numPr>
              <w:spacing w:before="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Reconsideration looks at process but not substance of a decision.</w:t>
            </w: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After ICANN Board responded to the lawsuit (litigating, changing policies or enforcement, etc.)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The community could develop new policies that respond to litigation challenges.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Another measure would give the community standing to file for Reconsideration or IRP, based on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Proposed measures would help the community hold ICANN accountable, but might not be adequate to stop interference with ICANN policies. </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4. New regulations or legislation.</w:t>
            </w:r>
            <w:r>
              <w:rPr>
                <w:rFonts w:ascii="Helvetica" w:hAnsi="Helvetica"/>
                <w:sz w:val="20"/>
                <w:szCs w:val="20"/>
              </w:rPr>
              <w:br/>
            </w:r>
          </w:p>
          <w:p>
            <w:pPr>
              <w:numPr>
                <w:numId w:val="24"/>
              </w:numPr>
              <w:ind w:left="360" w:hanging="360"/>
              <w:rPr>
                <w:rStyle w:val="DefaultParagraphFont"/>
                <w:rFonts w:ascii="Helvetica" w:hAnsi="Helvetica"/>
                <w:sz w:val="20"/>
                <w:szCs w:val="20"/>
              </w:rPr>
            </w:pPr>
            <w:r>
              <w:rPr>
                <w:rFonts w:ascii="Helvetica" w:hAnsi="Helvetica"/>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numPr>
                <w:numId w:val="24"/>
              </w:numPr>
              <w:ind w:left="360" w:hanging="360"/>
              <w:rPr>
                <w:rStyle w:val="DefaultParagraphFont"/>
                <w:rFonts w:ascii="Helvetica" w:hAnsi="Helvetica"/>
                <w:sz w:val="20"/>
                <w:szCs w:val="20"/>
              </w:rPr>
            </w:pPr>
            <w:r>
              <w:rPr>
                <w:rFonts w:ascii="Helvetica" w:hAnsi="Helvetica"/>
                <w:sz w:val="20"/>
                <w:szCs w:val="20"/>
              </w:rPr>
              <w:t xml:space="preserve">In response, ICANN Board would decide whether to litigate, concede, settle, etc.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 xml:space="preserve">The community could develop new policies that respond to new regulations.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 xml:space="preserve">An ICANN Board decision on how to respond to the regulation (litigate or change policy/implementation)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ICANN must follow orders from courts of competent jurisdiction.</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After ICANN Board responded to the regulation (litigate or change policy/implementation),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The community could develop new policies that respond to regulation.</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measure would give the community standing to file for Reconsideration or IRP, based on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36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c) Proposed measures would be an improvement but might still be inadequate. </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19. ICANN attempts to re-delegate a gTLD because the registry operator is determined to be in breach of its contract, but the registry operator challenges the action and obtains an injunction from a national court.</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In response, ICANN Board would decide whether to litigate, concede, settle, etc.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The entity charged with root zone maintenance could face the question of whether to follow ICANN re-delegation request or to follow the court order.</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Under the present agreement with NTIA, the entity performing root zone maintenance is protected from lawsuits since it is publishing the root per contract with the US Government. [pending verification]  </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However, the IANA stewardship transition might result in root zone maintainer not operating under USG contract, so would not be protected from lawsuits.</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A separate consideration: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An ICANN Board decision (litigate or settle)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While it would not protect the root zone maintainer from lawsuits, one CCWG-Accountability proposed mechanism is community challenge of ICANN decision to re-delegate or its decision to acquiesce or litigate the court order.  This challenge would take the form of a Reconsideration or IRP.</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After ICANN Board responded to the lawsuit (litigating, changing policies or enforcement, etc.) the decision could be challenged via Reconsideration or IRP, based on standard of review in amended Mission, Commitments and Core Values.</w:t>
            </w:r>
          </w:p>
          <w:p>
            <w:pPr>
              <w:numPr>
                <w:ilvl w:val="0"/>
                <w:numId w:val="0"/>
              </w:numPr>
              <w:ind w:left="360" w:firstLine="0"/>
              <w:rPr>
                <w:rStyle w:val="DefaultParagraphFont"/>
                <w:rFonts w:ascii="Helvetica"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36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c) At this point, CWG-Stewardship’s recommendations are still in development.</w:t>
            </w:r>
          </w:p>
        </w:tc>
      </w:tr>
    </w:tbl>
    <w:p>
      <w:pPr>
        <w:numPr>
          <w:ilvl w:val="0"/>
          <w:numId w:val="0"/>
        </w:numPr>
        <w:ind w:left="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20. A court order is issued to block ICANN’s delegation of a new TLD, because of complaint by existing TLD operators or other aggrieved parties.</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For example, an existing gTLD operator might sue to block delegation of a plural version of the existing string.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In response, ICANN Board would decide whether to litigate, concede, settle, etc.</w:t>
            </w:r>
            <w:r>
              <w:rPr>
                <w:rFonts w:ascii="Helvetica" w:hAnsi="Helvetica"/>
                <w:sz w:val="20"/>
                <w:szCs w:val="20"/>
              </w:rPr>
              <w:br/>
              <w:t xml:space="preserve"> </w:t>
            </w:r>
          </w:p>
          <w:p>
            <w:pPr>
              <w:numPr>
                <w:numId w:val="24"/>
              </w:numPr>
              <w:ind w:left="360" w:hanging="450"/>
              <w:rPr>
                <w:rStyle w:val="DefaultParagraphFont"/>
                <w:rFonts w:ascii="Helvetica" w:hAnsi="Helvetica"/>
                <w:sz w:val="20"/>
                <w:szCs w:val="20"/>
              </w:rPr>
            </w:pPr>
            <w:r>
              <w:rPr>
                <w:rFonts w:ascii="Helvetica" w:hAnsi="Helvetica"/>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Before delegation, the community lacked standing to object to string similarity decisions.  Reconsideration requests looks at process but not at </w:t>
            </w:r>
            <w:r>
              <w:rPr>
                <w:rFonts w:ascii="Helvetica" w:eastAsia="Calibri" w:hAnsi="Helvetica"/>
                <w:i/>
                <w:sz w:val="20"/>
                <w:szCs w:val="20"/>
              </w:rPr>
              <w:t>substance</w:t>
            </w:r>
            <w:r>
              <w:rPr>
                <w:rFonts w:ascii="Helvetica" w:eastAsia="Calibri" w:hAnsi="Helvetica"/>
                <w:sz w:val="20"/>
                <w:szCs w:val="20"/>
              </w:rPr>
              <w:t xml:space="preserve"> of the decision.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An ICANN Board decision (litigate or settle)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Preventive: During policy development, the community would have standing to challenge ICANN Board decisions about policy and implementation.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 future new gTLD Guidebook could give the community standing to file objections.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Remedial:  After ICANN Board responded to the lawsuit (litigating, changing policies or enforcement, etc.)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Calibri" w:hAnsi="Helvetica"/>
                <w:sz w:val="20"/>
                <w:szCs w:val="20"/>
              </w:rPr>
            </w:pPr>
            <w:r>
              <w:rPr>
                <w:rFonts w:ascii="Helvetica" w:eastAsia="Calibri" w:hAnsi="Helvetica"/>
                <w:sz w:val="20"/>
                <w:szCs w:val="20"/>
              </w:rPr>
              <w:t xml:space="preserve">One measure would give the community standing to file for Reconsideration or IRP, according to standard of review in amended </w:t>
            </w:r>
            <w:r>
              <w:rPr>
                <w:rFonts w:ascii="Helvetica" w:hAnsi="Helvetica"/>
                <w:sz w:val="20"/>
                <w:szCs w:val="20"/>
              </w:rPr>
              <w:t>Mission, Commitments and Core Values</w:t>
            </w:r>
            <w:r>
              <w:rPr>
                <w:rFonts w:ascii="Helvetica" w:eastAsia="Calibri" w:hAnsi="Helvetica"/>
                <w:sz w:val="20"/>
                <w:szCs w:val="20"/>
              </w:rPr>
              <w:t xml:space="preserv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One proposed measure empowers the community to force ICANN’s Board to consider a recommendation arising from an AoC Review – namely, </w:t>
            </w:r>
            <w:r>
              <w:rPr>
                <w:rFonts w:ascii="Helvetica" w:hAnsi="Helvetica"/>
                <w:i/>
                <w:sz w:val="20"/>
                <w:szCs w:val="20"/>
              </w:rPr>
              <w:t>Consumer Trust, Choice, and Competition</w:t>
            </w:r>
            <w:r>
              <w:rPr>
                <w:rFonts w:ascii="Helvetica" w:hAnsi="Helvetica"/>
                <w:sz w:val="20"/>
                <w:szCs w:val="20"/>
              </w:rPr>
              <w:t>.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would be an improvement but might still be inadequate. </w:t>
            </w:r>
          </w:p>
        </w:tc>
      </w:tr>
    </w:tbl>
    <w:p>
      <w:pPr>
        <w:numPr>
          <w:ilvl w:val="0"/>
          <w:numId w:val="0"/>
        </w:numPr>
        <w:spacing w:after="240"/>
        <w:ind w:left="360"/>
        <w:rPr>
          <w:rFonts w:eastAsia="Times New Roman"/>
          <w:szCs w:val="22"/>
        </w:rPr>
      </w:pPr>
      <w:r>
        <w:rPr>
          <w:rFonts w:eastAsia="Times New Roman"/>
          <w:szCs w:val="22"/>
        </w:rPr>
        <w:br/>
      </w:r>
    </w:p>
    <w:p>
      <w:pPr>
        <w:pStyle w:val="Heading2"/>
      </w:pPr>
      <w:bookmarkStart w:id="133" w:name="_Toc291848716"/>
      <w:bookmarkStart w:id="134" w:name="_Toc292025334"/>
      <w:bookmarkStart w:id="135" w:name="_Toc292010183"/>
      <w:r>
        <w:t>Stress test category IV: Failure of Accountability</w:t>
      </w:r>
      <w:bookmarkEnd w:id="133"/>
      <w:bookmarkEnd w:id="134"/>
      <w:bookmarkEnd w:id="135"/>
      <w:r>
        <w:t xml:space="preserve"> </w:t>
      </w: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10. Chairman, CEO or officer acting in a manner inconsistent with the organization’s mission.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24. An incoming Chief Executive institutes a “strategic review” that arrives at a new, extended mission for ICANN. Having just hired the new CEO, the Board approves the new mission / strategy without community consensus.</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Consequence: Community ceases to see ICANN as the community’s mechanism for limited technical functions, and views ICANN as an independent, </w:t>
            </w:r>
            <w:r>
              <w:rPr>
                <w:rFonts w:ascii="Helvetica" w:hAnsi="Helvetica"/>
                <w:i/>
                <w:iCs/>
                <w:sz w:val="20"/>
                <w:szCs w:val="20"/>
              </w:rPr>
              <w:t>sui generis</w:t>
            </w:r>
            <w:r>
              <w:rPr>
                <w:rFonts w:ascii="Helvetica" w:hAnsi="Helvetica"/>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As long as NTIA controls the IANA functions contract, ICANN risks losing IANA functions if it were to expand scope too broadly. </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Community has some input in ICANN budgeting and Strat Plan, and could register objections to plans and spending on extending ICANN’s mission.</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One proposed measure empowers the community to veto ICANN’s proposed strategic plan or annual budget.  This measure could block a proposal by ICANN to increase its expenditure on extending its mission beyond what the community supported.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Another proposed measure is empowering the community to challenge a Board decision, referring it to an Independent Review Panel (IRP) with the power to issue a binding decision. The IRP decision would be based on a standard of review in the amended Mission Statement, including “ICANN shall not undertake any other mission not specifically authorized in these Bylaws”.</w:t>
            </w:r>
          </w:p>
          <w:p>
            <w:pPr>
              <w:numPr>
                <w:ilvl w:val="0"/>
                <w:numId w:val="0"/>
              </w:numPr>
              <w:ind w:left="360" w:firstLine="0"/>
              <w:rPr>
                <w:rStyle w:val="DefaultParagraphFont"/>
                <w:rFonts w:ascii="Helvetica" w:hAnsi="Helvetica"/>
                <w:sz w:val="20"/>
                <w:szCs w:val="20"/>
              </w:rPr>
            </w:pPr>
          </w:p>
          <w:p>
            <w:pPr>
              <w:numPr>
                <w:ilvl w:val="0"/>
                <w:numId w:val="0"/>
              </w:numPr>
              <w:ind w:left="360" w:firstLine="0"/>
              <w:rPr>
                <w:rStyle w:val="DefaultParagraphFont"/>
                <w:rFonts w:ascii="Helvetica"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in combination are adequate.</w:t>
            </w:r>
          </w:p>
        </w:tc>
      </w:tr>
    </w:tbl>
    <w:p>
      <w:pPr>
        <w:numPr>
          <w:ilvl w:val="0"/>
          <w:numId w:val="0"/>
        </w:numPr>
        <w:ind w:left="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12. Capture by one or several groups of stakeholders.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Regarding capture by governments, the GAC could change its Operating Principle 47 to use majority voting for formal GAC advice, but ICANN Bylaws would require due deference only to advice that had GAC consensus.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9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Each AC/SO/SG needs accountability and transparency rules to prevent capture from those outside that community.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To prevent capture by governments, another proposed measure would amend ICANN Bylaws (Article XI, Section 2, item 1j) to obligate trying to find a mutually agreeable solution only where GAC advice was supported by GAC consensus.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 Proposed measures would be adequate. </w:t>
            </w:r>
          </w:p>
        </w:tc>
      </w:tr>
    </w:tbl>
    <w:p>
      <w:pPr>
        <w:numPr>
          <w:ilvl w:val="0"/>
          <w:numId w:val="0"/>
        </w:numPr>
        <w:ind w:left="360"/>
        <w:rPr>
          <w:rFonts w:eastAsia="Times New Roman"/>
          <w:szCs w:val="22"/>
        </w:rPr>
      </w:pPr>
    </w:p>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13. One or several stakeholders excessively rely on accountability mechanism to “paralyze” ICANN.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Current redress mechanisms might enable one stakeholder to block implementation of policies.  But these mechanisms (IRP, Reconsideration, Ombudsman) are expensive and limited in scope of what can be reviewed.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Each AC/SO/SG needs accountability and transparency rules to prevent capture from those outside that community.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However, some CCWG-Accountability proposals may make redress mechanisms more accessible and affordable to individual stakeholders, increasing their ability to block implementation of policies and decisions. </w:t>
            </w:r>
          </w:p>
          <w:p>
            <w:pPr>
              <w:numPr>
                <w:ilvl w:val="0"/>
                <w:numId w:val="0"/>
              </w:numPr>
              <w:ind w:left="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cs="Calibri"/>
                <w:sz w:val="20"/>
                <w:szCs w:val="20"/>
              </w:rPr>
              <w:t>It should be noted that proposed measures for Reconsideration and IRP include the ability to dismiss frivolous or abusive claims and to limit the duration of proceedings.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cs="Calibri"/>
                <w:sz w:val="20"/>
                <w:szCs w:val="20"/>
              </w:rPr>
              <w:t>c) Improved access to Reconsideration and IRP could allow individuals to impede ICANN processes, although this risk is mitigated by dismissal of frivolous or abusive claims.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16. ICANN engages in programs not necessary to achieve its limited technical mission. For example, uses fee revenue or reserve funds to expand its scope beyond its technical mission, giving grants for external causes.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ICANN has the power to determine fees charged to TLD applicants, registries, registrars, and registrants, so it presents a large target for any Internet-related cause seeking funding sources.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Community was not aware of ICANN Board’s secret resolution to initiate negotiations to create NetMundial. There was no apparent way for community to challenge/reverse this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Community has input in ICANN budgeting and Strat Plan.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Registrars must approve ICANN’s variable registrar fees, though Registrars do not view this as an accountability measure.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proposal is to amend ICANN Bylaws to prevent the organization from expanding scope beyond ICANN’s amended Mission and Core Values.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ICANN’s Board proposed to amend/remove these Bylaws provisions, another proposed measure would empower the community to veto that proposed Bylaws change.</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in combination may be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18. Governments in ICANN’s Government Advisory Committee (GAC) amend their operating procedures to change from consensus decisions to majority voting for advice to ICANN’s Board.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Under current Bylaws, ICANN must consider and respond to GAC advice, even if that advice were not supported by consensus. A majority of governments could thereby approve GAC advice that restricted free online expression, for example.</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Current ICANN Bylaws (Section XI) give due deference to GAC advice, including a requirement to try and find “a mutually acceptable solution.”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is required for any GAC advice, not just for GAC consensus advice.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Today, GAC adopts formal advice according to its Operating Principle 47: “</w:t>
            </w:r>
            <w:r>
              <w:rPr>
                <w:rFonts w:ascii="Helvetica" w:hAnsi="Helvetica"/>
                <w:i/>
                <w:sz w:val="20"/>
                <w:szCs w:val="20"/>
              </w:rPr>
              <w:t>consensus is understood to mean the practice of adopting decisions by general agreement in the absence of any formal objection</w:t>
            </w:r>
            <w:r>
              <w:rPr>
                <w:rFonts w:ascii="Helvetica" w:hAnsi="Helvetica"/>
                <w:sz w:val="20"/>
                <w:szCs w:val="20"/>
              </w:rPr>
              <w:t>.”</w:t>
            </w:r>
            <w:r>
              <w:rPr>
                <w:sz w:val="20"/>
                <w:szCs w:val="20"/>
                <w:vertAlign w:val="superscript"/>
              </w:rPr>
              <w:footnoteReference w:id="8"/>
            </w:r>
            <w:r>
              <w:rPr>
                <w:rFonts w:ascii="Helvetica" w:hAnsi="Helvetica"/>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sz w:val="20"/>
                <w:szCs w:val="20"/>
              </w:rPr>
            </w:pPr>
            <w:r>
              <w:rPr>
                <w:rFonts w:ascii="Helvetica" w:hAnsi="Helvetica" w:eastAsiaTheme="minorEastAsia"/>
                <w:sz w:val="20"/>
                <w:szCs w:val="20"/>
              </w:rPr>
              <w:t>One proposed measure would amend ICANN Bylaws (Article XI, Section 2, item 1j) to require trying to find a mutually agreeable solution only where GAC advice was supported by GAC consensus.</w:t>
            </w:r>
          </w:p>
          <w:p>
            <w:pPr>
              <w:pStyle w:val="NormalWeb"/>
              <w:numPr>
                <w:ilvl w:val="0"/>
                <w:numId w:val="0"/>
              </w:numPr>
              <w:spacing w:before="100" w:beforeAutospacing="1" w:after="100" w:afterAutospacing="1"/>
              <w:ind w:left="360" w:firstLine="0"/>
              <w:rPr>
                <w:rStyle w:val="DefaultParagraphFont"/>
                <w:rFonts w:ascii="Helvetica" w:hAnsi="Helvetica" w:eastAsiaTheme="minorEastAsia"/>
                <w:sz w:val="20"/>
                <w:szCs w:val="20"/>
              </w:rPr>
            </w:pPr>
            <w:r>
              <w:rPr>
                <w:rFonts w:ascii="Helvetica" w:hAnsi="Helvetica" w:eastAsiaTheme="minorEastAsia"/>
                <w:sz w:val="20"/>
                <w:szCs w:val="20"/>
              </w:rPr>
              <w:t>The GAC could change its Operating Principle 47 to use majority voting for formal GAC advice, but ICANN Bylaws would require trying to find a mutually agreeable solution only on advice that had GAC consensus. </w:t>
            </w:r>
          </w:p>
          <w:p>
            <w:pPr>
              <w:numPr>
                <w:numId w:val="24"/>
              </w:numPr>
              <w:ind w:left="360" w:hanging="450"/>
              <w:rPr>
                <w:rStyle w:val="DefaultParagraphFont"/>
                <w:rFonts w:ascii="Helvetica" w:hAnsi="Helvetica"/>
                <w:sz w:val="20"/>
                <w:szCs w:val="20"/>
              </w:rPr>
            </w:pPr>
            <w:r>
              <w:rPr>
                <w:rFonts w:ascii="Helvetica" w:hAnsi="Helvetica"/>
                <w:sz w:val="20"/>
                <w:szCs w:val="20"/>
              </w:rPr>
              <w:t>GAC can still give ICANN advice at any time, with or without consensus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are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22. ICANN Board fails to comply with Bylaws and/or refuses to accept the decision of a redress mechanism constituted under the Bylaws.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Consequence: Community loses confidence in multistakeholder structures to govern ICANN.</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As long as NTIA controls the IANA contract, ICANN would risk losing IANA functions if it were to ignore Bylaws.  But as a result of IANA stewardship transition, ICANN would no longer need to follow Bylaws in to retain IANA contract with NTIA.</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Aggrieved parties can ask for Reconsideration of Board decisions, but this is currently limited to questions of whether process was followed.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Aggrieved parties can file for IRP, but decisions of the panel are not binding on ICANN.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ilvl w:val="0"/>
                <w:numId w:val="108"/>
              </w:numPr>
              <w:ind w:left="360" w:hanging="450"/>
              <w:rPr>
                <w:rStyle w:val="DefaultParagraphFont"/>
                <w:rFonts w:ascii="Helvetica" w:hAnsi="Helvetica"/>
                <w:kern w:val="20"/>
                <w:sz w:val="20"/>
                <w:szCs w:val="20"/>
                <w:u w:val="double" w:color="0000FF"/>
              </w:rPr>
            </w:pPr>
            <w:r>
              <w:rPr>
                <w:rFonts w:ascii="Helvetica" w:eastAsia="Calibri" w:hAnsi="Helvetica"/>
                <w:sz w:val="20"/>
                <w:szCs w:val="20"/>
              </w:rPr>
              <w:t>One proposed measure is to change the standard for Reconsideration Requests, so that substantive matters may also be challenged.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Another proposed measure empowers the community to force ICANN’s Board to consider a recommendation arising from an AoC Review – namely, the </w:t>
            </w:r>
            <w:r>
              <w:rPr>
                <w:rFonts w:ascii="Helvetica" w:hAnsi="Helvetica"/>
                <w:i/>
                <w:sz w:val="20"/>
                <w:szCs w:val="20"/>
              </w:rPr>
              <w:t>Accountability and Transparency Review Team</w:t>
            </w:r>
            <w:r>
              <w:rPr>
                <w:rFonts w:ascii="Helvetica" w:hAnsi="Helvetica"/>
                <w:sz w:val="20"/>
                <w:szCs w:val="20"/>
              </w:rPr>
              <w: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bookmarkStart w:id="136" w:name="h.gjdgxs" w:colFirst="0" w:colLast="0"/>
            <w:bookmarkEnd w:id="136"/>
            <w:r>
              <w:rPr>
                <w:rFonts w:ascii="Helvetica" w:eastAsia="Calibri" w:hAnsi="Helvetica"/>
                <w:sz w:val="20"/>
                <w:szCs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If the ICANN Board were to ignore binding IRP decisions, another proposed measure would empower the community to force resignation ICANN Board member(s).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in combination are adequate because the community has power to spill the Board.</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23. ICANN uses RAA or other agreements to impose requirements on third parties, outside scope of ICANN mission. (e.g. registrant obligations)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not being contracted to ICANN, have no effective recourse.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Contracted parties, not affected by the requirements, may choose not to use their ability to challenge ICANN’s decision.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issue occurs in policy development, implementation, and compliance enforcement.</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Times New Roman" w:hAnsi="Helvetica"/>
                <w:color w:val="1768B1"/>
                <w:sz w:val="20"/>
                <w:szCs w:val="20"/>
              </w:rPr>
            </w:pPr>
            <w:r>
              <w:rPr>
                <w:rFonts w:ascii="Helvetica" w:hAnsi="Helvetica"/>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During policy development, affected third parties may participate and file comments.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may file comments on proposed changes to registry and registrar contracts.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Affected third parties (e.g. registrants and users) have no standing to challenge ICANN on its approved policies.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(e.g. registrants and users) have no standing to challenge ICANN management and Board on how it has </w:t>
            </w:r>
            <w:r>
              <w:rPr>
                <w:rFonts w:ascii="Helvetica" w:hAnsi="Helvetica"/>
                <w:i/>
                <w:sz w:val="20"/>
                <w:szCs w:val="20"/>
              </w:rPr>
              <w:t>implemented</w:t>
            </w:r>
            <w:r>
              <w:rPr>
                <w:rFonts w:ascii="Helvetica" w:hAnsi="Helvetica"/>
                <w:sz w:val="20"/>
                <w:szCs w:val="20"/>
              </w:rPr>
              <w:t xml:space="preserve"> approved policies.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A proposed measure to empower an aggrieved party (e.g. registrants and users) to challenge a Board decision, referring it to an Independent Review Panel (IRP) with the power to issue a binding decision, based on standard for review in the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Bylaws.”</w:t>
            </w:r>
          </w:p>
          <w:p>
            <w:pPr>
              <w:numPr>
                <w:ilvl w:val="0"/>
                <w:numId w:val="0"/>
              </w:numPr>
              <w:ind w:left="360" w:firstLine="0"/>
              <w:rPr>
                <w:rStyle w:val="DefaultParagraphFont"/>
                <w:rFonts w:ascii="Helvetica" w:hAnsi="Helvetica" w:eastAsiaTheme="majorEastAsia" w:cstheme="majorBidi"/>
                <w:color w:val="404040" w:themeColor="text1" w:themeTint="BF"/>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color w:val="000000"/>
                <w:sz w:val="20"/>
                <w:szCs w:val="20"/>
              </w:rPr>
              <w:t xml:space="preserve">Proposed measures would be adequate. </w:t>
            </w:r>
          </w:p>
        </w:tc>
      </w:tr>
    </w:tbl>
    <w:p>
      <w:pPr>
        <w:numPr>
          <w:ilvl w:val="0"/>
          <w:numId w:val="0"/>
        </w:numPr>
        <w:ind w:left="360" w:hanging="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26. During implementation of a properly approved policy, ICANN staff substitutes their preferences and creates processes that effectively change or negate the policy developed.  Whether staff do so intentionally or unintentionally, the result is the same.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reconsideration review mechanism allows for appeal to the Board of staff actions that contradict established ICANN policies. However, 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An ICANN Board decision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If the staff action involved a Board decision, there are proposed improvements to challenge a Board decision by reconsideration or referral to an Independent Review Panel (IRP) with the power to issue a binding decision.    </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would, in combination, be adequate.</w:t>
            </w:r>
          </w:p>
        </w:tc>
      </w:tr>
    </w:tbl>
    <w:p>
      <w:pPr>
        <w:pStyle w:val="Heading2"/>
      </w:pPr>
      <w:bookmarkStart w:id="137" w:name="_Toc291848717"/>
      <w:bookmarkStart w:id="138" w:name="_Toc292025335"/>
      <w:r>
        <w:br/>
      </w:r>
      <w:bookmarkStart w:id="139" w:name="_Toc292010184"/>
      <w:r>
        <w:t>Stress test category V: Failure of Accountability to External Stakeholders</w:t>
      </w:r>
      <w:bookmarkEnd w:id="137"/>
      <w:bookmarkEnd w:id="138"/>
      <w:bookmarkEnd w:id="139"/>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14. ICANN or NTIA choose to terminate the Affirmation of Commitments.  (AoC)</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Consequence: ICANN would no longer be held to its Affirmation commitments, including the conduct of community reviews and required implementation of review team recommendations. </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The AoC can be terminated by either ICANN or NTIA with 120 days notice.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As long as NTIA controls the IANA contract, ICANN feels pressure to maintain the AoC.</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But as a result of IANA stewardship transition, ICANN would no longer have the IANA contract as external pressure from NTIA to maintain the AoC.</w:t>
            </w:r>
          </w:p>
          <w:p>
            <w:pPr>
              <w:numPr>
                <w:ilvl w:val="0"/>
                <w:numId w:val="0"/>
              </w:numPr>
              <w:ind w:left="360" w:firstLine="0"/>
              <w:rPr>
                <w:rStyle w:val="DefaultParagraphFont"/>
                <w:rFonts w:ascii="Helvetica" w:eastAsia="Times New Roman" w:hAnsi="Helvetica"/>
                <w:sz w:val="20"/>
                <w:szCs w:val="20"/>
              </w:rPr>
            </w:pPr>
            <w:r>
              <w:rPr>
                <w:rFonts w:ascii="Helvetica" w:eastAsia="Times New Roman" w:hAnsi="Helvetica"/>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One proposed mechanism is community standing to challenge a Board decision by referral to an Independent Review Panel (IRP) with the power to issue a binding decision.    If ICANN canceled the AoC, the IRP mechanism could enable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proposed measure is to import AoC provisions into the ICANN Bylaws, and dispense with the bilateral AoC with NTIA.  Bylaws would be amended to include AoC commitments 3, 4, 7, and 8, plus the 4 periodic reviews required in paragraph 9.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ICANN’s Board proposed to amend the AoC commitments and reviews that were added to the Bylaws, another proposed measure would empower the community to veto that proposed Bylaws change.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Note: none of the proposed measures could prevent NTIA from canceling the AoC.</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in combination are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15. ICANN terminates its legal presence in a nation where Internet users or domain registrants are seeking legal remedies for ICANN’s failure to enforce contracts, or other actions.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affected parties might be prevented from seeking legal redress for commissions or omissions by ICANN.</w:t>
            </w:r>
          </w:p>
          <w:p>
            <w:pPr>
              <w:numPr>
                <w:ilvl w:val="0"/>
                <w:numId w:val="0"/>
              </w:numPr>
              <w:ind w:left="360" w:firstLine="0"/>
              <w:rPr>
                <w:rStyle w:val="DefaultParagraphFont"/>
                <w:rFonts w:ascii="Helvetica" w:eastAsia="Times New Roman" w:hAnsi="Helvetica"/>
                <w:sz w:val="20"/>
                <w:szCs w:val="20"/>
              </w:rPr>
            </w:pPr>
            <w:r>
              <w:rPr>
                <w:rFonts w:ascii="Helvetica" w:eastAsia="Times New Roman" w:hAnsi="Helvetica"/>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As long as NTIA controls the IANA contract, ICANN could risk losing IANA functions if it were to move in order to avoid legal jurisdiction.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Paragraph 8 of the AoC requires ICANN to remain headquartered in the US, but the AoC can be terminated by ICANN at any time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As long as NTIA controls the IANA contract, ICANN feels pressure to maintain the AoC.</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ICANN’s present Bylaws include a commitment to maintain headquarters in California with offices around the world.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If ICANN’s Board proposed to amend this Bylaws provision, one proposed measure would empower the community to veto that proposed Bylaws change.</w:t>
            </w:r>
          </w:p>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improve upon existing measures, and may be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25. ICANN delegates or subcontracts its obligations under a future IANA agreement to a third party.  Would also include ICANN merging with or allowing itself to be acquired by another organization.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Responsibility for fulfilling the IANA functions could go to a third party that was subject to national laws that interfered with its ability to execute IANA functions. </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present IANA contract (</w:t>
            </w:r>
            <w:r>
              <w:fldChar w:fldCharType="begin"/>
            </w:r>
            <w:r>
              <w:rPr>
                <w:rFonts w:ascii="Helvetica" w:hAnsi="Helvetica"/>
                <w:sz w:val="22"/>
              </w:rPr>
              <w:instrText xml:space="preserve"> HYPERLINK "http://www.ntia.doc.gov/files/ntia/publications/sf_26_pg_1-2-final_award_and_sacs.pdf" </w:instrText>
            </w:r>
            <w:r>
              <w:fldChar w:fldCharType="separate"/>
            </w:r>
            <w:r>
              <w:rPr>
                <w:rFonts w:ascii="Helvetica" w:hAnsi="Helvetica"/>
                <w:color w:val="0000FF"/>
                <w:sz w:val="20"/>
                <w:szCs w:val="20"/>
                <w:u w:val="single"/>
              </w:rPr>
              <w:t>link</w:t>
            </w:r>
            <w:r>
              <w:fldChar w:fldCharType="end"/>
            </w:r>
            <w:r>
              <w:rPr>
                <w:rFonts w:ascii="Helvetica" w:hAnsi="Helvetica"/>
                <w:sz w:val="20"/>
                <w:szCs w:val="20"/>
              </w:rPr>
              <w:t xml:space="preserve">) at C.2.1 does not allow ICANN to sub-contract or outsource its responsibilities to a 3rd party without NTIA’s consent.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NTIA could exert its control over ICANN’s decision as long as it held the IANA contract.  But not after NTIA relinquishes the IANA contract.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CWG-Stewardship planning the IANA stewardship transition could require community consent before ICANN could sub-contract or outsource its IANA responsibilities to a 3rd party.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CCWG-Accountability is proposing to empower the community 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Times New Roman" w:hAnsi="Helvetica"/>
                <w:sz w:val="20"/>
                <w:szCs w:val="20"/>
              </w:rPr>
            </w:pPr>
            <w:r>
              <w:rPr>
                <w:rFonts w:ascii="Helvetica" w:hAnsi="Helvetica"/>
                <w:sz w:val="20"/>
                <w:szCs w:val="20"/>
              </w:rPr>
              <w:t>Note: This would not cover re-assignment of the Root Zone Maintainer role, which NTIA is addressing in a parallel process.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 are adequate to allow community to challenge ICANN decisions in this scenario.</w:t>
            </w:r>
          </w:p>
        </w:tc>
      </w:tr>
    </w:tbl>
    <w:p>
      <w:pPr>
        <w:pStyle w:val="Heading1"/>
        <w:ind w:right="0" w:hanging="540"/>
        <w:rPr>
          <w:rFonts w:ascii="Helvetica" w:hAnsi="Helvetica"/>
          <w:sz w:val="48"/>
          <w:szCs w:val="48"/>
        </w:rPr>
      </w:pPr>
      <w:r>
        <w:rPr>
          <w:rFonts w:ascii="Helvetica" w:hAnsi="Helvetica"/>
          <w:sz w:val="22"/>
          <w:szCs w:val="22"/>
        </w:rPr>
        <w:br/>
      </w:r>
      <w:bookmarkStart w:id="140" w:name="_Toc291848718"/>
      <w:bookmarkStart w:id="141" w:name="_Toc292025336"/>
      <w:bookmarkStart w:id="142" w:name="_Toc292010185"/>
      <w:r>
        <w:rPr>
          <w:rFonts w:ascii="Helvetica" w:hAnsi="Helvetica"/>
          <w:sz w:val="48"/>
          <w:szCs w:val="48"/>
        </w:rPr>
        <w:t>4) Items for Consideration in Work Stream 2</w:t>
      </w:r>
      <w:bookmarkEnd w:id="140"/>
      <w:bookmarkEnd w:id="141"/>
      <w:bookmarkEnd w:id="142"/>
      <w:r>
        <w:rPr>
          <w:rFonts w:ascii="Helvetica" w:hAnsi="Helvetica"/>
          <w:sz w:val="48"/>
          <w:szCs w:val="48"/>
        </w:rPr>
        <w:t xml:space="preserve"> </w:t>
      </w:r>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The CCWG-Accountability Charter states that:</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In the discussions around the accountability process, the CCWG-Accountability will proceed with two Work Streams:</w:t>
      </w:r>
    </w:p>
    <w:p>
      <w:pPr>
        <w:pStyle w:val="Bullets"/>
        <w:numPr>
          <w:ilvl w:val="1"/>
          <w:numId w:val="37"/>
        </w:numPr>
        <w:ind w:left="1440"/>
        <w:rPr>
          <w:b w:val="0"/>
          <w:color w:val="1768B1"/>
        </w:rPr>
      </w:pPr>
      <w:r>
        <w:rPr>
          <w:b w:val="0"/>
        </w:rPr>
        <w:t>Work Stream 1: focused on mechanisms enhancing ICANN accountability that must be in place or committed to within the time frame of the IANA Stewardship Transition;</w:t>
      </w:r>
    </w:p>
    <w:p>
      <w:pPr>
        <w:pStyle w:val="Bullets"/>
        <w:numPr>
          <w:ilvl w:val="1"/>
          <w:numId w:val="37"/>
        </w:numPr>
        <w:ind w:left="1440"/>
        <w:rPr>
          <w:b w:val="0"/>
          <w:color w:val="1768B1"/>
        </w:rPr>
      </w:pPr>
      <w:r>
        <w:rPr>
          <w:b w:val="0"/>
        </w:rPr>
        <w:t>Work Stream 2: focused on addressing accountability topics for which a timeline for developing solutions and full implementation may extend beyond the IANA Stewardship Transition.</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pPr>
        <w:numPr>
          <w:ilvl w:val="0"/>
          <w:numId w:val="0"/>
        </w:numPr>
        <w:ind w:left="360"/>
        <w:rPr>
          <w:rFonts w:eastAsia="Times New Roman"/>
          <w:szCs w:val="22"/>
        </w:rPr>
      </w:pPr>
    </w:p>
    <w:p>
      <w:pPr>
        <w:pStyle w:val="Heading2"/>
      </w:pPr>
      <w:bookmarkStart w:id="143" w:name="_Toc291848719"/>
      <w:bookmarkStart w:id="144" w:name="_Toc292025337"/>
      <w:bookmarkStart w:id="145" w:name="_Toc292010186"/>
      <w:r>
        <w:t>Commitment to Work Stream 2 proposal consideration</w:t>
      </w:r>
      <w:bookmarkEnd w:id="143"/>
      <w:bookmarkEnd w:id="144"/>
      <w:bookmarkEnd w:id="145"/>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However, concerns were raised within the CCWG-Accountability about the incentives for ICANN to implement Work Stream 2 proposals when they are finalized after the transition has taken place. The CCWG-Accountability’s recommendation to achieve sufficient commitment from ICANN is to rely on an interim Bylaw provision, noting that such provisions have been successfully used in the past.</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ICANN has, where appropriate, used transitional articles 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r>
        <w:fldChar w:fldCharType="begin"/>
      </w:r>
      <w:r>
        <w:instrText xml:space="preserve"> HYPERLINK "https://www.icann.org/resources/unthemed-pages/bylaws-2002-12-15-en" \l "XX" </w:instrText>
      </w:r>
      <w:r>
        <w:fldChar w:fldCharType="separate"/>
      </w:r>
      <w:r>
        <w:rPr>
          <w:rStyle w:val="Hyperlink"/>
          <w:rFonts w:ascii="Helvetica" w:hAnsi="Helvetica"/>
          <w:color w:val="1155CC"/>
          <w:sz w:val="22"/>
          <w:szCs w:val="22"/>
        </w:rPr>
        <w:t>https://www.icann.org/resources/unthemed-pages/Bylaws-2002-12-15-en#XX</w:t>
      </w:r>
      <w:r>
        <w:fldChar w:fldCharType="end"/>
      </w:r>
      <w:r>
        <w:rPr>
          <w:rFonts w:ascii="Helvetica" w:hAnsi="Helvetica"/>
          <w:color w:val="000000"/>
          <w:sz w:val="22"/>
          <w:szCs w:val="22"/>
        </w:rPr>
        <w: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There is also precedent for the use of transitional terms after the GNSO was restructured, and the Board seat selected by the At-Large Community was implemented.</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To ensure the Board's due consideration and implementation of the outcomes of Work Stream 2 accountability mechanisms, the proposal would not require the level of the complexity of the 2002 reform effort.</w:t>
      </w:r>
      <w:r>
        <w:rPr>
          <w:rFonts w:ascii="Helvetica" w:hAnsi="Helvetica"/>
          <w:b/>
          <w:bCs/>
          <w:color w:val="000000"/>
          <w:sz w:val="22"/>
          <w:szCs w:val="22"/>
        </w:rPr>
        <w:br/>
      </w:r>
    </w:p>
    <w:p>
      <w:pPr>
        <w:pStyle w:val="NormalWeb"/>
        <w:spacing w:before="120" w:beforeAutospacing="0" w:afterAutospacing="0"/>
        <w:ind w:hanging="540"/>
        <w:rPr>
          <w:rFonts w:ascii="Helvetica" w:eastAsia="MS Mincho" w:hAnsi="Helvetica"/>
          <w:sz w:val="22"/>
          <w:szCs w:val="22"/>
        </w:rPr>
      </w:pPr>
      <w:r>
        <w:rPr>
          <w:rFonts w:ascii="Helvetica" w:eastAsia="MS Mincho" w:hAnsi="Helvetica"/>
          <w:sz w:val="22"/>
          <w:szCs w:val="22"/>
        </w:rPr>
        <w:t xml:space="preserve">The CCWG-Accountability recommends that the Board adopt a transitional article in its Bylaws which would commit ICANN to implement the CCWG-Accountability recommendations, and task the group with creating further enhancements to ICANN's accountability including, but not limited to the following list of issues (see below). </w:t>
      </w:r>
      <w:r>
        <w:rPr>
          <w:rFonts w:ascii="Helvetica" w:eastAsia="MS Mincho" w:hAnsi="Helvetica"/>
          <w:sz w:val="22"/>
          <w:szCs w:val="22"/>
          <w:highlight w:val="yellow"/>
        </w:rPr>
        <w:t>This transitional article must be incorporated in the Bylaws as part of Work Stream 1 - prior to the IANA stewardship transition.</w:t>
      </w:r>
    </w:p>
    <w:p>
      <w:pPr>
        <w:numPr>
          <w:ilvl w:val="0"/>
          <w:numId w:val="0"/>
        </w:numPr>
        <w:ind w:left="360"/>
        <w:rPr>
          <w:rFonts w:eastAsia="Times New Roman"/>
          <w:szCs w:val="22"/>
        </w:rPr>
      </w:pPr>
    </w:p>
    <w:p>
      <w:pPr>
        <w:pStyle w:val="Heading2"/>
      </w:pPr>
      <w:bookmarkStart w:id="146" w:name="_Toc291848720"/>
      <w:bookmarkStart w:id="147" w:name="_Toc292025338"/>
      <w:bookmarkStart w:id="148" w:name="_Toc292010187"/>
      <w:r>
        <w:t>Items for consideration within Work Stream 2</w:t>
      </w:r>
      <w:bookmarkEnd w:id="146"/>
      <w:bookmarkEnd w:id="147"/>
      <w:bookmarkEnd w:id="148"/>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During the course of its deliberations, the CCWG-Accountability encountered several items that it considered should be resolved as part of Work Stream 2. The list of items considered for Work Stream 2 at the date of this report is the following:</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ICANN's accountability based on the law(s) applicable to its actions;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Alternative options for ICANN's jurisdiction (understood as 'place of legal establishment') based on possible accountability limitations related to the current jurisdiction of ICANN;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the Ombudsman's role and function;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Limiting ICANN's ability to deny transparency / disclosure requests;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Improvements to ICANN's budgeting and planning process that guarantee the ability for the community to have input, and for that input to be given due consideration;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Define security audits and certification requirements for ICANN’s IT systems;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 diversity in all its aspects at all levels of the organization; and</w:t>
      </w:r>
    </w:p>
    <w:p>
      <w:pPr>
        <w:pStyle w:val="NormalWeb"/>
        <w:numPr>
          <w:ilvl w:val="0"/>
          <w:numId w:val="81"/>
        </w:numPr>
        <w:spacing w:before="120" w:beforeAutospacing="0" w:after="120" w:afterAutospacing="0"/>
        <w:ind w:left="1440" w:hanging="540"/>
        <w:textAlignment w:val="baseline"/>
        <w:rPr>
          <w:rFonts w:ascii="Helvetica" w:hAnsi="Helvetica"/>
          <w:sz w:val="22"/>
          <w:szCs w:val="22"/>
        </w:rPr>
      </w:pPr>
      <w:r>
        <w:rPr>
          <w:rFonts w:ascii="Helvetica" w:hAnsi="Helvetica"/>
          <w:sz w:val="22"/>
          <w:szCs w:val="22"/>
        </w:rPr>
        <w:t>Enhancements to ICANN's whistleblower policy.</w:t>
      </w:r>
    </w:p>
    <w:p>
      <w:pPr>
        <w:numPr>
          <w:ilvl w:val="0"/>
          <w:numId w:val="0"/>
        </w:numPr>
        <w:ind w:left="360"/>
        <w:rPr>
          <w:rFonts w:eastAsia="Times New Roman"/>
          <w:szCs w:val="22"/>
        </w:rPr>
      </w:pPr>
    </w:p>
    <w:p>
      <w:pPr>
        <w:ind w:hanging="540"/>
      </w:pPr>
      <w:r>
        <w:t>Proposed additional paragraph: The CCWG-Accountability will take into account the community’s feedback arising from this report and the ongoing analysis of ICANN’s accountability as it continues to develop Work Stream 2. It is important to note that as a result, the above list of topics for Work Stream 2 is not fixed and additional issues may be dealt with in Work Stream 2.</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b/>
          <w:color w:val="000000"/>
          <w:sz w:val="22"/>
          <w:szCs w:val="22"/>
        </w:rPr>
        <w:t>QUESTIONS AND OPEN ISSUES:</w:t>
      </w:r>
      <w:r>
        <w:rPr>
          <w:rFonts w:ascii="Helvetica" w:hAnsi="Helvetica"/>
          <w:color w:val="000000"/>
          <w:sz w:val="22"/>
          <w:szCs w:val="22"/>
        </w:rPr>
        <w:t xml:space="preserve"> </w:t>
      </w:r>
      <w:r>
        <w:rPr>
          <w:rFonts w:ascii="Helvetica" w:hAnsi="Helvetica"/>
          <w:color w:val="000000"/>
          <w:sz w:val="22"/>
          <w:szCs w:val="22"/>
        </w:rPr>
        <w:br/>
      </w:r>
    </w:p>
    <w:p>
      <w:pPr>
        <w:ind w:hanging="540"/>
      </w:pPr>
      <w:r>
        <w:t xml:space="preserve">19) The CCWG-Accountability seeks input from the community regarding its proposed work plan for the CCWG-Accountability Accountability Work Stream 2. If need be, please clarify what amendments would be needed. </w:t>
      </w:r>
      <w:r>
        <w:rPr>
          <w:b/>
          <w:bCs/>
        </w:rPr>
        <w:t> </w:t>
      </w:r>
    </w:p>
    <w:p>
      <w:pPr>
        <w:numPr>
          <w:ilvl w:val="0"/>
          <w:numId w:val="0"/>
        </w:numPr>
        <w:spacing w:after="240"/>
        <w:ind w:left="360"/>
        <w:rPr>
          <w:rFonts w:eastAsia="Times New Roman"/>
          <w:szCs w:val="22"/>
        </w:rPr>
      </w:pPr>
    </w:p>
    <w:p>
      <w:pPr>
        <w:pStyle w:val="Heading1"/>
        <w:tabs>
          <w:tab w:val="left" w:pos="180"/>
          <w:tab w:val="left" w:pos="9090"/>
        </w:tabs>
        <w:ind w:left="540" w:right="0" w:hanging="540"/>
        <w:rPr>
          <w:rFonts w:ascii="Helvetica" w:eastAsia="Times New Roman" w:hAnsi="Helvetica"/>
          <w:sz w:val="48"/>
          <w:szCs w:val="48"/>
        </w:rPr>
      </w:pPr>
      <w:bookmarkStart w:id="149" w:name="_Toc291848721"/>
      <w:bookmarkStart w:id="150" w:name="_Toc292025339"/>
      <w:bookmarkStart w:id="151" w:name="_Toc292010188"/>
      <w:r>
        <w:rPr>
          <w:rFonts w:ascii="Helvetica" w:hAnsi="Helvetica"/>
          <w:sz w:val="48"/>
          <w:szCs w:val="48"/>
        </w:rPr>
        <w:t>5) Implementation Plan Including Timing</w:t>
      </w:r>
      <w:bookmarkEnd w:id="149"/>
      <w:bookmarkEnd w:id="150"/>
      <w:bookmarkEnd w:id="151"/>
    </w:p>
    <w:p>
      <w:pPr>
        <w:pStyle w:val="Heading2"/>
      </w:pPr>
      <w:bookmarkStart w:id="152" w:name="_Toc291848722"/>
      <w:bookmarkStart w:id="153" w:name="_Toc292025340"/>
      <w:bookmarkStart w:id="154" w:name="_Toc292010189"/>
      <w:r>
        <w:t>5.1 Timeline</w:t>
      </w:r>
      <w:bookmarkEnd w:id="152"/>
      <w:bookmarkEnd w:id="153"/>
      <w:bookmarkEnd w:id="154"/>
    </w:p>
    <w:p>
      <w:pPr>
        <w:tabs>
          <w:tab w:val="left" w:pos="8550"/>
        </w:tabs>
        <w:ind w:hanging="540"/>
        <w:rPr>
          <w:szCs w:val="22"/>
        </w:rPr>
      </w:pPr>
      <w:bookmarkStart w:id="155" w:name="_Toc291848723"/>
      <w:r>
        <w:rPr>
          <w:szCs w:val="22"/>
        </w:rPr>
        <w:t xml:space="preserve">The timeline below is a combination of the CWG-Stewardship and the CCWG-Accountability.  The reason for combining both is that the completion of the CCWG-Accountability’s Work Stream 1 effort is an essential component for the IANA Stewardship Transition to occur. Note that this timeline only focuses on Work Stream 1 and its corresponding implementation. Work Stream 2 remains in basic form until there is more clarity on what accountability mechanisms will make up its scope.  </w:t>
      </w:r>
      <w:r>
        <w:rPr>
          <w:szCs w:val="22"/>
          <w:highlight w:val="yellow"/>
        </w:rPr>
        <w:t>[</w:t>
      </w:r>
      <w:r>
        <w:rPr>
          <w:b/>
          <w:i/>
          <w:szCs w:val="22"/>
          <w:highlight w:val="yellow"/>
        </w:rPr>
        <w:t>Adler note</w:t>
      </w:r>
      <w:r>
        <w:rPr>
          <w:szCs w:val="22"/>
          <w:highlight w:val="yellow"/>
        </w:rPr>
        <w:t>: should the timeline include the face-to-face meeting in Buenos Aires?]</w:t>
      </w:r>
    </w:p>
    <w:p>
      <w:pPr>
        <w:numPr>
          <w:ilvl w:val="0"/>
          <w:numId w:val="0"/>
        </w:numPr>
        <w:ind w:left="360"/>
        <w:rPr>
          <w:szCs w:val="22"/>
        </w:rPr>
      </w:pPr>
    </w:p>
    <w:p>
      <w:pPr>
        <w:numPr>
          <w:ilvl w:val="0"/>
          <w:numId w:val="0"/>
        </w:numPr>
        <w:ind w:left="360"/>
        <w:rPr>
          <w:szCs w:val="22"/>
        </w:rPr>
      </w:pPr>
      <w:r>
        <w:rPr>
          <w:noProof/>
        </w:rPr>
        <w:drawing>
          <wp:inline distT="0" distB="0" distL="0" distR="0">
            <wp:extent cx="6258560" cy="2062480"/>
            <wp:effectExtent l="0" t="0" r="0" b="0"/>
            <wp:docPr id="2" name="Picture 2" descr="HIJE-3446:private:var:folders:n_:f3d6wnn11ss061_2xmv964jc0000gp:T:TemporaryItems:CCWG_timeline_2015043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private:var:folders:n_:f3d6wnn11ss061_2xmv964jc0000gp:T:TemporaryItems:CCWG_timeline_20150430.pdf"/>
                    <pic:cNvPicPr>
                      <a:picLocks noChangeAspect="1" noChangeArrowheads="1"/>
                    </pic:cNvPicPr>
                  </pic:nvPicPr>
                  <pic:blipFill>
                    <a:blip xmlns:r="http://schemas.openxmlformats.org/officeDocument/2006/relationships"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58560" cy="2062480"/>
                    </a:xfrm>
                    <a:prstGeom prst="rect">
                      <a:avLst/>
                    </a:prstGeom>
                    <a:noFill/>
                    <a:ln>
                      <a:noFill/>
                    </a:ln>
                  </pic:spPr>
                </pic:pic>
              </a:graphicData>
            </a:graphic>
          </wp:inline>
        </w:drawing>
      </w:r>
    </w:p>
    <w:p>
      <w:pPr>
        <w:numPr>
          <w:ilvl w:val="0"/>
          <w:numId w:val="0"/>
        </w:numPr>
        <w:ind w:left="360"/>
        <w:rPr>
          <w:szCs w:val="22"/>
        </w:rPr>
      </w:pPr>
    </w:p>
    <w:p>
      <w:pPr>
        <w:ind w:hanging="540"/>
        <w:rPr>
          <w:szCs w:val="22"/>
        </w:rPr>
      </w:pPr>
      <w:r>
        <w:rPr>
          <w:szCs w:val="22"/>
        </w:rPr>
        <w:t xml:space="preserve">A full view version of this timeline exists on the </w:t>
      </w:r>
      <w:r>
        <w:fldChar w:fldCharType="begin"/>
      </w:r>
      <w:r>
        <w:instrText xml:space="preserve"> HYPERLINK "https://community.icann.org/download/attachments/50823981/R-CCWG_timeline_v0.9.7.4.pdf?version=1&amp;modificationDate=1430316024995&amp;api=v2" </w:instrText>
      </w:r>
      <w:r>
        <w:fldChar w:fldCharType="separate"/>
      </w:r>
      <w:r>
        <w:rPr>
          <w:rStyle w:val="Hyperlink"/>
          <w:szCs w:val="22"/>
        </w:rPr>
        <w:t>CCWG-Accountability wiki</w:t>
      </w:r>
      <w:r>
        <w:fldChar w:fldCharType="end"/>
      </w:r>
      <w:r>
        <w:rPr>
          <w:szCs w:val="22"/>
        </w:rPr>
        <w:t>.</w:t>
      </w:r>
    </w:p>
    <w:p>
      <w:pPr>
        <w:numPr>
          <w:ilvl w:val="0"/>
          <w:numId w:val="0"/>
        </w:numPr>
        <w:tabs>
          <w:tab w:val="left" w:pos="8640"/>
        </w:tabs>
        <w:ind w:left="360"/>
        <w:rPr>
          <w:szCs w:val="22"/>
        </w:rPr>
      </w:pPr>
      <w:r>
        <w:rPr>
          <w:szCs w:val="22"/>
        </w:rPr>
        <w:br/>
      </w:r>
    </w:p>
    <w:p>
      <w:pPr>
        <w:pStyle w:val="Heading2"/>
      </w:pPr>
      <w:bookmarkStart w:id="156" w:name="_Toc292025341"/>
      <w:bookmarkStart w:id="157" w:name="_Toc292010190"/>
      <w:r>
        <w:t>5.2 Next Steps</w:t>
      </w:r>
      <w:bookmarkEnd w:id="155"/>
      <w:bookmarkEnd w:id="156"/>
      <w:bookmarkEnd w:id="157"/>
    </w:p>
    <w:p>
      <w:pPr>
        <w:ind w:hanging="540"/>
        <w:rPr>
          <w:szCs w:val="22"/>
        </w:rPr>
      </w:pPr>
      <w:r>
        <w:rPr>
          <w:szCs w:val="22"/>
        </w:rPr>
        <w:t>The first Public Comment Report sets out the CCWG-Accountability’s initial thinking. After the Public Comment period closes, the CCWG-Accountability will reconvene and continue its work, aiming to finalize Work Steam 1 proposal(s) for submission to Chartering Organizations and eventually to the ICANN Board.  Key milestones include:</w:t>
      </w:r>
    </w:p>
    <w:p>
      <w:pPr>
        <w:pStyle w:val="Bullets"/>
        <w:rPr>
          <w:b w:val="0"/>
        </w:rPr>
      </w:pPr>
      <w:bookmarkStart w:id="158" w:name="_Toc291862704"/>
      <w:bookmarkStart w:id="159" w:name="_Toc291862850"/>
      <w:r>
        <w:rPr>
          <w:b w:val="0"/>
        </w:rPr>
        <w:t>CCWG-Accountability reviews Public Comment #1 and adjusts proposal as agreed</w:t>
      </w:r>
      <w:bookmarkEnd w:id="158"/>
      <w:bookmarkEnd w:id="159"/>
    </w:p>
    <w:p>
      <w:pPr>
        <w:pStyle w:val="Bullets"/>
        <w:rPr>
          <w:b w:val="0"/>
        </w:rPr>
      </w:pPr>
      <w:bookmarkStart w:id="160" w:name="_Toc291862705"/>
      <w:bookmarkStart w:id="161" w:name="_Toc291862851"/>
      <w:r>
        <w:rPr>
          <w:b w:val="0"/>
        </w:rPr>
        <w:t>CCWG-Accountability prepares materials in preparation for ICANN 53 and hosts several sessions to further inform the community of its progress</w:t>
      </w:r>
      <w:bookmarkEnd w:id="160"/>
      <w:bookmarkEnd w:id="161"/>
      <w:r>
        <w:rPr>
          <w:b w:val="0"/>
        </w:rPr>
        <w:t xml:space="preserve"> and understand the community’s views on its proposal(s). The CCWG-Accountability will hold a full day of face-to-face meeting on 19 June.</w:t>
      </w:r>
    </w:p>
    <w:p>
      <w:pPr>
        <w:pStyle w:val="Bullets"/>
        <w:rPr>
          <w:b w:val="0"/>
        </w:rPr>
      </w:pPr>
      <w:bookmarkStart w:id="162" w:name="_Toc291862706"/>
      <w:bookmarkStart w:id="163" w:name="_Toc291862852"/>
      <w:r>
        <w:rPr>
          <w:b w:val="0"/>
        </w:rPr>
        <w:t>CCWG-Accountability prepared its second draft proposal and readies it for a second public consultation. This second consultation will focus on outstanding issues, provide further details regarding the Work Stream 1 proposal(s), and will highlight any changes to proposal(s) arising from the feedback received in the first Public Comment consultation.</w:t>
      </w:r>
    </w:p>
    <w:p>
      <w:pPr>
        <w:pStyle w:val="Bullets"/>
        <w:rPr>
          <w:b w:val="0"/>
        </w:rPr>
      </w:pPr>
      <w:bookmarkStart w:id="164" w:name="_Toc291862707"/>
      <w:bookmarkStart w:id="165" w:name="_Toc291862853"/>
      <w:bookmarkEnd w:id="162"/>
      <w:bookmarkEnd w:id="163"/>
      <w:r>
        <w:rPr>
          <w:b w:val="0"/>
        </w:rPr>
        <w:t>CCWG-Accountability reviews Public Comment #2 and refines its proposal to prepare the final version</w:t>
      </w:r>
      <w:bookmarkEnd w:id="164"/>
      <w:bookmarkEnd w:id="165"/>
    </w:p>
    <w:p>
      <w:pPr>
        <w:pStyle w:val="Bullets"/>
        <w:rPr>
          <w:b w:val="0"/>
        </w:rPr>
      </w:pPr>
      <w:bookmarkStart w:id="166" w:name="_Toc291862708"/>
      <w:bookmarkStart w:id="167" w:name="_Toc291862854"/>
      <w:r>
        <w:rPr>
          <w:b w:val="0"/>
        </w:rPr>
        <w:t>CCWG-Accountability delivers the final proposal to SOs/ACs for approval</w:t>
      </w:r>
      <w:bookmarkEnd w:id="166"/>
      <w:bookmarkEnd w:id="167"/>
    </w:p>
    <w:p>
      <w:pPr>
        <w:pStyle w:val="Bullets"/>
        <w:rPr>
          <w:b w:val="0"/>
        </w:rPr>
      </w:pPr>
      <w:bookmarkStart w:id="168" w:name="_Toc291862709"/>
      <w:bookmarkStart w:id="169" w:name="_Toc291862855"/>
      <w:r>
        <w:rPr>
          <w:b w:val="0"/>
        </w:rPr>
        <w:t xml:space="preserve">CCWG-Accountability delivers the final proposal to the ICANN </w:t>
      </w:r>
      <w:bookmarkEnd w:id="168"/>
      <w:bookmarkEnd w:id="169"/>
      <w:r>
        <w:rPr>
          <w:b w:val="0"/>
        </w:rPr>
        <w:t>Board</w:t>
      </w:r>
    </w:p>
    <w:p>
      <w:pPr>
        <w:pStyle w:val="Bullets"/>
        <w:rPr>
          <w:b w:val="0"/>
        </w:rPr>
      </w:pPr>
      <w:bookmarkStart w:id="170" w:name="_Toc291862710"/>
      <w:bookmarkStart w:id="171" w:name="_Toc291862856"/>
      <w:r>
        <w:rPr>
          <w:b w:val="0"/>
        </w:rPr>
        <w:t xml:space="preserve">Upon proper notification, the CCWG-Accountability begins Implementation Oversight of Work Stream 1 and on or around this time begins its work </w:t>
      </w:r>
      <w:bookmarkEnd w:id="170"/>
      <w:bookmarkEnd w:id="171"/>
      <w:r>
        <w:rPr>
          <w:b w:val="0"/>
        </w:rPr>
        <w:t>on Work Stream 2</w:t>
      </w:r>
    </w:p>
    <w:p>
      <w:pPr>
        <w:numPr>
          <w:ilvl w:val="0"/>
          <w:numId w:val="0"/>
        </w:numPr>
        <w:ind w:left="360"/>
        <w:rPr>
          <w:szCs w:val="22"/>
        </w:rPr>
      </w:pPr>
    </w:p>
    <w:p>
      <w:pPr>
        <w:pStyle w:val="Heading2"/>
      </w:pPr>
      <w:bookmarkStart w:id="172" w:name="_Toc291848724"/>
      <w:bookmarkStart w:id="173" w:name="_Toc291862711"/>
      <w:bookmarkStart w:id="174" w:name="_Toc291862857"/>
      <w:bookmarkStart w:id="175" w:name="_Toc292025342"/>
      <w:bookmarkStart w:id="176" w:name="_Toc292010191"/>
      <w:r>
        <w:t>5.3 Implementation</w:t>
      </w:r>
      <w:bookmarkEnd w:id="172"/>
      <w:bookmarkEnd w:id="173"/>
      <w:bookmarkEnd w:id="174"/>
      <w:bookmarkEnd w:id="175"/>
      <w:bookmarkEnd w:id="176"/>
    </w:p>
    <w:p>
      <w:pPr>
        <w:ind w:hanging="540"/>
        <w:rPr>
          <w:b/>
        </w:rPr>
      </w:pPr>
      <w:bookmarkStart w:id="177" w:name="_Toc291862713"/>
      <w:bookmarkStart w:id="178" w:name="_Toc291862859"/>
      <w:r>
        <w:t>The CCWG-Accountability views the oversight of Work Stream 1 implementation as crucial to its mandate.  Work Stream 1 accountability changes have to be implemented or committed to before any transition of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CCWG-Accountability roughly estimates nine months for implementation understanding that several tracks of effort and change will be required, some of which will require multiple public comment periods.  The CCWG-Accountability has tentatively outlined the following six tracks for implementation of Work Stream 1:</w:t>
      </w:r>
    </w:p>
    <w:p>
      <w:pPr>
        <w:pStyle w:val="Bullets"/>
        <w:rPr>
          <w:b w:val="0"/>
        </w:rPr>
      </w:pPr>
      <w:r>
        <w:rPr>
          <w:b w:val="0"/>
        </w:rPr>
        <w:t>Revised Mission, Commitments and Core Values</w:t>
      </w:r>
      <w:bookmarkEnd w:id="177"/>
      <w:bookmarkEnd w:id="178"/>
    </w:p>
    <w:p>
      <w:pPr>
        <w:pStyle w:val="Bullets"/>
        <w:rPr>
          <w:b w:val="0"/>
        </w:rPr>
      </w:pPr>
      <w:bookmarkStart w:id="179" w:name="_Toc291862714"/>
      <w:bookmarkStart w:id="180" w:name="_Toc291862860"/>
      <w:r>
        <w:rPr>
          <w:b w:val="0"/>
        </w:rPr>
        <w:t xml:space="preserve">Fundamental Bylaws </w:t>
      </w:r>
      <w:bookmarkEnd w:id="179"/>
      <w:bookmarkEnd w:id="180"/>
      <w:r>
        <w:rPr>
          <w:b w:val="0"/>
        </w:rPr>
        <w:t>establishment</w:t>
      </w:r>
    </w:p>
    <w:p>
      <w:pPr>
        <w:pStyle w:val="Bullets"/>
        <w:rPr>
          <w:b w:val="0"/>
        </w:rPr>
      </w:pPr>
      <w:bookmarkStart w:id="181" w:name="_Toc291862715"/>
      <w:bookmarkStart w:id="182" w:name="_Toc291862861"/>
      <w:r>
        <w:rPr>
          <w:b w:val="0"/>
        </w:rPr>
        <w:t>Independent Review Panel enhancements</w:t>
      </w:r>
      <w:bookmarkEnd w:id="181"/>
      <w:bookmarkEnd w:id="182"/>
    </w:p>
    <w:p>
      <w:pPr>
        <w:pStyle w:val="Bullets"/>
        <w:rPr>
          <w:b w:val="0"/>
        </w:rPr>
      </w:pPr>
      <w:bookmarkStart w:id="183" w:name="_Toc291862716"/>
      <w:bookmarkStart w:id="184" w:name="_Toc291862862"/>
      <w:r>
        <w:rPr>
          <w:b w:val="0"/>
        </w:rPr>
        <w:t>Community empowerment</w:t>
      </w:r>
      <w:bookmarkEnd w:id="183"/>
      <w:bookmarkEnd w:id="184"/>
      <w:r>
        <w:rPr>
          <w:b w:val="0"/>
        </w:rPr>
        <w:t xml:space="preserve"> mechanism establishment and incorporation of powers into Bylaws</w:t>
      </w:r>
    </w:p>
    <w:p>
      <w:pPr>
        <w:pStyle w:val="Bullets"/>
        <w:rPr>
          <w:b w:val="0"/>
        </w:rPr>
      </w:pPr>
      <w:bookmarkStart w:id="185" w:name="_Toc291862717"/>
      <w:bookmarkStart w:id="186" w:name="_Toc291862863"/>
      <w:r>
        <w:rPr>
          <w:b w:val="0"/>
        </w:rPr>
        <w:t xml:space="preserve">AoC reviews transcription into the </w:t>
      </w:r>
      <w:bookmarkEnd w:id="185"/>
      <w:bookmarkEnd w:id="186"/>
      <w:r>
        <w:rPr>
          <w:b w:val="0"/>
        </w:rPr>
        <w:t>Bylaws</w:t>
      </w:r>
    </w:p>
    <w:p>
      <w:pPr>
        <w:pStyle w:val="Bullets"/>
        <w:rPr>
          <w:b w:val="0"/>
        </w:rPr>
      </w:pPr>
      <w:bookmarkStart w:id="187" w:name="_Toc291862718"/>
      <w:bookmarkStart w:id="188" w:name="_Toc291862864"/>
      <w:r>
        <w:rPr>
          <w:b w:val="0"/>
        </w:rPr>
        <w:t>Reconsideration process enhancements</w:t>
      </w:r>
      <w:bookmarkEnd w:id="187"/>
      <w:bookmarkEnd w:id="188"/>
    </w:p>
    <w:p>
      <w:pPr>
        <w:numPr>
          <w:ilvl w:val="0"/>
          <w:numId w:val="0"/>
        </w:numPr>
        <w:ind w:left="360"/>
      </w:pPr>
    </w:p>
    <w:p>
      <w:pPr>
        <w:ind w:hanging="540"/>
      </w:pPr>
      <w:r>
        <w:t>As the CCWG-Accountability progresses closer to its final Work Stream 1 Proposal, implementation planning will become clearer.  Once approval has been obtained, implementation can begin.</w:t>
      </w:r>
    </w:p>
    <w:p>
      <w:pPr>
        <w:numPr>
          <w:ilvl w:val="0"/>
          <w:numId w:val="0"/>
        </w:numPr>
        <w:ind w:left="360" w:hanging="360"/>
      </w:pPr>
    </w:p>
    <w:p>
      <w:pPr>
        <w:ind w:hanging="540"/>
        <w:rPr>
          <w:rFonts w:eastAsia="Times New Roman"/>
        </w:rPr>
      </w:pPr>
      <w:r>
        <w:t>A significant number of CCWG-Accountability Accountability Work Stream 1 recommendations involve updating the ICANN Bylaws. A best case timeline for implementation can be found below. About 105 days appear necessary until approval of the Bylaw changes, which appear as a key milestone.</w:t>
      </w:r>
      <w:r>
        <w:rPr>
          <w:rFonts w:eastAsia="Times New Roman"/>
        </w:rPr>
        <w:t> </w:t>
      </w:r>
      <w:r>
        <w:rPr>
          <w:rFonts w:eastAsia="Times New Roman"/>
        </w:rPr>
        <w:br/>
      </w:r>
    </w:p>
    <w:p>
      <w:pPr>
        <w:numPr>
          <w:ilvl w:val="0"/>
          <w:numId w:val="0"/>
        </w:numPr>
        <w:ind w:left="360" w:hanging="540"/>
        <w:rPr>
          <w:rFonts w:eastAsia="Times New Roman"/>
          <w:szCs w:val="22"/>
        </w:rPr>
      </w:pPr>
    </w:p>
    <w:p>
      <w:pPr>
        <w:ind w:hanging="540"/>
        <w:rPr>
          <w:b/>
        </w:rPr>
      </w:pPr>
      <w:r>
        <w:rPr>
          <w:b/>
        </w:rPr>
        <w:t>STEP 1 – ESTABLISHMENT OF BYLAW PROPOSALS – AROUND 45 DAYS</w:t>
      </w:r>
    </w:p>
    <w:p>
      <w:pPr>
        <w:numPr>
          <w:ilvl w:val="0"/>
          <w:numId w:val="0"/>
        </w:numPr>
        <w:ind w:left="360" w:hanging="540"/>
        <w:rPr>
          <w:rFonts w:eastAsia="Times New Roman"/>
          <w:szCs w:val="22"/>
        </w:rPr>
      </w:pPr>
      <w:r>
        <w:rPr>
          <w:rFonts w:eastAsia="Times New Roman"/>
          <w:szCs w:val="22"/>
        </w:rPr>
        <w:t> </w:t>
      </w:r>
    </w:p>
    <w:p>
      <w:pPr>
        <w:ind w:hanging="540"/>
      </w:pPr>
      <w:r>
        <w:t>Assuming that lawyers have very clear direction and guidance, the legal work of preparing proposed amendments to ICANN’s Articles and Bylaws could be accomplished in as little as two weeks.  However, in the drafting process issues may become apparent that have not been anticipated and need additional guidance, which would slow the drafting process down.</w:t>
      </w:r>
    </w:p>
    <w:p>
      <w:pPr>
        <w:numPr>
          <w:ilvl w:val="0"/>
          <w:numId w:val="0"/>
        </w:numPr>
        <w:ind w:left="360"/>
        <w:rPr>
          <w:rFonts w:eastAsia="Times New Roman"/>
          <w:szCs w:val="22"/>
        </w:rPr>
      </w:pPr>
    </w:p>
    <w:p>
      <w:pPr>
        <w:ind w:hanging="540"/>
        <w:rPr>
          <w:rFonts w:eastAsia="Times New Roman"/>
          <w:szCs w:val="22"/>
        </w:rPr>
      </w:pPr>
      <w:r>
        <w:rPr>
          <w:rFonts w:eastAsia="Times New Roman"/>
          <w:szCs w:val="22"/>
        </w:rPr>
        <w:t>Similarly, assuming clear direction and guidance on the ACs/SOs and assuming that these entities do not have assets or revenues, the documents for the unincorporated associations (assuming 6) could be drafted in another two weeks.</w:t>
      </w:r>
    </w:p>
    <w:p>
      <w:pPr>
        <w:numPr>
          <w:ilvl w:val="0"/>
          <w:numId w:val="0"/>
        </w:numPr>
        <w:ind w:left="360" w:hanging="540"/>
        <w:rPr>
          <w:rFonts w:eastAsia="Times New Roman"/>
          <w:szCs w:val="22"/>
        </w:rPr>
      </w:pPr>
    </w:p>
    <w:p>
      <w:pPr>
        <w:ind w:hanging="540"/>
        <w:rPr>
          <w:rFonts w:eastAsia="Times New Roman"/>
          <w:szCs w:val="22"/>
        </w:rPr>
      </w:pPr>
      <w:r>
        <w:rPr>
          <w:rFonts w:eastAsia="Times New Roman"/>
          <w:szCs w:val="22"/>
        </w:rPr>
        <w:t xml:space="preserve">Thus, the drafting of amendments to the core ICANN governance documents and creation of basic streamlined unincorporated association documents should take about four to six weeks total, to have solid first drafts for review.  </w:t>
      </w:r>
      <w:r>
        <w:rPr>
          <w:rFonts w:eastAsia="Times New Roman"/>
          <w:szCs w:val="22"/>
          <w:highlight w:val="yellow"/>
        </w:rPr>
        <w:t>[</w:t>
      </w:r>
      <w:r>
        <w:rPr>
          <w:rFonts w:eastAsia="Times New Roman"/>
          <w:b/>
          <w:i/>
          <w:szCs w:val="22"/>
          <w:highlight w:val="yellow"/>
        </w:rPr>
        <w:t>Sidley note</w:t>
      </w:r>
      <w:r>
        <w:rPr>
          <w:rFonts w:eastAsia="Times New Roman"/>
          <w:szCs w:val="22"/>
          <w:highlight w:val="yellow"/>
        </w:rPr>
        <w:t>: Need to build in time for CCWG review.  This only covers the law firms’ delivery of first drafts.]</w:t>
      </w:r>
    </w:p>
    <w:p>
      <w:pPr>
        <w:numPr>
          <w:ilvl w:val="0"/>
          <w:numId w:val="0"/>
        </w:numPr>
        <w:ind w:left="-90"/>
        <w:rPr>
          <w:rFonts w:eastAsia="Times New Roman"/>
          <w:szCs w:val="22"/>
        </w:rPr>
      </w:pPr>
    </w:p>
    <w:p>
      <w:pPr>
        <w:numPr>
          <w:ilvl w:val="0"/>
          <w:numId w:val="0"/>
        </w:numPr>
        <w:ind w:left="360"/>
        <w:rPr>
          <w:rFonts w:eastAsia="Times New Roman"/>
          <w:szCs w:val="22"/>
        </w:rPr>
      </w:pPr>
      <w:r>
        <w:rPr>
          <w:rFonts w:eastAsia="Times New Roman"/>
          <w:szCs w:val="22"/>
        </w:rPr>
        <w:t> </w:t>
      </w:r>
    </w:p>
    <w:p>
      <w:pPr>
        <w:ind w:hanging="450"/>
        <w:rPr>
          <w:b/>
        </w:rPr>
      </w:pPr>
      <w:r>
        <w:rPr>
          <w:b/>
        </w:rPr>
        <w:t>STEP 2 – POSTING AND APPROVAL OF BYLAWS – AROUND 60 DAYS INCLUDING 40 DAYS PUBLIC COMMENT</w:t>
      </w:r>
    </w:p>
    <w:p>
      <w:pPr>
        <w:numPr>
          <w:ilvl w:val="0"/>
          <w:numId w:val="0"/>
        </w:numPr>
        <w:ind w:left="360"/>
        <w:rPr>
          <w:rFonts w:eastAsia="Times New Roman"/>
          <w:szCs w:val="22"/>
        </w:rPr>
      </w:pPr>
      <w:r>
        <w:rPr>
          <w:rFonts w:eastAsia="Times New Roman"/>
          <w:szCs w:val="22"/>
        </w:rPr>
        <w:t> </w:t>
      </w:r>
    </w:p>
    <w:p>
      <w:pPr>
        <w:ind w:hanging="450"/>
      </w:pPr>
      <w:r>
        <w:t>The general process for the posting and approval of Bylaws amendments is as follows:</w:t>
      </w:r>
    </w:p>
    <w:p>
      <w:pPr>
        <w:pStyle w:val="Bullets"/>
        <w:rPr>
          <w:b w:val="0"/>
        </w:rPr>
      </w:pPr>
      <w:r>
        <w:rPr>
          <w:b w:val="0"/>
        </w:rPr>
        <w:t>The Board considers the proposed revisions for posting for public comment.  The Board typically receives items for consideration approximately 7 calendar days before action.  Given the import of the CCWG-Accountability work, a special Board meeting could be called (upon proper notice - 48 hour minimum) in order to address the implementation work.</w:t>
      </w:r>
    </w:p>
    <w:p>
      <w:pPr>
        <w:pStyle w:val="Bullets"/>
        <w:rPr>
          <w:b w:val="0"/>
        </w:rPr>
      </w:pPr>
      <w:r>
        <w:rPr>
          <w:b w:val="0"/>
        </w:rPr>
        <w:t xml:space="preserve">So long as the Board approves the posting, staff can prepare the posting as soon as possible.  We could aim at making sure that any public comment opening text </w:t>
      </w:r>
      <w:r>
        <w:rPr>
          <w:b w:val="0"/>
          <w:highlight w:val="yellow"/>
        </w:rPr>
        <w:t>[</w:t>
      </w:r>
      <w:r>
        <w:rPr>
          <w:i/>
          <w:highlight w:val="yellow"/>
        </w:rPr>
        <w:t>Sidley note</w:t>
      </w:r>
      <w:r>
        <w:rPr>
          <w:b w:val="0"/>
          <w:highlight w:val="yellow"/>
        </w:rPr>
        <w:t>: “opening text” here is unclear]</w:t>
      </w:r>
      <w:r>
        <w:rPr>
          <w:b w:val="0"/>
        </w:rPr>
        <w:t xml:space="preserve"> would be completed no later than the day the Board is scheduled to consider the posting, so that there is no undue delay.</w:t>
      </w:r>
    </w:p>
    <w:p>
      <w:pPr>
        <w:pStyle w:val="Bullets"/>
        <w:rPr>
          <w:b w:val="0"/>
        </w:rPr>
      </w:pPr>
      <w:r>
        <w:rPr>
          <w:b w:val="0"/>
        </w:rPr>
        <w:t>Public comment is typically for 40 days. There is the opportunity for a shorter period of time, though practice has been to never go below 30 days for Bylaws changes. ICANN would only shorten that period if there were community consensus that a less than 30-day window was more appropriate.</w:t>
      </w:r>
    </w:p>
    <w:p>
      <w:pPr>
        <w:pStyle w:val="Bullets"/>
        <w:rPr>
          <w:b w:val="0"/>
        </w:rPr>
      </w:pPr>
      <w:r>
        <w:rPr>
          <w:b w:val="0"/>
        </w:rPr>
        <w:t>The public comment would have to be considered and provided to the Board for consideration and approval.  We could work to identify what types of timeframes would be appropriate for this, though typically there is a need for at least two weeks to prepare the matter for the Board’s further consideration/approval, depending on the complexity of the comments.</w:t>
      </w:r>
    </w:p>
    <w:p>
      <w:pPr>
        <w:pStyle w:val="Bullets"/>
        <w:rPr>
          <w:b w:val="0"/>
        </w:rPr>
      </w:pPr>
      <w:r>
        <w:rPr>
          <w:b w:val="0"/>
        </w:rPr>
        <w:t>Assuming there is nothing within the public comment that requires substantial modification (which could require further public comment), once the Board considers and approves the revisions, they are made effective immediately.</w:t>
      </w:r>
    </w:p>
    <w:p>
      <w:pPr>
        <w:pStyle w:val="Bullets"/>
        <w:rPr>
          <w:b w:val="0"/>
        </w:rPr>
      </w:pPr>
      <w:r>
        <w:rPr>
          <w:b w:val="0"/>
        </w:rPr>
        <w:t>What this means is that from the time the Bylaws are provided to the Board for consideration for posting for public comment, we’re looking at approximately 60 days (assuming a 40 day public comment and that Board meetings are convened as needed for this purpose) to implementation.</w:t>
      </w:r>
    </w:p>
    <w:p>
      <w:pPr>
        <w:pStyle w:val="Bullets"/>
        <w:numPr>
          <w:ilvl w:val="0"/>
          <w:numId w:val="0"/>
        </w:numPr>
        <w:ind w:left="1440"/>
        <w:rPr>
          <w:b w:val="0"/>
        </w:rPr>
      </w:pPr>
    </w:p>
    <w:p>
      <w:pPr>
        <w:rPr>
          <w:b/>
        </w:rPr>
      </w:pPr>
      <w:r>
        <w:rPr>
          <w:b/>
        </w:rPr>
        <w:t>STEP 3 – SETTING UP THE MECHANISMS  - DURATION DEPENDS ON SO/AC PROCESSES</w:t>
      </w:r>
    </w:p>
    <w:p>
      <w:pPr>
        <w:numPr>
          <w:ilvl w:val="0"/>
          <w:numId w:val="0"/>
        </w:numPr>
        <w:ind w:left="360"/>
      </w:pPr>
    </w:p>
    <w:p>
      <w:r>
        <w:t>In terms of regulatory filings, with both the designator and Membership models all that is required is that the new Articles of Incorporation be filed with the State of California. There is no approval process to factor in at the state or federal level.</w:t>
      </w:r>
    </w:p>
    <w:p>
      <w:pPr>
        <w:numPr>
          <w:ilvl w:val="0"/>
          <w:numId w:val="0"/>
        </w:numPr>
        <w:ind w:left="360"/>
      </w:pPr>
    </w:p>
    <w:p>
      <w:r>
        <w:t>Each SO/AC would need to make appropriate arrangements to fully participate within the community mechanism.</w:t>
      </w:r>
    </w:p>
    <w:p>
      <w:pPr>
        <w:numPr>
          <w:ilvl w:val="0"/>
          <w:numId w:val="0"/>
        </w:numPr>
        <w:ind w:left="360"/>
      </w:pPr>
    </w:p>
    <w:p>
      <w: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br/>
      </w:r>
    </w:p>
    <w:p>
      <w:pPr>
        <w:numPr>
          <w:ilvl w:val="0"/>
          <w:numId w:val="0"/>
        </w:numPr>
        <w:ind w:left="360"/>
        <w:rPr>
          <w:rFonts w:eastAsia="Times New Roman"/>
          <w:szCs w:val="22"/>
        </w:rPr>
      </w:pPr>
    </w:p>
    <w:tbl>
      <w:tblPr>
        <w:tblW w:w="5001" w:type="pct"/>
        <w:tblInd w:w="0" w:type="dxa"/>
        <w:tblLayout w:type="fixed"/>
        <w:tblCellMar>
          <w:top w:w="15" w:type="dxa"/>
          <w:left w:w="15" w:type="dxa"/>
          <w:bottom w:w="15" w:type="dxa"/>
          <w:right w:w="15" w:type="dxa"/>
        </w:tblCellMar>
        <w:tblLook w:val="04A0"/>
      </w:tblPr>
      <w:tblGrid>
        <w:gridCol w:w="2525"/>
        <w:gridCol w:w="2526"/>
        <w:gridCol w:w="2523"/>
        <w:gridCol w:w="2528"/>
      </w:tblGrid>
      <w:tr>
        <w:tblPrEx>
          <w:tblW w:w="5001" w:type="pct"/>
          <w:tblInd w:w="0" w:type="dxa"/>
          <w:tblLayout w:type="fixed"/>
          <w:tblCellMar>
            <w:top w:w="15" w:type="dxa"/>
            <w:left w:w="15" w:type="dxa"/>
            <w:bottom w:w="15" w:type="dxa"/>
            <w:right w:w="15" w:type="dxa"/>
          </w:tblCellMar>
          <w:tblLook w:val="04A0"/>
        </w:tblPrEx>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pPr>
              <w:pStyle w:val="NormalWeb"/>
              <w:numPr>
                <w:numId w:val="24"/>
              </w:numPr>
              <w:spacing w:before="120" w:beforeAutospacing="0" w:after="160" w:afterAutospacing="0"/>
              <w:ind w:left="360" w:hanging="450"/>
              <w:rPr>
                <w:rStyle w:val="DefaultParagraphFont"/>
                <w:rFonts w:ascii="Helvetica" w:eastAsia="MS Mincho" w:hAnsi="Helvetica"/>
                <w:sz w:val="22"/>
                <w:szCs w:val="22"/>
              </w:rPr>
            </w:pPr>
            <w:r>
              <w:rPr>
                <w:rFonts w:ascii="Helvetica" w:hAnsi="Helvetica" w:eastAsiaTheme="minorEastAsia"/>
                <w:b/>
                <w:bCs/>
                <w:color w:val="000000"/>
                <w:sz w:val="22"/>
                <w:szCs w:val="22"/>
              </w:rPr>
              <w:t xml:space="preserve">The following tables suggests implementation milestones and dates for Work Stream 1 recommendations </w:t>
            </w:r>
          </w:p>
          <w:p>
            <w:pPr>
              <w:numPr>
                <w:ilvl w:val="0"/>
                <w:numId w:val="0"/>
              </w:numPr>
              <w:ind w:left="360" w:firstLine="0"/>
              <w:rPr>
                <w:rStyle w:val="DefaultParagraphFont"/>
                <w:rFonts w:ascii="Helvetica" w:eastAsia="Times New Roman" w:hAnsi="Helvetica"/>
                <w:sz w:val="22"/>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00B050"/>
                <w:sz w:val="22"/>
                <w:szCs w:val="22"/>
              </w:rPr>
              <w:t>xx</w:t>
            </w:r>
            <w:r>
              <w:rPr>
                <w:rFonts w:ascii="Helvetica" w:hAnsi="Helvetica" w:eastAsiaTheme="minorEastAsia"/>
                <w:b/>
                <w:bCs/>
                <w:color w:val="000000"/>
                <w:sz w:val="22"/>
                <w:szCs w:val="22"/>
              </w:rPr>
              <w:t xml:space="preserve"> Complete          √  or</w:t>
            </w:r>
            <w:r>
              <w:rPr>
                <w:rFonts w:ascii="Helvetica" w:hAnsi="Helvetica"/>
                <w:noProof/>
                <w:sz w:val="22"/>
                <w:szCs w:val="22"/>
              </w:rPr>
              <w:drawing>
                <wp:inline distT="0" distB="0" distL="0" distR="0">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0070C0"/>
                <w:sz w:val="22"/>
                <w:szCs w:val="22"/>
              </w:rPr>
              <w:t>xx</w:t>
            </w:r>
            <w:r>
              <w:rPr>
                <w:rFonts w:ascii="Helvetica" w:hAnsi="Helvetica" w:eastAsiaTheme="minorEastAsia"/>
                <w:b/>
                <w:bCs/>
                <w:color w:val="000000"/>
                <w:sz w:val="22"/>
                <w:szCs w:val="22"/>
              </w:rPr>
              <w:t xml:space="preserve"> In Progress       </w:t>
            </w:r>
            <w:r>
              <w:rPr>
                <w:rFonts w:ascii="Times New Roman" w:hAnsi="Times New Roman" w:eastAsiaTheme="minorEastAsia"/>
                <w:b/>
                <w:bCs/>
                <w:color w:val="000000"/>
                <w:sz w:val="22"/>
                <w:szCs w:val="22"/>
              </w:rPr>
              <w:t>○</w:t>
            </w:r>
            <w:r>
              <w:rPr>
                <w:rFonts w:ascii="Helvetica" w:hAnsi="Helvetica" w:eastAsiaTheme="minorEastAsia"/>
                <w:b/>
                <w:bCs/>
                <w:color w:val="000000"/>
                <w:sz w:val="22"/>
                <w:szCs w:val="22"/>
              </w:rPr>
              <w:t xml:space="preserve">  or  </w:t>
            </w:r>
            <w:r>
              <w:rPr>
                <w:rFonts w:ascii="Helvetica" w:hAnsi="Helvetica"/>
                <w:noProof/>
                <w:sz w:val="22"/>
                <w:szCs w:val="22"/>
              </w:rPr>
              <w:drawing>
                <wp:inline distT="0" distB="0" distL="0" distR="0">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xmlns:r="http://schemas.openxmlformats.org/officeDocument/2006/relationships"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7030A0"/>
                <w:sz w:val="22"/>
                <w:szCs w:val="22"/>
              </w:rPr>
              <w:t>xx</w:t>
            </w:r>
            <w:r>
              <w:rPr>
                <w:rFonts w:ascii="Helvetica" w:hAnsi="Helvetica" w:eastAsiaTheme="minorEastAsia"/>
                <w:b/>
                <w:bCs/>
                <w:color w:val="000000"/>
                <w:sz w:val="22"/>
                <w:szCs w:val="22"/>
              </w:rPr>
              <w:t xml:space="preserve"> In Planning       ◊  or</w:t>
            </w:r>
            <w:r>
              <w:rPr>
                <w:rFonts w:ascii="Helvetica" w:hAnsi="Helvetica"/>
                <w:noProof/>
                <w:sz w:val="22"/>
                <w:szCs w:val="22"/>
              </w:rPr>
              <w:drawing>
                <wp:inline distT="0" distB="0" distL="0" distR="0">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xmlns:r="http://schemas.openxmlformats.org/officeDocument/2006/relationships"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tc>
      </w:tr>
      <w:tr>
        <w:tblPrEx>
          <w:tblW w:w="5001" w:type="pct"/>
          <w:tblInd w:w="0" w:type="dxa"/>
          <w:tblLayout w:type="fixed"/>
          <w:tblCellMar>
            <w:top w:w="15" w:type="dxa"/>
            <w:left w:w="15" w:type="dxa"/>
            <w:bottom w:w="15" w:type="dxa"/>
            <w:right w:w="15" w:type="dxa"/>
          </w:tblCellMar>
          <w:tblLook w:val="04A0"/>
        </w:tblPrEx>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CCWG-Accountability-ACCT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firstLine="0"/>
              <w:rPr>
                <w:rStyle w:val="DefaultParagraphFont"/>
                <w:rFonts w:ascii="Helvetica" w:eastAsia="MS Mincho" w:hAnsi="Helvetica"/>
                <w:sz w:val="22"/>
                <w:szCs w:val="22"/>
              </w:rPr>
            </w:pPr>
            <w:r>
              <w:rPr>
                <w:rFonts w:ascii="Helvetica" w:hAnsi="Helvetica" w:eastAsiaTheme="minorEastAsia"/>
                <w:b/>
                <w:bCs/>
                <w:color w:val="FFFFFF"/>
                <w:sz w:val="22"/>
                <w:szCs w:val="22"/>
              </w:rPr>
              <w:t xml:space="preserve">Milestones, Completion Dates </w:t>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(See Executive 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Expected Implementation Date after Approval </w:t>
            </w:r>
          </w:p>
        </w:tc>
      </w:tr>
      <w:tr>
        <w:tblPrEx>
          <w:tblW w:w="5001" w:type="pct"/>
          <w:tblInd w:w="0" w:type="dxa"/>
          <w:tblLayout w:type="fixed"/>
          <w:tblCellMar>
            <w:top w:w="15" w:type="dxa"/>
            <w:left w:w="15" w:type="dxa"/>
            <w:bottom w:w="15" w:type="dxa"/>
            <w:right w:w="15" w:type="dxa"/>
          </w:tblCellMar>
          <w:tblLook w:val="04A0"/>
        </w:tblPrEx>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vAlign w:val="cente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bl>
    <w:p>
      <w:pPr>
        <w:numPr>
          <w:ilvl w:val="0"/>
          <w:numId w:val="0"/>
        </w:numPr>
        <w:ind w:left="360"/>
      </w:pPr>
      <w:bookmarkStart w:id="189" w:name="_Toc291848725"/>
      <w:bookmarkStart w:id="190" w:name="_Toc291862719"/>
    </w:p>
    <w:p>
      <w:pPr>
        <w:pStyle w:val="Heading1"/>
        <w:tabs>
          <w:tab w:val="left" w:pos="360"/>
        </w:tabs>
        <w:ind w:right="0"/>
        <w:rPr>
          <w:rFonts w:ascii="Helvetica" w:hAnsi="Helvetica"/>
          <w:sz w:val="48"/>
          <w:szCs w:val="48"/>
        </w:rPr>
      </w:pPr>
      <w:bookmarkStart w:id="191" w:name="_Toc292025343"/>
      <w:bookmarkStart w:id="192" w:name="_Toc292010192"/>
      <w:r>
        <w:rPr>
          <w:rFonts w:ascii="Helvetica" w:hAnsi="Helvetica"/>
          <w:sz w:val="48"/>
          <w:szCs w:val="48"/>
        </w:rPr>
        <w:t>6) Public Comment Input</w:t>
      </w:r>
      <w:bookmarkEnd w:id="189"/>
      <w:bookmarkEnd w:id="190"/>
      <w:bookmarkEnd w:id="191"/>
      <w:bookmarkEnd w:id="192"/>
      <w:r>
        <w:rPr>
          <w:rFonts w:ascii="Helvetica" w:hAnsi="Helvetica"/>
          <w:sz w:val="48"/>
          <w:szCs w:val="48"/>
        </w:rPr>
        <w:t xml:space="preserve"> </w:t>
      </w:r>
    </w:p>
    <w:p>
      <w:pPr>
        <w:ind w:hanging="540"/>
        <w:rPr>
          <w:szCs w:val="22"/>
        </w:rPr>
      </w:pPr>
      <w:r>
        <w:rPr>
          <w:szCs w:val="22"/>
        </w:rPr>
        <w:t xml:space="preserve">Do you believe the set of Work Stream 1 proposals in this interim report, if implemented or committed to, would provide sufficient enhancements to ICANN's accountability to proceed with the IANA Stewardship transition? If not, please clarify what amendments would be needed to the set of recommendation. </w:t>
      </w:r>
    </w:p>
    <w:p>
      <w:pPr>
        <w:numPr>
          <w:ilvl w:val="0"/>
          <w:numId w:val="0"/>
        </w:numPr>
        <w:ind w:left="360"/>
        <w:rPr>
          <w:szCs w:val="22"/>
        </w:rPr>
      </w:pPr>
    </w:p>
    <w:p>
      <w:pPr>
        <w:ind w:hanging="540"/>
        <w:rPr>
          <w:szCs w:val="22"/>
        </w:rPr>
      </w:pPr>
      <w:r>
        <w:rPr>
          <w:szCs w:val="22"/>
        </w:rPr>
        <w:t xml:space="preserve">Do you have any general feedback or suggestion on the interim Work Stream 1 proposals? </w:t>
      </w:r>
    </w:p>
    <w:p>
      <w:pPr>
        <w:numPr>
          <w:ilvl w:val="0"/>
          <w:numId w:val="0"/>
        </w:numPr>
        <w:rPr>
          <w:szCs w:val="22"/>
        </w:rPr>
      </w:pPr>
    </w:p>
    <w:p>
      <w:pPr>
        <w:ind w:hanging="540"/>
      </w:pPr>
      <w:r>
        <w:t xml:space="preserve">Insert deadline + practical suggestions here. </w:t>
      </w:r>
    </w:p>
    <w:p>
      <w:pPr>
        <w:numPr>
          <w:ilvl w:val="0"/>
          <w:numId w:val="0"/>
        </w:numPr>
        <w:ind w:left="360"/>
        <w:rPr>
          <w:bCs/>
          <w:szCs w:val="22"/>
        </w:rPr>
      </w:pPr>
    </w:p>
    <w:p>
      <w:pPr>
        <w:ind w:hanging="540"/>
        <w:rPr>
          <w:b/>
          <w:bCs/>
        </w:rPr>
      </w:pPr>
      <w:r>
        <w:rPr>
          <w:b/>
        </w:rPr>
        <w:t>Revised Mission, Commitments &amp; Core Values</w:t>
      </w:r>
    </w:p>
    <w:p>
      <w:pPr>
        <w:pStyle w:val="Bullets"/>
        <w:numPr>
          <w:ilvl w:val="0"/>
          <w:numId w:val="82"/>
        </w:numPr>
        <w:ind w:left="720"/>
        <w:rPr>
          <w:b w:val="0"/>
        </w:rPr>
      </w:pPr>
      <w:r>
        <w:rPr>
          <w:b w:val="0"/>
        </w:rPr>
        <w:t xml:space="preserve">Do you agree that these recommended changes to ICANN’s </w:t>
      </w:r>
      <w:r>
        <w:rPr>
          <w:b w:val="0"/>
          <w:i/>
        </w:rPr>
        <w:t>Mission, Commitments and Core Values</w:t>
      </w:r>
      <w:r>
        <w:rPr>
          <w:b w:val="0"/>
        </w:rPr>
        <w:t xml:space="preserve"> would enhance ICANN's accountability?</w:t>
      </w:r>
    </w:p>
    <w:p>
      <w:pPr>
        <w:pStyle w:val="Bullets"/>
        <w:numPr>
          <w:ilvl w:val="0"/>
          <w:numId w:val="82"/>
        </w:numPr>
        <w:ind w:left="720"/>
        <w:rPr>
          <w:b w:val="0"/>
        </w:rPr>
      </w:pPr>
      <w:r>
        <w:rPr>
          <w:b w:val="0"/>
        </w:rPr>
        <w:t>Do you agree with the list of requirements for this recommendation? If not, please detail how you would amend these requirements.</w:t>
      </w:r>
    </w:p>
    <w:p>
      <w:pPr>
        <w:pStyle w:val="Bullets"/>
        <w:numPr>
          <w:ilvl w:val="0"/>
          <w:numId w:val="0"/>
        </w:numPr>
        <w:ind w:left="720"/>
        <w:rPr>
          <w:b w:val="0"/>
        </w:rPr>
      </w:pPr>
    </w:p>
    <w:p>
      <w:pPr>
        <w:ind w:hanging="540"/>
        <w:rPr>
          <w:b/>
        </w:rPr>
      </w:pPr>
      <w:r>
        <w:rPr>
          <w:b/>
        </w:rPr>
        <w:t>Fundamental Bylaws</w:t>
      </w:r>
    </w:p>
    <w:p>
      <w:pPr>
        <w:pStyle w:val="ListParagraph"/>
        <w:numPr>
          <w:ilvl w:val="0"/>
          <w:numId w:val="82"/>
        </w:numPr>
        <w:spacing w:before="120" w:after="120"/>
        <w:ind w:left="720"/>
        <w:rPr>
          <w:bCs/>
          <w:szCs w:val="22"/>
        </w:rPr>
      </w:pPr>
      <w:r>
        <w:rPr>
          <w:bCs/>
          <w:szCs w:val="22"/>
        </w:rPr>
        <w:t xml:space="preserve">Do you agree that the introduction of Fundamental Bylaws would enhance ICANN's accountability? </w:t>
      </w:r>
    </w:p>
    <w:p>
      <w:pPr>
        <w:pStyle w:val="ListParagraph"/>
        <w:numPr>
          <w:ilvl w:val="0"/>
          <w:numId w:val="82"/>
        </w:numPr>
        <w:spacing w:before="120" w:after="120"/>
        <w:ind w:left="720"/>
        <w:rPr>
          <w:bCs/>
          <w:szCs w:val="22"/>
        </w:rPr>
      </w:pPr>
      <w:r>
        <w:rPr>
          <w:bCs/>
          <w:szCs w:val="22"/>
        </w:rPr>
        <w:t>Do you agree with the list of requirements for this recommendation</w:t>
      </w:r>
      <w:r>
        <w:t>, including the list of which Bylaws should become Fundamental Bylaws</w:t>
      </w:r>
      <w:r>
        <w:rPr>
          <w:bCs/>
          <w:szCs w:val="22"/>
        </w:rPr>
        <w:t>? If not, please detail how you would recommend amending these requirements.</w:t>
      </w:r>
    </w:p>
    <w:p>
      <w:pPr>
        <w:pStyle w:val="ListParagraph"/>
        <w:numPr>
          <w:ilvl w:val="0"/>
          <w:numId w:val="0"/>
        </w:numPr>
        <w:spacing w:before="120" w:after="120"/>
        <w:ind w:left="720"/>
        <w:rPr>
          <w:bCs/>
          <w:szCs w:val="22"/>
        </w:rPr>
      </w:pPr>
    </w:p>
    <w:p>
      <w:pPr>
        <w:ind w:hanging="540"/>
        <w:rPr>
          <w:b/>
        </w:rPr>
      </w:pPr>
      <w:r>
        <w:rPr>
          <w:b/>
        </w:rPr>
        <w:t>Independent Review Panel Enhancement</w:t>
      </w:r>
    </w:p>
    <w:p>
      <w:pPr>
        <w:pStyle w:val="ListParagraph"/>
        <w:numPr>
          <w:ilvl w:val="0"/>
          <w:numId w:val="82"/>
        </w:numPr>
        <w:ind w:left="720"/>
        <w:rPr>
          <w:bCs/>
          <w:szCs w:val="22"/>
        </w:rPr>
      </w:pPr>
      <w:r>
        <w:rPr>
          <w:bCs/>
          <w:szCs w:val="22"/>
        </w:rPr>
        <w:t>Do you agree that the proposed improvements to the IRP would enhance ICANN's accountability? Do you agree with the list of requirements for this recommendation? If not, please detail how you would recommend to amend these requirements.</w:t>
      </w:r>
    </w:p>
    <w:p>
      <w:pPr>
        <w:ind w:hanging="540"/>
      </w:pPr>
      <w:r>
        <w:t>Please refer to Appendix I – Independent Review Panel Enhancement – Questions &amp; Open Issues</w:t>
      </w:r>
    </w:p>
    <w:p>
      <w:pPr>
        <w:pStyle w:val="Bullets"/>
        <w:numPr>
          <w:ilvl w:val="0"/>
          <w:numId w:val="0"/>
        </w:numPr>
        <w:ind w:left="7980" w:hanging="360"/>
        <w:rPr>
          <w:b w:val="0"/>
        </w:rPr>
      </w:pPr>
    </w:p>
    <w:p>
      <w:pPr>
        <w:ind w:hanging="540"/>
        <w:rPr>
          <w:b/>
        </w:rPr>
      </w:pPr>
      <w:r>
        <w:rPr>
          <w:b/>
        </w:rPr>
        <w:t>Reconsideration Process Enhancement</w:t>
      </w:r>
    </w:p>
    <w:p>
      <w:pPr>
        <w:pStyle w:val="ListParagraph"/>
        <w:numPr>
          <w:ilvl w:val="0"/>
          <w:numId w:val="82"/>
        </w:numPr>
        <w:spacing w:before="120" w:after="100"/>
        <w:ind w:left="720"/>
        <w:rPr>
          <w:color w:val="000000"/>
          <w:szCs w:val="22"/>
          <w:shd w:val="clear" w:color="auto" w:fill="FFFFFF"/>
        </w:rPr>
      </w:pPr>
      <w:r>
        <w:rPr>
          <w:color w:val="000000"/>
          <w:szCs w:val="22"/>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color w:val="000000"/>
          <w:szCs w:val="22"/>
          <w:u w:val="single"/>
          <w:shd w:val="clear" w:color="auto" w:fill="FFFFFF"/>
        </w:rPr>
        <w:t>Are the timeframes and deadlines proposed herein sufficient to meet the community's needs? Is the scope of permissible requests broad / narrow enough to meet the community's needs?</w:t>
      </w:r>
      <w:r>
        <w:rPr>
          <w:color w:val="000000"/>
          <w:szCs w:val="22"/>
          <w:u w:val="single"/>
          <w:shd w:val="clear" w:color="auto" w:fill="FFFFFF"/>
        </w:rPr>
        <w:br/>
      </w:r>
    </w:p>
    <w:p>
      <w:pPr>
        <w:ind w:hanging="540"/>
        <w:rPr>
          <w:b/>
        </w:rPr>
      </w:pPr>
      <w:r>
        <w:rPr>
          <w:b/>
        </w:rPr>
        <w:t>Mechanism to empower the Community</w:t>
      </w:r>
    </w:p>
    <w:p>
      <w:pPr>
        <w:pStyle w:val="ListParagraph"/>
        <w:numPr>
          <w:ilvl w:val="0"/>
          <w:numId w:val="82"/>
        </w:numPr>
        <w:spacing w:before="120" w:after="100"/>
        <w:ind w:left="720"/>
        <w:rPr>
          <w:szCs w:val="22"/>
        </w:rPr>
      </w:pPr>
      <w:r>
        <w:rPr>
          <w:szCs w:val="22"/>
        </w:rPr>
        <w:t>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pPr>
        <w:numPr>
          <w:ilvl w:val="0"/>
          <w:numId w:val="0"/>
        </w:numPr>
        <w:spacing w:before="120" w:after="100"/>
        <w:ind w:left="360"/>
        <w:rPr>
          <w:szCs w:val="22"/>
        </w:rPr>
      </w:pPr>
    </w:p>
    <w:p>
      <w:pPr>
        <w:ind w:hanging="540"/>
        <w:rPr>
          <w:b/>
        </w:rPr>
      </w:pPr>
      <w:r>
        <w:rPr>
          <w:b/>
        </w:rPr>
        <w:t>Power: reconsider/reject budget or strategy/operating plans</w:t>
      </w:r>
    </w:p>
    <w:p>
      <w:pPr>
        <w:pStyle w:val="ListParagraph"/>
        <w:numPr>
          <w:ilvl w:val="0"/>
          <w:numId w:val="82"/>
        </w:numPr>
        <w:spacing w:before="120" w:after="100"/>
        <w:ind w:left="720"/>
        <w:rPr>
          <w:szCs w:val="22"/>
        </w:rPr>
      </w:pPr>
      <w:r>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numPr>
          <w:ilvl w:val="0"/>
          <w:numId w:val="0"/>
        </w:numPr>
        <w:spacing w:before="120" w:after="100"/>
        <w:ind w:left="360"/>
        <w:rPr>
          <w:szCs w:val="22"/>
        </w:rPr>
      </w:pPr>
    </w:p>
    <w:p>
      <w:pPr>
        <w:ind w:hanging="540"/>
        <w:rPr>
          <w:b/>
        </w:rPr>
      </w:pPr>
      <w:r>
        <w:rPr>
          <w:b/>
        </w:rPr>
        <w:t>Power: reconsider/reject changes to ICANN “standard” Bylaws</w:t>
      </w:r>
    </w:p>
    <w:p>
      <w:pPr>
        <w:pStyle w:val="ListParagraph"/>
        <w:numPr>
          <w:ilvl w:val="0"/>
          <w:numId w:val="82"/>
        </w:numPr>
        <w:spacing w:before="120" w:after="100"/>
        <w:ind w:left="720"/>
        <w:rPr>
          <w:color w:val="000000"/>
          <w:szCs w:val="22"/>
        </w:rPr>
      </w:pPr>
      <w:r>
        <w:rPr>
          <w:color w:val="000000"/>
          <w:szCs w:val="22"/>
        </w:rPr>
        <w:t>Do you agree that the power for the community to reject a proposed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color w:val="000000"/>
          <w:szCs w:val="22"/>
        </w:rPr>
      </w:pPr>
    </w:p>
    <w:p>
      <w:pPr>
        <w:ind w:hanging="540"/>
        <w:rPr>
          <w:b/>
        </w:rPr>
      </w:pPr>
      <w:r>
        <w:rPr>
          <w:b/>
        </w:rPr>
        <w:t>Power: approve changes to “Fundamental” Bylaws</w:t>
      </w:r>
    </w:p>
    <w:p>
      <w:pPr>
        <w:pStyle w:val="ListParagraph"/>
        <w:numPr>
          <w:ilvl w:val="0"/>
          <w:numId w:val="82"/>
        </w:numPr>
        <w:spacing w:before="120" w:after="100"/>
        <w:ind w:left="720"/>
        <w:rPr>
          <w:szCs w:val="22"/>
        </w:rPr>
      </w:pPr>
      <w:r>
        <w:rPr>
          <w:szCs w:val="22"/>
        </w:rPr>
        <w:t>Do you agree that the power for the community to approve any fundamental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bCs/>
          <w:szCs w:val="22"/>
        </w:rPr>
      </w:pPr>
    </w:p>
    <w:p>
      <w:pPr>
        <w:ind w:hanging="540"/>
        <w:rPr>
          <w:b/>
        </w:rPr>
      </w:pPr>
      <w:r>
        <w:rPr>
          <w:b/>
        </w:rPr>
        <w:t xml:space="preserve">Power: Recalling individual ICANN Directors </w:t>
      </w:r>
    </w:p>
    <w:p>
      <w:pPr>
        <w:pStyle w:val="ListParagraph"/>
        <w:numPr>
          <w:ilvl w:val="0"/>
          <w:numId w:val="82"/>
        </w:numPr>
        <w:spacing w:before="120" w:after="100"/>
        <w:ind w:left="720"/>
        <w:rPr>
          <w:bCs/>
          <w:szCs w:val="22"/>
        </w:rPr>
      </w:pPr>
      <w:r>
        <w:rPr>
          <w:bCs/>
          <w:szCs w:val="22"/>
        </w:rPr>
        <w:t>Do you agree that the power for the community to remove individual Board Directors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szCs w:val="22"/>
        </w:rPr>
      </w:pPr>
    </w:p>
    <w:p>
      <w:pPr>
        <w:ind w:hanging="540"/>
        <w:rPr>
          <w:b/>
        </w:rPr>
      </w:pPr>
      <w:r>
        <w:rPr>
          <w:b/>
        </w:rPr>
        <w:t>Power: Recalling the entire ICANN Board</w:t>
      </w:r>
    </w:p>
    <w:p>
      <w:pPr>
        <w:pStyle w:val="ListParagraph"/>
        <w:numPr>
          <w:ilvl w:val="0"/>
          <w:numId w:val="82"/>
        </w:numPr>
        <w:spacing w:before="120" w:after="100"/>
        <w:ind w:left="720"/>
        <w:rPr>
          <w:szCs w:val="22"/>
        </w:rPr>
      </w:pPr>
      <w:r>
        <w:rPr>
          <w:szCs w:val="22"/>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Incorporating AoC into the ICANN Bylaws  </w:t>
      </w:r>
    </w:p>
    <w:p>
      <w:pPr>
        <w:pStyle w:val="ListParagraph"/>
        <w:numPr>
          <w:ilvl w:val="0"/>
          <w:numId w:val="82"/>
        </w:numPr>
        <w:ind w:left="720"/>
        <w:rPr>
          <w:szCs w:val="22"/>
        </w:rPr>
      </w:pPr>
      <w:r>
        <w:rPr>
          <w:szCs w:val="22"/>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82"/>
        </w:numPr>
        <w:ind w:left="720"/>
        <w:rPr>
          <w:szCs w:val="22"/>
        </w:rPr>
      </w:pPr>
      <w:r>
        <w:rPr>
          <w:szCs w:val="22"/>
        </w:rPr>
        <w:t>Do you agree that the incorporation into ICANN’s Bylaws of the AoC reviews would enhance ICANN's accountability? Do you agree with the list of requirements for this recommendation? If not, please detail how you would recommend to amend these requirements.</w:t>
      </w:r>
      <w:r>
        <w:rPr>
          <w:b/>
          <w:szCs w:val="22"/>
        </w:rPr>
        <w:t xml:space="preserve"> </w:t>
      </w:r>
    </w:p>
    <w:p>
      <w:pPr>
        <w:pStyle w:val="ListParagraph"/>
        <w:numPr>
          <w:ilvl w:val="0"/>
          <w:numId w:val="0"/>
        </w:numPr>
        <w:ind w:left="1080"/>
        <w:rPr>
          <w:szCs w:val="22"/>
        </w:rPr>
      </w:pPr>
    </w:p>
    <w:p>
      <w:pPr>
        <w:ind w:hanging="540"/>
        <w:rPr>
          <w:b/>
        </w:rPr>
      </w:pPr>
      <w:r>
        <w:rPr>
          <w:b/>
        </w:rPr>
        <w:t>Bylaws changes suggested by Stress Tests</w:t>
      </w:r>
    </w:p>
    <w:p>
      <w:pPr>
        <w:pStyle w:val="ListParagraph"/>
        <w:numPr>
          <w:ilvl w:val="0"/>
          <w:numId w:val="82"/>
        </w:numPr>
        <w:spacing w:before="120" w:after="100"/>
        <w:ind w:left="720"/>
        <w:rPr>
          <w:szCs w:val="22"/>
        </w:rPr>
      </w:pPr>
      <w:r>
        <w:rPr>
          <w:szCs w:val="22"/>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Items for Consideration in Work Stream 2</w:t>
      </w:r>
    </w:p>
    <w:p>
      <w:pPr>
        <w:pStyle w:val="NormalWeb"/>
        <w:numPr>
          <w:ilvl w:val="0"/>
          <w:numId w:val="82"/>
        </w:numPr>
        <w:spacing w:before="120" w:beforeAutospacing="0" w:afterAutospacing="0"/>
        <w:ind w:left="720"/>
        <w:rPr>
          <w:rFonts w:ascii="Helvetica" w:eastAsia="MS Mincho" w:hAnsi="Helvetica"/>
          <w:sz w:val="22"/>
          <w:szCs w:val="22"/>
        </w:rPr>
      </w:pPr>
      <w:r>
        <w:rPr>
          <w:rFonts w:ascii="Helvetica" w:hAnsi="Helvetica"/>
          <w:color w:val="000000"/>
          <w:sz w:val="22"/>
          <w:szCs w:val="22"/>
        </w:rPr>
        <w:t xml:space="preserve">The CCWG-Accountability seeks input from the community regarding its proposed work plan for the CCWG-Accountability Accountability Work Stream 2. If need be, please clarify what amendments would be needed. </w:t>
      </w:r>
      <w:r>
        <w:rPr>
          <w:rFonts w:ascii="Helvetica" w:hAnsi="Helvetica"/>
          <w:b/>
          <w:bCs/>
          <w:color w:val="000000"/>
          <w:sz w:val="22"/>
          <w:szCs w:val="22"/>
        </w:rPr>
        <w:t> </w:t>
      </w:r>
    </w:p>
    <w:p>
      <w:pPr>
        <w:pStyle w:val="Bullets"/>
        <w:numPr>
          <w:ilvl w:val="0"/>
          <w:numId w:val="0"/>
        </w:numPr>
        <w:rPr>
          <w:b w:val="0"/>
        </w:rPr>
      </w:pPr>
    </w:p>
    <w:p>
      <w:pPr>
        <w:numPr>
          <w:ilvl w:val="0"/>
          <w:numId w:val="0"/>
        </w:numPr>
        <w:spacing w:before="120" w:after="120"/>
        <w:rPr>
          <w:rFonts w:eastAsia="MS Gothic"/>
          <w:bCs/>
          <w:color w:val="345A8A"/>
          <w:szCs w:val="22"/>
        </w:rPr>
      </w:pPr>
      <w:r>
        <w:rPr>
          <w:szCs w:val="22"/>
        </w:rPr>
        <w:br w:type="page"/>
      </w:r>
    </w:p>
    <w:p>
      <w:pPr>
        <w:pStyle w:val="Heading1"/>
        <w:tabs>
          <w:tab w:val="left" w:pos="360"/>
        </w:tabs>
        <w:ind w:right="0"/>
        <w:rPr>
          <w:rStyle w:val="SectionTile"/>
        </w:rPr>
      </w:pPr>
      <w:bookmarkStart w:id="193" w:name="_Toc292025344"/>
      <w:bookmarkStart w:id="194" w:name="_Toc292010193"/>
      <w:r>
        <w:rPr>
          <w:rStyle w:val="SectionTile"/>
        </w:rPr>
        <w:t>Glossary</w:t>
      </w:r>
      <w:bookmarkEnd w:id="193"/>
      <w:bookmarkEnd w:id="194"/>
    </w:p>
    <w:p>
      <w:pPr>
        <w:ind w:hanging="540"/>
        <w:rPr>
          <w:rFonts w:ascii="Arial" w:hAnsi="Arial" w:cs="Helvetica"/>
          <w:sz w:val="20"/>
          <w:szCs w:val="20"/>
        </w:rPr>
      </w:pPr>
      <w:r>
        <w:rPr>
          <w:rFonts w:ascii="Arial" w:hAnsi="Arial" w:cs="Helvetica"/>
          <w:sz w:val="20"/>
          <w:szCs w:val="20"/>
        </w:rPr>
        <w:t xml:space="preserve">See also </w:t>
      </w:r>
      <w:r>
        <w:fldChar w:fldCharType="begin"/>
      </w:r>
      <w:r>
        <w:instrText xml:space="preserve"> HYPERLINK "https://www.icann.org/resources/pages/glossary-2014-02-03-en" </w:instrText>
      </w:r>
      <w:r>
        <w:fldChar w:fldCharType="separate"/>
      </w:r>
      <w:r>
        <w:rPr>
          <w:rStyle w:val="Hyperlink"/>
          <w:rFonts w:ascii="Arial" w:hAnsi="Arial" w:cs="Helvetica"/>
          <w:sz w:val="20"/>
          <w:szCs w:val="20"/>
        </w:rPr>
        <w:t>https://www.icann.org/resources/pages/glossary-2014-02-03-en</w:t>
      </w:r>
      <w:r>
        <w:fldChar w:fldCharType="end"/>
      </w:r>
    </w:p>
    <w:p>
      <w:pPr>
        <w:numPr>
          <w:ilvl w:val="0"/>
          <w:numId w:val="0"/>
        </w:numPr>
        <w:ind w:left="360" w:hanging="540"/>
        <w:rPr>
          <w:rFonts w:ascii="Arial" w:hAnsi="Arial" w:cs="Helvetica"/>
          <w:sz w:val="20"/>
          <w:szCs w:val="20"/>
        </w:rPr>
      </w:pPr>
    </w:p>
    <w:p>
      <w:pPr>
        <w:numPr>
          <w:ilvl w:val="0"/>
          <w:numId w:val="0"/>
        </w:numPr>
        <w:ind w:hanging="540"/>
        <w:rPr>
          <w:rFonts w:ascii="Arial" w:hAnsi="Arial" w:cs="Helvetica"/>
          <w:sz w:val="20"/>
          <w:szCs w:val="20"/>
        </w:rPr>
      </w:pPr>
    </w:p>
    <w:tbl>
      <w:tblPr>
        <w:tblStyle w:val="TableGrid"/>
        <w:tblW w:w="0" w:type="auto"/>
        <w:tblInd w:w="0" w:type="dxa"/>
        <w:tblBorders>
          <w:top w:val="nil"/>
          <w:left w:val="nil"/>
          <w:bottom w:val="nil"/>
          <w:right w:val="nil"/>
          <w:insideH w:val="single" w:sz="4" w:space="0" w:color="auto"/>
          <w:insideV w:val="nil"/>
        </w:tblBorders>
        <w:tblCellMar>
          <w:top w:w="72" w:type="dxa"/>
          <w:left w:w="115" w:type="dxa"/>
          <w:bottom w:w="72" w:type="dxa"/>
          <w:right w:w="115" w:type="dxa"/>
        </w:tblCellMar>
        <w:tblLook w:val="04A0"/>
      </w:tblPr>
      <w:tblGrid>
        <w:gridCol w:w="2358"/>
        <w:gridCol w:w="7718"/>
      </w:tblGrid>
      <w:tr>
        <w:tblPrEx>
          <w:tblW w:w="0" w:type="auto"/>
          <w:tblInd w:w="0" w:type="dxa"/>
          <w:tblBorders>
            <w:top w:val="nil"/>
            <w:left w:val="nil"/>
            <w:bottom w:val="nil"/>
            <w:right w:val="nil"/>
            <w:insideH w:val="single" w:sz="4" w:space="0" w:color="auto"/>
            <w:insideV w:val="nil"/>
          </w:tblBorders>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Advisory Committee</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Arial" w:hAnsi="Arial" w:cs="Helvetica"/>
                <w:color w:val="000000"/>
                <w:sz w:val="20"/>
                <w:szCs w:val="20"/>
                <w:lang w:val="en-AU"/>
              </w:rPr>
            </w:pPr>
            <w:r>
              <w:rPr>
                <w:rFonts w:ascii="Helvetica" w:eastAsia="Arial" w:hAnsi="Helvetica" w:cs="Arial"/>
                <w:color w:val="000000"/>
                <w:sz w:val="22"/>
                <w:lang w:val="en-AU"/>
              </w:rP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Affirmation of Commitments Reviews</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The Affirmation of Commitments contains specific provisions for periodic review of four key ICANN objectives. These reviews provide a mechanism to assess and report on ICANN's progress toward fundamental organizational objectives; they are: 1) Ensuring</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 xml:space="preserve">ALAC — </w:t>
            </w:r>
            <w:r>
              <w:rPr>
                <w:rFonts w:ascii="Helvetica" w:eastAsia="Arial" w:hAnsi="Helvetica" w:cs="Arial"/>
                <w:b/>
                <w:color w:val="000000"/>
                <w:sz w:val="22"/>
                <w:lang w:val="en-AU"/>
              </w:rPr>
              <w:br/>
              <w:t>At-Large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Arial" w:eastAsia="Arial" w:hAnsi="Arial" w:cs="Helvetica"/>
                <w:color w:val="000000"/>
                <w:sz w:val="20"/>
                <w:szCs w:val="20"/>
                <w:lang w:val="en-AU"/>
              </w:rPr>
            </w:pPr>
            <w:r>
              <w:rPr>
                <w:rFonts w:ascii="Helvetica" w:eastAsia="Arial" w:hAnsi="Helvetica" w:cs="Arial"/>
                <w:color w:val="000000"/>
                <w:sz w:val="22"/>
                <w:lang w:val="en-AU"/>
              </w:rP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r>
              <w:rPr>
                <w:rFonts w:ascii="Helvetica" w:eastAsia="Arial" w:hAnsi="Helvetica" w:cs="Arial"/>
                <w:color w:val="000000"/>
                <w:sz w:val="22"/>
                <w:lang w:val="en-AU"/>
              </w:rPr>
              <w:br/>
            </w:r>
          </w:p>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 xml:space="preserve">ASO — </w:t>
            </w:r>
            <w:r>
              <w:rPr>
                <w:rFonts w:ascii="Helvetica" w:eastAsia="Arial" w:hAnsi="Helvetica" w:cs="Arial"/>
                <w:b/>
                <w:color w:val="000000"/>
                <w:sz w:val="22"/>
                <w:lang w:val="en-AU"/>
              </w:rPr>
              <w:br/>
              <w:t>Address Supporting Organization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ASO advises the ICANN Board of Directors on policy issues relating to the allocation and management of Internet Protocol (IP) addresses. The ASO selects two Directors for the ICANN Board.</w:t>
            </w:r>
          </w:p>
          <w:p>
            <w:pPr>
              <w:numPr>
                <w:ilvl w:val="0"/>
                <w:numId w:val="0"/>
              </w:numPr>
              <w:ind w:left="0" w:hanging="468"/>
              <w:rPr>
                <w:rStyle w:val="DefaultParagraphFont"/>
                <w:rFonts w:ascii="Arial" w:eastAsia="MS Mincho" w:hAnsi="Arial" w:cs="Helvetica"/>
                <w:color w:val="auto"/>
                <w:sz w:val="20"/>
                <w:szCs w:val="20"/>
                <w:lang w:val="en-US"/>
              </w:rPr>
            </w:pP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Bottom-up Processes</w:t>
            </w: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Arial" w:hAnsi="Helvetica" w:cs="Arial"/>
                <w:b/>
                <w:color w:val="000000"/>
                <w:sz w:val="22"/>
                <w:lang w:val="en-AU"/>
              </w:rPr>
            </w:pPr>
            <w:r>
              <w:rPr>
                <w:rFonts w:ascii="Helvetica" w:eastAsia="Arial" w:hAnsi="Helvetica" w:cs="Arial"/>
                <w:b/>
                <w:color w:val="000000"/>
                <w:sz w:val="22"/>
                <w:lang w:val="en-AU"/>
              </w:rPr>
              <w:t>Board Directors</w:t>
            </w:r>
          </w:p>
        </w:tc>
        <w:tc>
          <w:tcPr>
            <w:tcW w:w="7718" w:type="dxa"/>
          </w:tcPr>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Natural persons who direct the activities and affairs of a nonprofit corporation and exercise all of its corporate powers.  Board Directors are distinguished from observers, who can attend Board meetings but cannot vote.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ccNSO — The Country-Code Names Supporting Organization</w:t>
            </w: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The Country Code Names Supporting Organization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Membership in the ccNSO is open to all ccTLD managers responsible for managing an ISO 3166 country- code top-level domain.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ccTLD — Country Code Top Level Domain</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Some ICANN-accredited registrars provide registration services in the ccTLDs in addition to registering names in .biz, .com, .info, .name, .net and .org, however, ICANN does not specifically accredit registrars to provide ccTLD registration services.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 xml:space="preserve">For more information regarding registering names in ccTLDs, including a complete database of designated ccTLDs and managers, please refer to </w:t>
            </w:r>
            <w:r>
              <w:fldChar w:fldCharType="begin"/>
            </w:r>
            <w:r>
              <w:rPr>
                <w:rFonts w:ascii="Helvetica" w:eastAsia="Arial" w:hAnsi="Helvetica" w:cs="Arial"/>
                <w:color w:val="000000"/>
                <w:sz w:val="22"/>
                <w:lang w:val="en-AU"/>
              </w:rPr>
              <w:instrText xml:space="preserve"> HYPERLINK "http://www.iana.org/cctld/cctld.htm" </w:instrText>
            </w:r>
            <w:r>
              <w:fldChar w:fldCharType="separate"/>
            </w:r>
            <w:r>
              <w:rPr>
                <w:rStyle w:val="Hyperlink"/>
                <w:rFonts w:ascii="Helvetica" w:eastAsia="Arial" w:hAnsi="Helvetica" w:cs="Arial"/>
                <w:color w:val="0000FF" w:themeColor="hyperlink"/>
                <w:sz w:val="22"/>
                <w:u w:val="single"/>
                <w:lang w:val="en-AU"/>
              </w:rPr>
              <w:t>http://www.iana.org/cctld/cctld.htm</w:t>
            </w:r>
            <w:r>
              <w:fldChar w:fldCharType="end"/>
            </w:r>
            <w:r>
              <w:rPr>
                <w:rFonts w:ascii="Helvetica" w:eastAsia="Arial" w:hAnsi="Helvetica" w:cs="Arial"/>
                <w:color w:val="000000"/>
                <w:sz w:val="22"/>
                <w:lang w:val="en-AU"/>
              </w:rPr>
              <w: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CCWG-Accountability-</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Helvetica"/>
                <w:color w:val="000000"/>
                <w:sz w:val="22"/>
                <w:szCs w:val="22"/>
                <w:lang w:val="en-AU"/>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Consensus</w:t>
            </w:r>
          </w:p>
          <w:p>
            <w:pPr>
              <w:numPr>
                <w:numId w:val="24"/>
              </w:numPr>
              <w:ind w:left="360" w:hanging="450"/>
              <w:rPr>
                <w:rStyle w:val="DefaultParagraphFont"/>
                <w:rFonts w:ascii="Helvetica" w:eastAsia="MS Mincho" w:hAnsi="Helvetica" w:cs="Helvetica"/>
                <w:b/>
                <w:color w:val="auto"/>
                <w:sz w:val="22"/>
                <w:szCs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Consensus is a form of decision-making employed by various supporting organizations within ICANN. The method to establish whether one has reached consensus differs per supporting organization, for example, the following method is used in the GNSO:</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Full consensus - when no one in the group speaks against the recommendation in its last readings. This is also sometimes referred to as Unanimous Consensus.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Consensus - a position where only a small minority disagrees, but most agree.</w:t>
            </w:r>
            <w:r>
              <w:rPr>
                <w:rStyle w:val="FootnoteReference"/>
              </w:rPr>
              <w:footnoteReference w:id="9"/>
            </w:r>
            <w:r>
              <w:rPr>
                <w:rFonts w:ascii="Helvetica" w:eastAsia="Arial" w:hAnsi="Helvetica" w:cs="Arial"/>
                <w:color w:val="000000"/>
                <w:sz w:val="22"/>
                <w:lang w:val="en-AU"/>
              </w:rPr>
              <w:t xml:space="preserve">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Consolidated RIR IANA Stewardship Proposal Team</w:t>
            </w:r>
          </w:p>
          <w:p>
            <w:pPr>
              <w:numPr>
                <w:ilvl w:val="0"/>
                <w:numId w:val="0"/>
              </w:numPr>
              <w:ind w:left="-180" w:hanging="450"/>
              <w:rPr>
                <w:rStyle w:val="DefaultParagraphFont"/>
                <w:rFonts w:ascii="Helvetica" w:eastAsia="MS Mincho" w:hAnsi="Helvetica" w:cs="Times New Roman"/>
                <w:b/>
                <w:color w:val="auto"/>
                <w:sz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CWG-Stewardship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 xml:space="preserve">The Cross Community Working Group to Develop an IANA Stewardship Transition Proposal on Naming Related Functions (CWG-Stewardship) main goal is to produce a consolidated transition proposal for the elements of the IANA Functions related to the Domain Name System.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 xml:space="preserve">Designator </w:t>
            </w:r>
          </w:p>
          <w:p>
            <w:pPr>
              <w:numPr>
                <w:ilvl w:val="0"/>
                <w:numId w:val="0"/>
              </w:numPr>
              <w:ind w:left="360" w:hanging="450"/>
              <w:rPr>
                <w:rStyle w:val="DefaultParagraphFont"/>
                <w:rFonts w:ascii="Helvetica" w:eastAsia="MS Mincho" w:hAnsi="Helvetica" w:cs="Helvetica"/>
                <w:b/>
                <w:color w:val="auto"/>
                <w:sz w:val="22"/>
                <w:szCs w:val="22"/>
                <w:lang w:val="en-US"/>
              </w:rPr>
            </w:pPr>
          </w:p>
        </w:tc>
        <w:tc>
          <w:tcPr>
            <w:tcW w:w="7718" w:type="dxa"/>
          </w:tcPr>
          <w:p>
            <w:pPr>
              <w:numPr>
                <w:numId w:val="24"/>
              </w:numPr>
              <w:ind w:left="360" w:hanging="468"/>
              <w:rPr>
                <w:rStyle w:val="DefaultParagraphFont"/>
                <w:rFonts w:ascii="Helvetica" w:eastAsia="MS Mincho" w:hAnsi="Helvetica" w:cs="Times New Roman"/>
                <w:i/>
                <w:iCs/>
                <w:color w:val="auto"/>
                <w:sz w:val="22"/>
                <w:szCs w:val="22"/>
                <w:lang w:val="en-US"/>
              </w:rPr>
            </w:pPr>
            <w:r>
              <w:rPr>
                <w:rFonts w:ascii="Helvetica" w:eastAsia="Arial" w:hAnsi="Helvetica" w:cs="Arial"/>
                <w:color w:val="000000"/>
                <w:sz w:val="22"/>
                <w:lang w:val="en-AU"/>
              </w:rPr>
              <w:t>A person who is given the power in the Articles of Incorporation and/or Bylaws to fill one or more seats on the Board of Directors.  Generally, a designator also has the right to remove the directors it designated with or without cause. Designated directors cannot be removed by the Board or Members without the designator's consent.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Arial" w:hAnsi="Helvetica" w:cs="Helvetica"/>
                <w:b/>
                <w:color w:val="000000"/>
                <w:sz w:val="22"/>
                <w:szCs w:val="22"/>
                <w:lang w:val="en-AU"/>
              </w:rPr>
            </w:pPr>
            <w:r>
              <w:rPr>
                <w:rFonts w:ascii="Helvetica" w:eastAsia="Arial" w:hAnsi="Helvetica" w:cs="Arial"/>
                <w:b/>
                <w:color w:val="000000"/>
                <w:sz w:val="22"/>
                <w:lang w:val="en-AU"/>
              </w:rPr>
              <w:t xml:space="preserve">DNS — </w:t>
            </w:r>
            <w:r>
              <w:rPr>
                <w:rFonts w:ascii="Helvetica" w:eastAsia="Arial" w:hAnsi="Helvetica" w:cs="Arial"/>
                <w:b/>
                <w:color w:val="000000"/>
                <w:sz w:val="22"/>
                <w:lang w:val="en-AU"/>
              </w:rPr>
              <w:br/>
              <w:t>Domain Name System</w:t>
            </w:r>
          </w:p>
        </w:tc>
        <w:tc>
          <w:tcPr>
            <w:tcW w:w="7718" w:type="dxa"/>
          </w:tcPr>
          <w:p>
            <w:pPr>
              <w:numPr>
                <w:numId w:val="24"/>
              </w:numPr>
              <w:ind w:left="360" w:hanging="468"/>
              <w:rPr>
                <w:rStyle w:val="DefaultParagraphFont"/>
                <w:rFonts w:ascii="Helvetica" w:eastAsia="Arial" w:hAnsi="Helvetica" w:cs="Helvetica"/>
                <w:color w:val="000000"/>
                <w:sz w:val="22"/>
                <w:szCs w:val="22"/>
                <w:lang w:val="en-AU"/>
              </w:rPr>
            </w:pPr>
            <w:r>
              <w:rPr>
                <w:rFonts w:ascii="Helvetica" w:eastAsia="Arial" w:hAnsi="Helvetica" w:cs="Arial"/>
                <w:color w:val="000000"/>
                <w:sz w:val="22"/>
                <w:lang w:val="en-AU"/>
              </w:rPr>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Five-Year Operating Plan</w:t>
            </w:r>
          </w:p>
          <w:p>
            <w:pPr>
              <w:numPr>
                <w:numId w:val="24"/>
              </w:numPr>
              <w:ind w:left="360" w:hanging="450"/>
              <w:rPr>
                <w:rStyle w:val="DefaultParagraphFont"/>
                <w:rFonts w:ascii="Helvetica" w:eastAsia="Arial" w:hAnsi="Helvetica" w:cs="Arial"/>
                <w:b/>
                <w:color w:val="000000"/>
                <w:sz w:val="22"/>
                <w:lang w:val="en-AU"/>
              </w:rPr>
            </w:pPr>
          </w:p>
        </w:tc>
        <w:tc>
          <w:tcPr>
            <w:tcW w:w="7718" w:type="dxa"/>
          </w:tcPr>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Fundamental Bylaw</w:t>
            </w:r>
          </w:p>
          <w:p>
            <w:pPr>
              <w:numPr>
                <w:ilvl w:val="0"/>
                <w:numId w:val="0"/>
              </w:numPr>
              <w:ind w:left="360" w:hanging="450"/>
              <w:rPr>
                <w:rStyle w:val="DefaultParagraphFont"/>
                <w:rFonts w:ascii="Helvetica" w:eastAsia="MS Mincho" w:hAnsi="Helvetica" w:cs="Times New Roman"/>
                <w:b/>
                <w:color w:val="auto"/>
                <w:sz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concept of fundamental Bylaw is used to represent a Bylaw provision which the community wishes to protect from change by requiring a higher standard of community approval and ICANN Board voting threshold before it can be changed or removed.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GAC — Governmental Advisory Committee</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Thomas Schneider of Switzerland.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GNSO — Generic Names Supporting Organization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GNSO is the successor to the responsibilities of the Domain Name Supporting Organization (DNSO; see below) that relate to the generic top-level domains.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GNSO is the body of six constituencies, as follows: the Commercial and Business constituency, the gTLD Registry constituency, the ISP constituency, the non-commercial constituency, the registrar's constituency, and the IP constituency.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gTLD — </w:t>
            </w:r>
            <w:r>
              <w:rPr>
                <w:rFonts w:ascii="Helvetica" w:eastAsia="Arial" w:hAnsi="Helvetica" w:cs="Arial"/>
                <w:b/>
                <w:color w:val="000000"/>
                <w:sz w:val="22"/>
                <w:lang w:val="en-AU"/>
              </w:rPr>
              <w:br/>
              <w:t>Generic Top Level Domain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Most TLDs with three or more characters are referred to as "generic" TLDs, or "gTLDs". They can be subdivided into two types, "sponsored" TLDs (sTLDs) and "unsponsored TLDs (uTLDs), as described in more detail below.</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In the 1980s, seven gTLDs (.com, .edu, .gov, .int, .mil, .net, and .org) were created. Domain names may be registered in three of these (.com, .net, and .org) without restriction; the other four have limited purposes.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IANA — </w:t>
            </w:r>
            <w:r>
              <w:rPr>
                <w:rFonts w:ascii="Helvetica" w:eastAsia="Arial" w:hAnsi="Helvetica" w:cs="Arial"/>
                <w:b/>
                <w:color w:val="000000"/>
                <w:sz w:val="22"/>
                <w:lang w:val="en-AU"/>
              </w:rPr>
              <w:br/>
              <w:t>Internet Assigned Numbers Authority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IANA Stewardship Transition Coordination Group (ICG)</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numPr>
                <w:ilvl w:val="0"/>
                <w:numId w:val="0"/>
              </w:numPr>
              <w:ind w:left="360" w:hanging="468"/>
              <w:rPr>
                <w:rStyle w:val="DefaultParagraphFont"/>
                <w:rFonts w:ascii="Helvetica" w:eastAsia="MS Mincho" w:hAnsi="Helvetica" w:cs="Helvetica"/>
                <w:color w:val="auto"/>
                <w:sz w:val="22"/>
                <w:szCs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numPr>
                <w:ilvl w:val="0"/>
                <w:numId w:val="0"/>
              </w:numPr>
              <w:ind w:left="360" w:hanging="468"/>
              <w:rPr>
                <w:rStyle w:val="DefaultParagraphFont"/>
                <w:rFonts w:ascii="Helvetica" w:eastAsia="MS Mincho" w:hAnsi="Helvetica" w:cs="Helvetica"/>
                <w:color w:val="auto"/>
                <w:sz w:val="22"/>
                <w:szCs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ICG is focused on delivering a proposal to transition the stewardship of the IANA functions to the multistakeholder community.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IANAPLAN Working Group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The IETF established the IANAPLAN Working Group (IANAPLAN WG) to produce a proposal for the transition of IANA functions related to the maintaining of the codes and numbers contained in a variety of Internet protocols developed by the IETF.</w:t>
            </w:r>
          </w:p>
        </w:tc>
      </w:tr>
      <w:tr>
        <w:tblPrEx>
          <w:tblW w:w="0" w:type="auto"/>
          <w:tblInd w:w="0" w:type="dxa"/>
          <w:tblCellMar>
            <w:top w:w="72" w:type="dxa"/>
            <w:left w:w="115" w:type="dxa"/>
            <w:bottom w:w="72" w:type="dxa"/>
            <w:right w:w="115" w:type="dxa"/>
          </w:tblCellMar>
          <w:tblLook w:val="04A0"/>
        </w:tblPrEx>
        <w:trPr>
          <w:trHeight w:val="1874"/>
        </w:trPr>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ICANN — </w:t>
            </w:r>
            <w:r>
              <w:rPr>
                <w:rFonts w:ascii="Helvetica" w:eastAsia="Arial" w:hAnsi="Helvetica" w:cs="Arial"/>
                <w:b/>
                <w:color w:val="000000"/>
                <w:sz w:val="22"/>
                <w:lang w:val="en-AU"/>
              </w:rPr>
              <w:br/>
              <w:t>The Internet Corporation for Assigned Names and Numbers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IETF — </w:t>
            </w:r>
            <w:r>
              <w:rPr>
                <w:rFonts w:ascii="Helvetica" w:eastAsia="Arial" w:hAnsi="Helvetica" w:cs="Arial"/>
                <w:b/>
                <w:color w:val="000000"/>
                <w:sz w:val="22"/>
                <w:lang w:val="en-AU"/>
              </w:rPr>
              <w:br/>
              <w:t>Internet Engineering Task Force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Independent Review Process Panel</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 xml:space="preserve">Independent Review Process Panel (IRP Panel), is an independent panel of neutrals which shall be charged with comparing contested actions of the Board to the Articles of Incorporation and Bylaws, and with declaring whether the Board has acted consistently with the provisions of those Articles of Incorporation and Bylaws.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Internet Protocol (IP)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Member</w:t>
            </w:r>
          </w:p>
        </w:tc>
        <w:tc>
          <w:tcPr>
            <w:tcW w:w="7718" w:type="dxa"/>
          </w:tcPr>
          <w:p>
            <w:pPr>
              <w:numPr>
                <w:numId w:val="24"/>
              </w:numPr>
              <w:ind w:left="360" w:hanging="468"/>
              <w:rPr>
                <w:rStyle w:val="DefaultParagraphFont"/>
                <w:rFonts w:ascii="Helvetica" w:eastAsia="MS Mincho" w:hAnsi="Helvetica" w:cs="Times New Roman"/>
                <w:i/>
                <w:iCs/>
                <w:color w:val="auto"/>
                <w:sz w:val="22"/>
                <w:lang w:val="en-US"/>
              </w:rPr>
            </w:pPr>
            <w:r>
              <w:rPr>
                <w:rFonts w:ascii="Helvetica" w:eastAsia="Arial" w:hAnsi="Helvetica" w:cs="Arial"/>
                <w:color w:val="000000"/>
                <w:sz w:val="22"/>
                <w:lang w:val="en-AU"/>
              </w:rPr>
              <w:t>A person who under the Articles of Incorporation and/or Bylaws of a nonprofit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Multistakeholder Approach</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NETmundial Principles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Nominating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NTIA</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Ombudsman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ICANN Ombudsman investigates and addresses complaints brought by the ICANN community. The Ombudsman is independent, impartial, and neutral, a reviewer of facts and an investigator of complaints about unfairness.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PDP — </w:t>
            </w:r>
            <w:r>
              <w:rPr>
                <w:rFonts w:ascii="Helvetica" w:eastAsia="Arial" w:hAnsi="Helvetica" w:cs="Arial"/>
                <w:b/>
                <w:color w:val="000000"/>
                <w:sz w:val="22"/>
                <w:lang w:val="en-AU"/>
              </w:rPr>
              <w:br/>
              <w:t>Policy Development Process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A set of formal steps, as defined in the ICANN Bylaws, to guide the initiation, internal and external review, timing and approval of policies needed to coordinate the global Internet's system of unique identifiers.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Reconsideration Process​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Reconsideration Process​ is a ​mechanism to challenge staff action taken against ICANN policies, or Board actions taken without consideration of material information or based upon false or inaccurate information.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Registrar</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Domain names ending with .aero, .biz, .com, .coop, .info, .museum, .name, .net, .org, and .pro can be registered through many different companies (known as "registrars") that compete with one another. A listing of these companies appears in the Accredited Registrar Directory.</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Registry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Review Mechanisms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review mechanism is a process to assess how a decision or policy is being put in place. ICANN has a series of review mechanisms mandated in its Bylaws to ensure its accountability and transparency.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RIR — </w:t>
            </w:r>
            <w:r>
              <w:rPr>
                <w:rFonts w:ascii="Helvetica" w:eastAsia="Arial" w:hAnsi="Helvetica" w:cs="Arial"/>
                <w:b/>
                <w:color w:val="000000"/>
                <w:sz w:val="22"/>
                <w:lang w:val="en-AU"/>
              </w:rPr>
              <w:br/>
              <w:t>Regional Internet Registry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There are currently five RIRs: AfriNIC, APNIC, ARIN, LACNIC and RIPE NCC. These non-profit organizations are responsible for distributing and managing IP addresses on a regional level to Internet service providers and local registries.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Root Servers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Root Server System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role of the Root Server System Advisory Committee ("RSSAC") is to advise the ICANN community and Board on matters relating to the operation, administration, security, and integrity of the Internet's Root Server System.</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Root Zone</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 xml:space="preserve">The root zone is the central directory for the DNS, which is a key component in translating readable host names into numeric IP addresses. For more information see: </w:t>
            </w:r>
            <w:r>
              <w:fldChar w:fldCharType="begin"/>
            </w:r>
            <w:r>
              <w:rPr>
                <w:rFonts w:ascii="Helvetica" w:eastAsia="Arial" w:hAnsi="Helvetica" w:cs="Arial"/>
                <w:color w:val="000000"/>
                <w:sz w:val="22"/>
                <w:lang w:val="en-AU"/>
              </w:rPr>
              <w:instrText xml:space="preserve"> HYPERLINK "http://www.iana.org/domains/root/files" </w:instrText>
            </w:r>
            <w:r>
              <w:fldChar w:fldCharType="separate"/>
            </w:r>
            <w:r>
              <w:rPr>
                <w:rStyle w:val="Hyperlink"/>
                <w:rFonts w:ascii="Helvetica" w:eastAsia="Arial" w:hAnsi="Helvetica" w:cs="Arial"/>
                <w:color w:val="0000FF" w:themeColor="hyperlink"/>
                <w:sz w:val="22"/>
                <w:u w:val="single"/>
                <w:lang w:val="en-AU"/>
              </w:rPr>
              <w:t>www.iana.org/domains/root/files</w:t>
            </w:r>
            <w:r>
              <w:fldChar w:fldCharType="end"/>
            </w:r>
            <w:r>
              <w:rPr>
                <w:rFonts w:ascii="Helvetica" w:eastAsia="Arial" w:hAnsi="Helvetica" w:cs="Arial"/>
                <w:color w:val="000000"/>
                <w:sz w:val="22"/>
                <w:lang w:val="en-AU"/>
              </w:rPr>
              <w: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SO — Supporting Organizations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SOs are the three specialized advisory bodies that will advise the ICANN Board of Directors on issues relating to domain names (GNSO and CCNSO) and, IP addresses (ASO).</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SSAC — Security and Stability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Stakeholders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non-commercial interests – including non-commercial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Stress Test</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 xml:space="preserve">Stress Testing is a simulation exercise where a set of plausible, but not necessarily probable, hypothetical scenarios are used to gauge how certain events will affect a system, product, company or industry. The CWG-Stewardship is using stress tests to analyse certain ICANN and DNS ecosystem risks or contingencies can be mitigated by applying the accountability mechanisms available to the CCWG-Accountability.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TLD — </w:t>
            </w:r>
            <w:r>
              <w:rPr>
                <w:rFonts w:ascii="Helvetica" w:eastAsia="Arial" w:hAnsi="Helvetica" w:cs="Arial"/>
                <w:b/>
                <w:color w:val="000000"/>
                <w:sz w:val="22"/>
                <w:lang w:val="en-AU"/>
              </w:rPr>
              <w:br/>
              <w:t>Top-level Domain</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Work Streams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Work Stream 1: focused on mechanisms enhancing ICANN accountability that must be in place or committed to within the time frame of the IANA Stewardship Transition.</w:t>
            </w:r>
            <w:r>
              <w:rPr>
                <w:rFonts w:ascii="Helvetica" w:eastAsia="Arial" w:hAnsi="Helvetica" w:cs="Helvetica"/>
                <w:color w:val="000000"/>
                <w:sz w:val="22"/>
                <w:szCs w:val="22"/>
                <w:lang w:val="en-AU"/>
              </w:rPr>
              <w:br/>
            </w: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Work Stream 2: focused on addressing accountability topics for which a timeline for developing solutions and full implementation may extend beyond the IANA Stewardship Transition.</w:t>
            </w:r>
          </w:p>
        </w:tc>
      </w:tr>
    </w:tbl>
    <w:p>
      <w:pPr>
        <w:numPr>
          <w:ilvl w:val="0"/>
          <w:numId w:val="0"/>
        </w:numPr>
        <w:ind w:left="360"/>
        <w:rPr>
          <w:bCs/>
          <w:szCs w:val="22"/>
        </w:rPr>
      </w:pPr>
    </w:p>
    <w:sectPr>
      <w:headerReference w:type="even" r:id="rId11"/>
      <w:headerReference w:type="default" r:id="rId12"/>
      <w:footerReference w:type="even" r:id="rId13"/>
      <w:footerReference w:type="default" r:id="rId14"/>
      <w:footerReference w:type="first" r:id="rId15"/>
      <w:pgSz w:w="12240" w:h="15840"/>
      <w:pgMar w:top="2040" w:right="1260" w:bottom="1800" w:left="11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right" w:y="1"/>
    </w:pPr>
    <w:r>
      <w:fldChar w:fldCharType="begin"/>
    </w:r>
    <w:r>
      <w:instrText xml:space="preserve">PAGE  </w:instrText>
    </w:r>
    <w:r>
      <w:fldChar w:fldCharType="separate"/>
    </w:r>
    <w:r>
      <w:fldChar w:fldCharType="end"/>
    </w:r>
  </w:p>
  <w:p>
    <w:pPr>
      <w:ind w:right="360"/>
    </w:pPr>
  </w:p>
  <w:p/>
  <w:p/>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jc w:val="center"/>
      <w:rPr>
        <w:rStyle w:val="PageNumber"/>
      </w:rPr>
    </w:pPr>
    <w:r>
      <w:rPr>
        <w:rStyle w:val="PageNumber"/>
        <w:b/>
      </w:rPr>
      <w:br/>
    </w:r>
    <w:r>
      <w:rPr>
        <w:rStyle w:val="PageNumber"/>
      </w:rPr>
      <w:tab/>
    </w:r>
    <w:r>
      <w:rPr>
        <w:rFonts w:ascii="Arial" w:hAnsi="Arial" w:cs="Arial"/>
        <w:color w:val="1F497C"/>
        <w:sz w:val="20"/>
        <w:szCs w:val="20"/>
      </w:rPr>
      <w:t>Sidley Austin LLP and Adler &amp; Colvin Comment on CCWG Draft Proposal V.10</w:t>
    </w:r>
  </w:p>
  <w:p>
    <w:pPr>
      <w:pStyle w:val="Footer"/>
      <w:numPr>
        <w:ilvl w:val="0"/>
        <w:numId w:val="0"/>
      </w:numPr>
      <w:tabs>
        <w:tab w:val="clear" w:pos="8640"/>
        <w:tab w:val="right" w:pos="9810"/>
      </w:tabs>
      <w:ind w:left="360" w:hanging="360"/>
      <w:jc w:val="center"/>
      <w:rPr>
        <w:rStyle w:val="PageNumber"/>
      </w:rPr>
    </w:pPr>
  </w:p>
  <w:p>
    <w:pPr>
      <w:pStyle w:val="Footer"/>
      <w:numPr>
        <w:ilvl w:val="0"/>
        <w:numId w:val="0"/>
      </w:numPr>
      <w:tabs>
        <w:tab w:val="clear" w:pos="8640"/>
        <w:tab w:val="right" w:pos="9810"/>
      </w:tabs>
      <w:ind w:left="360" w:hanging="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102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jc w:val="center"/>
    </w:pPr>
    <w:r>
      <w:rPr>
        <w:rFonts w:ascii="Arial" w:hAnsi="Arial" w:cs="Arial"/>
        <w:color w:val="1F497C"/>
        <w:sz w:val="20"/>
        <w:szCs w:val="20"/>
      </w:rPr>
      <w:t>Sidley Austin LLP and Adler &amp; Colvin Comment on CCWG Draft Proposal V.10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p/>
    <w:p/>
    <w:p/>
  </w:footnote>
  <w:footnote w:type="continuationSeparator" w:id="1">
    <w:p>
      <w:r>
        <w:continuationSeparator/>
      </w:r>
    </w:p>
    <w:p/>
    <w:p/>
    <w:p/>
  </w:footnote>
  <w:footnote w:id="2">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Board Liaison would not participate in such a consensus call.</w:t>
      </w:r>
    </w:p>
  </w:footnote>
  <w:footnote w:id="3">
    <w:p>
      <w:pPr>
        <w:pStyle w:val="FootnoteText"/>
        <w:numPr>
          <w:ilvl w:val="0"/>
          <w:numId w:val="0"/>
        </w:num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staff representative would not participate in such a consensus call.</w:t>
      </w:r>
    </w:p>
  </w:footnote>
  <w:footnote w:id="4">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ATRT Expert would not participate in such a consensus call.</w:t>
      </w:r>
    </w:p>
  </w:footnote>
  <w:footnote w:id="5">
    <w:p>
      <w:pPr>
        <w:pStyle w:val="FootnoteText"/>
        <w:numPr>
          <w:ilvl w:val="0"/>
          <w:numId w:val="0"/>
        </w:numPr>
        <w:ind w:right="1220"/>
      </w:pPr>
      <w:r>
        <w:rPr>
          <w:rStyle w:val="FootnoteReference"/>
        </w:rPr>
        <w:footnoteRef/>
      </w:r>
      <w:r>
        <w:t xml:space="preserve"> </w:t>
      </w:r>
      <w:r>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6">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See page 11 of this PDF: </w:t>
      </w:r>
      <w:r>
        <w:fldChar w:fldCharType="begin"/>
      </w:r>
      <w:r>
        <w:instrText xml:space="preserve"> HYPERLINK "https://www.icann.org/en/system/files/files/draft-recommendations-15oct13-en.pdf" </w:instrText>
      </w:r>
      <w:r>
        <w:fldChar w:fldCharType="separate"/>
      </w:r>
      <w:r>
        <w:rPr>
          <w:rStyle w:val="Hyperlink"/>
          <w:rFonts w:ascii="Arial" w:eastAsia="Times New Roman" w:hAnsi="Arial" w:cs="Arial"/>
          <w:sz w:val="20"/>
          <w:szCs w:val="20"/>
        </w:rPr>
        <w:t>https://www.icann.org/en/system/files/files/draft-recommendations-15oct13-en.pdf</w:t>
      </w:r>
      <w:r>
        <w:fldChar w:fldCharType="end"/>
      </w:r>
    </w:p>
  </w:footnote>
  <w:footnote w:id="7">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ICANN Government Advisory Committee (GAC) - Operating Principles, October, 2011, at </w:t>
      </w:r>
      <w:r>
        <w:fldChar w:fldCharType="begin"/>
      </w:r>
      <w:r>
        <w:instrText xml:space="preserve"> HYPERLINK "https://gacweb.icann.org/display/gacweb/GAC+Operating+Principles" </w:instrText>
      </w:r>
      <w:r>
        <w:fldChar w:fldCharType="separate"/>
      </w:r>
      <w:r>
        <w:rPr>
          <w:rStyle w:val="Hyperlink"/>
          <w:rFonts w:ascii="Arial" w:eastAsia="Times New Roman" w:hAnsi="Arial" w:cs="Arial"/>
          <w:sz w:val="20"/>
          <w:szCs w:val="20"/>
        </w:rPr>
        <w:t>https://gacweb.icann.org/display/gacweb/GAC+Operating+Principles</w:t>
      </w:r>
      <w:r>
        <w:fldChar w:fldCharType="end"/>
      </w:r>
    </w:p>
  </w:footnote>
  <w:footnote w:id="8">
    <w:p>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r>
        <w:fldChar w:fldCharType="begin"/>
      </w:r>
      <w:r>
        <w:rPr/>
        <w:instrText xml:space="preserve"> HYPERLINK "https://gacweb.icann.org/display/gacweb/GAC+Operating+Principles" </w:instrText>
      </w:r>
      <w:r>
        <w:fldChar w:fldCharType="separate"/>
      </w:r>
      <w:r>
        <w:rPr>
          <w:rFonts w:ascii="Calibri" w:eastAsia="Calibri" w:hAnsi="Calibri" w:cs="Calibri"/>
          <w:color w:val="0000FF"/>
          <w:sz w:val="18"/>
          <w:u w:val="single"/>
        </w:rPr>
        <w:t>https://gacweb.icann.org/display/gacweb/GAC+Operating+Principles</w:t>
      </w:r>
      <w:r>
        <w:fldChar w:fldCharType="end"/>
      </w:r>
      <w:r>
        <w:rPr>
          <w:rFonts w:ascii="Calibri" w:eastAsia="Calibri" w:hAnsi="Calibri" w:cs="Calibri"/>
          <w:sz w:val="18"/>
        </w:rPr>
        <w:t xml:space="preserve"> </w:t>
      </w:r>
    </w:p>
  </w:footnote>
  <w:footnote w:id="9">
    <w:p>
      <w:pPr>
        <w:pStyle w:val="FootnoteText"/>
      </w:pPr>
      <w:r>
        <w:rPr>
          <w:rStyle w:val="FootnoteReference"/>
        </w:rPr>
        <w:footnoteRef/>
      </w:r>
      <w:r>
        <w:t xml:space="preserve"> </w:t>
      </w:r>
      <w:r>
        <w:rPr>
          <w:sz w:val="20"/>
          <w:szCs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numPr>
        <w:ilvl w:val="0"/>
        <w:numId w:val="0"/>
      </w:numPr>
      <w:ind w:left="360"/>
    </w:pPr>
  </w:p>
  <w:p>
    <w:pPr>
      <w:numPr>
        <w:ilvl w:val="0"/>
        <w:numId w:val="0"/>
      </w:numP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2C44B2"/>
    <w:multiLevelType w:val="hybridMultilevel"/>
    <w:tmpl w:val="CB46D702"/>
    <w:lvl w:ilvl="0">
      <w:start w:val="6"/>
      <w:numFmt w:val="bullet"/>
      <w:lvlText w:val="-"/>
      <w:lvlJc w:val="left"/>
      <w:pPr>
        <w:ind w:left="720" w:hanging="360"/>
      </w:pPr>
      <w:rPr>
        <w:rFonts w:ascii="Helvetica" w:eastAsia="MS Mincho" w:hAnsi="Helvetica"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21D34E7"/>
    <w:multiLevelType w:val="hybridMultilevel"/>
    <w:tmpl w:val="EA28BBC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start w:val="1"/>
      <w:numFmt w:val="lowerLetter"/>
      <w:lvlText w:val="%1)"/>
      <w:lvlJc w:val="left"/>
      <w:pPr>
        <w:ind w:left="540" w:hanging="360"/>
      </w:pPr>
      <w:rPr>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05D86943"/>
    <w:multiLevelType w:val="hybridMultilevel"/>
    <w:tmpl w:val="02C46358"/>
    <w:lvl w:ilvl="0">
      <w:start w:val="1"/>
      <w:numFmt w:val="decimal"/>
      <w:lvlText w:val="%1."/>
      <w:lvlJc w:val="left"/>
      <w:pPr>
        <w:ind w:left="1040" w:hanging="6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76550DF"/>
    <w:multiLevelType w:val="hybridMultilevel"/>
    <w:tmpl w:val="0B921D9E"/>
    <w:lvl w:ilvl="0">
      <w:start w:val="1"/>
      <w:numFmt w:val="decimal"/>
      <w:lvlText w:val="%1."/>
      <w:lvlJc w:val="left"/>
      <w:pPr>
        <w:ind w:left="1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86E0EB2"/>
    <w:multiLevelType w:val="hybridMultilevel"/>
    <w:tmpl w:val="812E503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C20397"/>
    <w:multiLevelType w:val="hybridMultilevel"/>
    <w:tmpl w:val="EA42897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C294363"/>
    <w:multiLevelType w:val="hybridMultilevel"/>
    <w:tmpl w:val="D9CAC99A"/>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F87700"/>
    <w:multiLevelType w:val="hybridMultilevel"/>
    <w:tmpl w:val="F3EC3E88"/>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02D4545"/>
    <w:multiLevelType w:val="hybridMultilevel"/>
    <w:tmpl w:val="546E5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542293"/>
    <w:multiLevelType w:val="hybridMultilevel"/>
    <w:tmpl w:val="BF967D84"/>
    <w:lvl w:ilvl="0">
      <w:start w:val="1"/>
      <w:numFmt w:val="lowerLetter"/>
      <w:lvlText w:val="%1."/>
      <w:lvlJc w:val="left"/>
      <w:pPr>
        <w:ind w:left="1440" w:hanging="360"/>
      </w:pPr>
      <w:rPr>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12267A9"/>
    <w:multiLevelType w:val="hybridMultilevel"/>
    <w:tmpl w:val="2FCC03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3E1B29"/>
    <w:multiLevelType w:val="hybridMultilevel"/>
    <w:tmpl w:val="45C4F7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276BE4"/>
    <w:multiLevelType w:val="hybridMultilevel"/>
    <w:tmpl w:val="9E4AF06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10B25"/>
    <w:multiLevelType w:val="hybridMultilevel"/>
    <w:tmpl w:val="1472DDF4"/>
    <w:lvl w:ilvl="0">
      <w:start w:val="1"/>
      <w:numFmt w:val="decimal"/>
      <w:lvlText w:val="%1."/>
      <w:lvlJc w:val="left"/>
      <w:pPr>
        <w:ind w:left="1040" w:hanging="68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DA86AA2"/>
    <w:multiLevelType w:val="hybridMultilevel"/>
    <w:tmpl w:val="249CDD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3">
    <w:nsid w:val="1EF54BF2"/>
    <w:multiLevelType w:val="hybridMultilevel"/>
    <w:tmpl w:val="B3F2E26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30119E5"/>
    <w:multiLevelType w:val="hybridMultilevel"/>
    <w:tmpl w:val="1E609A2C"/>
    <w:lvl w:ilvl="0">
      <w:start w:val="1"/>
      <w:numFmt w:val="decimal"/>
      <w:lvlText w:val="%1."/>
      <w:lvlJc w:val="left"/>
      <w:pPr>
        <w:ind w:left="420" w:hanging="4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5">
    <w:nsid w:val="23FC4287"/>
    <w:multiLevelType w:val="hybridMultilevel"/>
    <w:tmpl w:val="D778B3F8"/>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8">
    <w:nsid w:val="26845D28"/>
    <w:multiLevelType w:val="hybridMultilevel"/>
    <w:tmpl w:val="1DC696B6"/>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5A506F"/>
    <w:multiLevelType w:val="hybridMultilevel"/>
    <w:tmpl w:val="3828E432"/>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75E7DA0"/>
    <w:multiLevelType w:val="hybridMultilevel"/>
    <w:tmpl w:val="9092B8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7E6636E"/>
    <w:multiLevelType w:val="hybridMultilevel"/>
    <w:tmpl w:val="7B725304"/>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560E9D"/>
    <w:multiLevelType w:val="hybridMultilevel"/>
    <w:tmpl w:val="B7D27344"/>
    <w:lvl w:ilvl="0">
      <w:start w:val="1"/>
      <w:numFmt w:val="lowerLetter"/>
      <w:lvlText w:val="%1."/>
      <w:lvlJc w:val="left"/>
      <w:pPr>
        <w:ind w:left="144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2C6E292E"/>
    <w:multiLevelType w:val="hybridMultilevel"/>
    <w:tmpl w:val="DC6E0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C6E40E3"/>
    <w:multiLevelType w:val="hybridMultilevel"/>
    <w:tmpl w:val="1D382F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DFD7AB4"/>
    <w:multiLevelType w:val="hybridMultilevel"/>
    <w:tmpl w:val="3ECA18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E733D0B"/>
    <w:multiLevelType w:val="hybridMultilevel"/>
    <w:tmpl w:val="205831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EB1578"/>
    <w:multiLevelType w:val="hybridMultilevel"/>
    <w:tmpl w:val="0E7C041A"/>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22329BF"/>
    <w:multiLevelType w:val="hybridMultilevel"/>
    <w:tmpl w:val="B7EC71FA"/>
    <w:lvl w:ilvl="0">
      <w:start w:val="1"/>
      <w:numFmt w:val="decimal"/>
      <w:lvlText w:val="%1."/>
      <w:lvlJc w:val="left"/>
      <w:pPr>
        <w:ind w:left="720" w:hanging="360"/>
      </w:pPr>
      <w:rPr>
        <w:rFonts w:hint="default"/>
        <w:sz w:val="20"/>
        <w:szCs w:val="16"/>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32D85213"/>
    <w:multiLevelType w:val="hybridMultilevel"/>
    <w:tmpl w:val="C4D4A6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55B2E6F"/>
    <w:multiLevelType w:val="hybridMultilevel"/>
    <w:tmpl w:val="8708DF44"/>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6F04EAF"/>
    <w:multiLevelType w:val="hybridMultilevel"/>
    <w:tmpl w:val="B33CA1C6"/>
    <w:lvl w:ilvl="0">
      <w:start w:val="1"/>
      <w:numFmt w:val="decimalZero"/>
      <w:lvlText w:val="%1"/>
      <w:lvlJc w:val="left"/>
      <w:pPr>
        <w:ind w:left="360" w:hanging="360"/>
      </w:pPr>
      <w:rPr>
        <w:rFonts w:ascii="Times New Roman" w:hAnsi="Times New Roman" w:hint="default"/>
        <w:sz w:val="16"/>
        <w:szCs w:val="16"/>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37945C87"/>
    <w:multiLevelType w:val="hybridMultilevel"/>
    <w:tmpl w:val="FE222BD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A2F5278"/>
    <w:multiLevelType w:val="hybridMultilevel"/>
    <w:tmpl w:val="AE6863DE"/>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3C0373DC"/>
    <w:multiLevelType w:val="hybridMultilevel"/>
    <w:tmpl w:val="0586649E"/>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CB65515"/>
    <w:multiLevelType w:val="hybridMultilevel"/>
    <w:tmpl w:val="AB626F2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9">
    <w:nsid w:val="3FDC0AF3"/>
    <w:multiLevelType w:val="hybridMultilevel"/>
    <w:tmpl w:val="974A92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0954776"/>
    <w:multiLevelType w:val="hybridMultilevel"/>
    <w:tmpl w:val="8B4A195E"/>
    <w:lvl w:ilvl="0">
      <w:start w:val="1"/>
      <w:numFmt w:val="decimal"/>
      <w:lvlText w:val="%1."/>
      <w:lvlJc w:val="left"/>
      <w:pPr>
        <w:ind w:left="1807" w:hanging="360"/>
      </w:pPr>
    </w:lvl>
    <w:lvl w:ilvl="1" w:tentative="1">
      <w:start w:val="1"/>
      <w:numFmt w:val="lowerLetter"/>
      <w:lvlText w:val="%2."/>
      <w:lvlJc w:val="left"/>
      <w:pPr>
        <w:ind w:left="2527" w:hanging="360"/>
      </w:pPr>
    </w:lvl>
    <w:lvl w:ilvl="2" w:tentative="1">
      <w:start w:val="1"/>
      <w:numFmt w:val="lowerRoman"/>
      <w:lvlText w:val="%3."/>
      <w:lvlJc w:val="right"/>
      <w:pPr>
        <w:ind w:left="3247" w:hanging="180"/>
      </w:pPr>
    </w:lvl>
    <w:lvl w:ilvl="3" w:tentative="1">
      <w:start w:val="1"/>
      <w:numFmt w:val="decimal"/>
      <w:lvlText w:val="%4."/>
      <w:lvlJc w:val="left"/>
      <w:pPr>
        <w:ind w:left="3967" w:hanging="360"/>
      </w:pPr>
    </w:lvl>
    <w:lvl w:ilvl="4" w:tentative="1">
      <w:start w:val="1"/>
      <w:numFmt w:val="lowerLetter"/>
      <w:lvlText w:val="%5."/>
      <w:lvlJc w:val="left"/>
      <w:pPr>
        <w:ind w:left="4687" w:hanging="360"/>
      </w:pPr>
    </w:lvl>
    <w:lvl w:ilvl="5" w:tentative="1">
      <w:start w:val="1"/>
      <w:numFmt w:val="lowerRoman"/>
      <w:lvlText w:val="%6."/>
      <w:lvlJc w:val="right"/>
      <w:pPr>
        <w:ind w:left="5407" w:hanging="180"/>
      </w:pPr>
    </w:lvl>
    <w:lvl w:ilvl="6" w:tentative="1">
      <w:start w:val="1"/>
      <w:numFmt w:val="decimal"/>
      <w:lvlText w:val="%7."/>
      <w:lvlJc w:val="left"/>
      <w:pPr>
        <w:ind w:left="6127" w:hanging="360"/>
      </w:pPr>
    </w:lvl>
    <w:lvl w:ilvl="7" w:tentative="1">
      <w:start w:val="1"/>
      <w:numFmt w:val="lowerLetter"/>
      <w:lvlText w:val="%8."/>
      <w:lvlJc w:val="left"/>
      <w:pPr>
        <w:ind w:left="6847" w:hanging="360"/>
      </w:pPr>
    </w:lvl>
    <w:lvl w:ilvl="8" w:tentative="1">
      <w:start w:val="1"/>
      <w:numFmt w:val="lowerRoman"/>
      <w:lvlText w:val="%9."/>
      <w:lvlJc w:val="right"/>
      <w:pPr>
        <w:ind w:left="7567" w:hanging="180"/>
      </w:pPr>
    </w:lvl>
  </w:abstractNum>
  <w:abstractNum w:abstractNumId="51">
    <w:nsid w:val="40954C46"/>
    <w:multiLevelType w:val="hybridMultilevel"/>
    <w:tmpl w:val="C7E2C032"/>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3AD7B29"/>
    <w:multiLevelType w:val="hybridMultilevel"/>
    <w:tmpl w:val="670240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5325CC1"/>
    <w:multiLevelType w:val="hybridMultilevel"/>
    <w:tmpl w:val="A5AEB23C"/>
    <w:lvl w:ilvl="0">
      <w:start w:val="1"/>
      <w:numFmt w:val="decimal"/>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4538382C"/>
    <w:multiLevelType w:val="hybridMultilevel"/>
    <w:tmpl w:val="3828E432"/>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62D613D"/>
    <w:multiLevelType w:val="hybridMultilevel"/>
    <w:tmpl w:val="509C00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9603E15"/>
    <w:multiLevelType w:val="hybridMultilevel"/>
    <w:tmpl w:val="E892BC3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3C431D"/>
    <w:multiLevelType w:val="hybridMultilevel"/>
    <w:tmpl w:val="F2FC737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0">
    <w:nsid w:val="4D8D691A"/>
    <w:multiLevelType w:val="hybridMultilevel"/>
    <w:tmpl w:val="CE62273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1">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540E3D"/>
    <w:multiLevelType w:val="hybridMultilevel"/>
    <w:tmpl w:val="C2E2F34A"/>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8D2511"/>
    <w:multiLevelType w:val="hybridMultilevel"/>
    <w:tmpl w:val="6F188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6925B78"/>
    <w:multiLevelType w:val="hybridMultilevel"/>
    <w:tmpl w:val="7D7097F8"/>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7690FE7"/>
    <w:multiLevelType w:val="hybridMultilevel"/>
    <w:tmpl w:val="76F86B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7924926"/>
    <w:multiLevelType w:val="hybridMultilevel"/>
    <w:tmpl w:val="189A1D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nsid w:val="588E0868"/>
    <w:multiLevelType w:val="hybridMultilevel"/>
    <w:tmpl w:val="C81A38B8"/>
    <w:lvl w:ilvl="0">
      <w:start w:val="1"/>
      <w:numFmt w:val="decimal"/>
      <w:lvlText w:val="%1."/>
      <w:lvlJc w:val="left"/>
      <w:pPr>
        <w:ind w:left="1000" w:hanging="6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9056E05"/>
    <w:multiLevelType w:val="hybridMultilevel"/>
    <w:tmpl w:val="818C4A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5C7B1F48"/>
    <w:multiLevelType w:val="hybridMultilevel"/>
    <w:tmpl w:val="26422A96"/>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CCE043C"/>
    <w:multiLevelType w:val="hybridMultilevel"/>
    <w:tmpl w:val="09F092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D071DA8"/>
    <w:multiLevelType w:val="hybridMultilevel"/>
    <w:tmpl w:val="53FEC838"/>
    <w:lvl w:ilvl="0">
      <w:start w:val="1"/>
      <w:numFmt w:val="lowerLetter"/>
      <w:lvlText w:val="%1."/>
      <w:lvlJc w:val="left"/>
      <w:pPr>
        <w:ind w:left="360" w:hanging="360"/>
      </w:pPr>
    </w:lvl>
    <w:lvl w:ilvl="1">
      <w:start w:val="1"/>
      <w:numFmt w:val="lowerLetter"/>
      <w:lvlText w:val="%2."/>
      <w:lvlJc w:val="left"/>
      <w:pPr>
        <w:ind w:left="1080" w:hanging="360"/>
      </w:pPr>
    </w:lvl>
    <w:lvl w:ilvl="2">
      <w:start w:val="15"/>
      <w:numFmt w:val="decimal"/>
      <w:lvlText w:val="%3."/>
      <w:lvlJc w:val="left"/>
      <w:pPr>
        <w:ind w:left="1350" w:hanging="360"/>
      </w:pPr>
      <w:rPr>
        <w:rFonts w:hint="default"/>
        <w:color w:val="auto"/>
      </w:rPr>
    </w:lvl>
    <w:lvl w:ilvl="3">
      <w:start w:val="8"/>
      <w:numFmt w:val="decimal"/>
      <w:lvlText w:val="%4)"/>
      <w:lvlJc w:val="left"/>
      <w:pPr>
        <w:ind w:left="2520" w:hanging="360"/>
      </w:pPr>
      <w:rPr>
        <w:rFonts w:hint="default"/>
        <w:b w:val="0"/>
        <w:i w:val="0"/>
        <w:u w:val="none"/>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5E0D531E"/>
    <w:multiLevelType w:val="hybridMultilevel"/>
    <w:tmpl w:val="C90664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3">
    <w:nsid w:val="5EC4515A"/>
    <w:multiLevelType w:val="hybridMultilevel"/>
    <w:tmpl w:val="60A4D9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AA6674"/>
    <w:multiLevelType w:val="hybridMultilevel"/>
    <w:tmpl w:val="103AF1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3B01ACC"/>
    <w:multiLevelType w:val="hybridMultilevel"/>
    <w:tmpl w:val="7D5250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685712D4"/>
    <w:multiLevelType w:val="hybridMultilevel"/>
    <w:tmpl w:val="8FA05F10"/>
    <w:lvl w:ilvl="0">
      <w:start w:val="1"/>
      <w:numFmt w:val="decimalZero"/>
      <w:pStyle w:val="Normal"/>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0">
    <w:nsid w:val="6CB76FD7"/>
    <w:multiLevelType w:val="hybridMultilevel"/>
    <w:tmpl w:val="B53EA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6D0C35D7"/>
    <w:multiLevelType w:val="hybridMultilevel"/>
    <w:tmpl w:val="7408E2F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2">
    <w:nsid w:val="71CA17F0"/>
    <w:multiLevelType w:val="hybridMultilevel"/>
    <w:tmpl w:val="EDC4FAEC"/>
    <w:lvl w:ilvl="0">
      <w:start w:val="1"/>
      <w:numFmt w:val="decimal"/>
      <w:lvlText w:val="%1."/>
      <w:lvlJc w:val="left"/>
      <w:pPr>
        <w:ind w:left="18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27C5980"/>
    <w:multiLevelType w:val="hybridMultilevel"/>
    <w:tmpl w:val="AE8E0E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4">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75342B2A"/>
    <w:multiLevelType w:val="hybridMultilevel"/>
    <w:tmpl w:val="B030A5A0"/>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73F07AC"/>
    <w:multiLevelType w:val="hybridMultilevel"/>
    <w:tmpl w:val="166A2C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8">
    <w:nsid w:val="77780D00"/>
    <w:multiLevelType w:val="hybridMultilevel"/>
    <w:tmpl w:val="B770E4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9">
    <w:nsid w:val="7A281904"/>
    <w:multiLevelType w:val="hybridMultilevel"/>
    <w:tmpl w:val="BA4A3758"/>
    <w:lvl w:ilvl="0">
      <w:start w:val="1"/>
      <w:numFmt w:val="decimal"/>
      <w:lvlText w:val="%1."/>
      <w:lvlJc w:val="left"/>
      <w:pPr>
        <w:ind w:left="180" w:hanging="360"/>
      </w:pPr>
      <w:rPr>
        <w:i w:val="0"/>
      </w:rPr>
    </w:lvl>
    <w:lvl w:ilvl="1">
      <w:start w:val="1"/>
      <w:numFmt w:val="lowerLetter"/>
      <w:lvlText w:val="%2."/>
      <w:lvlJc w:val="left"/>
      <w:pPr>
        <w:ind w:left="900" w:hanging="360"/>
      </w:pPr>
    </w:lvl>
    <w:lvl w:ilvl="2">
      <w:start w:val="19"/>
      <w:numFmt w:val="decimal"/>
      <w:lvlText w:val="%3)"/>
      <w:lvlJc w:val="left"/>
      <w:pPr>
        <w:ind w:left="1800" w:hanging="360"/>
      </w:pPr>
      <w:rPr>
        <w:rFonts w:eastAsiaTheme="minorEastAsia" w:hint="default"/>
        <w:color w:val="000000"/>
      </w:r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0">
    <w:nsid w:val="7B827287"/>
    <w:multiLevelType w:val="hybridMultilevel"/>
    <w:tmpl w:val="CBCCDC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1">
    <w:nsid w:val="7C4F32E4"/>
    <w:multiLevelType w:val="hybridMultilevel"/>
    <w:tmpl w:val="443285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F8C65F9"/>
    <w:multiLevelType w:val="hybridMultilevel"/>
    <w:tmpl w:val="C010C4D8"/>
    <w:name w:val="zzmpARTICLEA||ARTICLE A|2|3|1|5|2|41||1|2|1||1|0|0||1|0|0||1|0|0||1|0|0||1|0|0||1|0|0||1|0|0||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hint="default"/>
      </w:rPr>
    </w:lvl>
    <w:lvl w:ilvl="8" w:tentative="1">
      <w:start w:val="1"/>
      <w:numFmt w:val="bullet"/>
      <w:lvlText w:val=""/>
      <w:lvlJc w:val="left"/>
      <w:pPr>
        <w:ind w:left="5940" w:hanging="360"/>
      </w:pPr>
      <w:rPr>
        <w:rFonts w:ascii="Wingdings" w:hAnsi="Wingdings" w:hint="default"/>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61"/>
    <w:lvlOverride w:ilvl="0">
      <w:lvl w:ilvl="0">
        <w:start w:val="0"/>
        <w:numFmt w:val="decimal"/>
        <w:lvlJc w:val="left"/>
      </w:lvl>
    </w:lvlOverride>
    <w:lvlOverride w:ilvl="1">
      <w:lvl w:ilvl="1">
        <w:start w:val="0"/>
        <w:numFmt w:val="decimal"/>
        <w:lvlJc w:val="left"/>
      </w:lvl>
    </w:lvlOverride>
    <w:lvlOverride w:ilvl="2">
      <w:lvl w:ilvl="2">
        <w:start w:val="0"/>
        <w:numFmt w:val="bullet"/>
        <w:lvlText w:val=""/>
        <w:lvlJc w:val="left"/>
        <w:pPr>
          <w:tabs>
            <w:tab w:val="num" w:pos="2160"/>
          </w:tabs>
          <w:ind w:left="2160" w:hanging="360"/>
        </w:pPr>
        <w:rPr>
          <w:rFonts w:ascii="Symbol" w:hAnsi="Symbol" w:hint="default"/>
          <w:sz w:val="20"/>
        </w:rPr>
      </w:lvl>
    </w:lvlOverride>
  </w:num>
  <w:num w:numId="12">
    <w:abstractNumId w:val="74"/>
    <w:lvlOverride w:ilvl="0">
      <w:lvl w:ilvl="0">
        <w:start w:val="0"/>
        <w:numFmt w:val="bullet"/>
        <w:lvlText w:val=""/>
        <w:lvlJc w:val="left"/>
        <w:pPr>
          <w:tabs>
            <w:tab w:val="num" w:pos="720"/>
          </w:tabs>
          <w:ind w:left="720" w:hanging="360"/>
        </w:pPr>
        <w:rPr>
          <w:rFonts w:ascii="Wingdings" w:hAnsi="Wingdings" w:hint="default"/>
          <w:sz w:val="20"/>
        </w:rPr>
      </w:lvl>
    </w:lvlOverride>
  </w:num>
  <w:num w:numId="13">
    <w:abstractNumId w:val="19"/>
    <w:lvlOverride w:ilvl="0">
      <w:lvl w:ilvl="0">
        <w:start w:va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60"/>
  </w:num>
  <w:num w:numId="16">
    <w:abstractNumId w:val="68"/>
  </w:num>
  <w:num w:numId="17">
    <w:abstractNumId w:val="52"/>
  </w:num>
  <w:num w:numId="18">
    <w:abstractNumId w:val="62"/>
  </w:num>
  <w:num w:numId="19">
    <w:abstractNumId w:val="40"/>
  </w:num>
  <w:num w:numId="20">
    <w:abstractNumId w:val="6"/>
  </w:num>
  <w:num w:numId="21">
    <w:abstractNumId w:val="64"/>
  </w:num>
  <w:num w:numId="22">
    <w:abstractNumId w:val="84"/>
  </w:num>
  <w:num w:numId="23">
    <w:abstractNumId w:val="14"/>
  </w:num>
  <w:num w:numId="24">
    <w:abstractNumId w:val="79"/>
  </w:num>
  <w:num w:numId="25">
    <w:abstractNumId w:val="41"/>
  </w:num>
  <w:num w:numId="26">
    <w:abstractNumId w:val="24"/>
  </w:num>
  <w:num w:numId="27">
    <w:abstractNumId w:val="1"/>
  </w:num>
  <w:num w:numId="28">
    <w:abstractNumId w:val="59"/>
  </w:num>
  <w:num w:numId="29">
    <w:abstractNumId w:val="54"/>
  </w:num>
  <w:num w:numId="30">
    <w:abstractNumId w:val="35"/>
  </w:num>
  <w:num w:numId="31">
    <w:abstractNumId w:val="9"/>
  </w:num>
  <w:num w:numId="32">
    <w:abstractNumId w:val="32"/>
  </w:num>
  <w:num w:numId="33">
    <w:abstractNumId w:val="38"/>
  </w:num>
  <w:num w:numId="34">
    <w:abstractNumId w:val="15"/>
  </w:num>
  <w:num w:numId="35">
    <w:abstractNumId w:val="92"/>
  </w:num>
  <w:num w:numId="36">
    <w:abstractNumId w:val="48"/>
  </w:num>
  <w:num w:numId="37">
    <w:abstractNumId w:val="27"/>
  </w:num>
  <w:num w:numId="38">
    <w:abstractNumId w:val="57"/>
  </w:num>
  <w:num w:numId="39">
    <w:abstractNumId w:val="86"/>
  </w:num>
  <w:num w:numId="40">
    <w:abstractNumId w:val="78"/>
  </w:num>
  <w:num w:numId="41">
    <w:abstractNumId w:val="89"/>
  </w:num>
  <w:num w:numId="42">
    <w:abstractNumId w:val="8"/>
  </w:num>
  <w:num w:numId="43">
    <w:abstractNumId w:val="82"/>
  </w:num>
  <w:num w:numId="44">
    <w:abstractNumId w:val="44"/>
  </w:num>
  <w:num w:numId="45">
    <w:abstractNumId w:val="26"/>
  </w:num>
  <w:num w:numId="46">
    <w:abstractNumId w:val="79"/>
    <w:lvlOverride w:ilvl="0">
      <w:startOverride w:val="1"/>
    </w:lvlOverride>
  </w:num>
  <w:num w:numId="47">
    <w:abstractNumId w:val="77"/>
  </w:num>
  <w:num w:numId="48">
    <w:abstractNumId w:val="87"/>
  </w:num>
  <w:num w:numId="49">
    <w:abstractNumId w:val="70"/>
  </w:num>
  <w:num w:numId="50">
    <w:abstractNumId w:val="55"/>
  </w:num>
  <w:num w:numId="51">
    <w:abstractNumId w:val="83"/>
  </w:num>
  <w:num w:numId="52">
    <w:abstractNumId w:val="36"/>
  </w:num>
  <w:num w:numId="53">
    <w:abstractNumId w:val="30"/>
  </w:num>
  <w:num w:numId="54">
    <w:abstractNumId w:val="65"/>
  </w:num>
  <w:num w:numId="55">
    <w:abstractNumId w:val="47"/>
  </w:num>
  <w:num w:numId="56">
    <w:abstractNumId w:val="5"/>
  </w:num>
  <w:num w:numId="57">
    <w:abstractNumId w:val="90"/>
  </w:num>
  <w:num w:numId="58">
    <w:abstractNumId w:val="45"/>
  </w:num>
  <w:num w:numId="59">
    <w:abstractNumId w:val="58"/>
  </w:num>
  <w:num w:numId="60">
    <w:abstractNumId w:val="17"/>
  </w:num>
  <w:num w:numId="61">
    <w:abstractNumId w:val="25"/>
  </w:num>
  <w:num w:numId="62">
    <w:abstractNumId w:val="3"/>
  </w:num>
  <w:num w:numId="63">
    <w:abstractNumId w:val="13"/>
  </w:num>
  <w:num w:numId="64">
    <w:abstractNumId w:val="39"/>
  </w:num>
  <w:num w:numId="65">
    <w:abstractNumId w:val="85"/>
  </w:num>
  <w:num w:numId="66">
    <w:abstractNumId w:val="75"/>
  </w:num>
  <w:num w:numId="67">
    <w:abstractNumId w:val="72"/>
  </w:num>
  <w:num w:numId="68">
    <w:abstractNumId w:val="73"/>
  </w:num>
  <w:num w:numId="69">
    <w:abstractNumId w:val="80"/>
  </w:num>
  <w:num w:numId="70">
    <w:abstractNumId w:val="21"/>
  </w:num>
  <w:num w:numId="71">
    <w:abstractNumId w:val="16"/>
  </w:num>
  <w:num w:numId="72">
    <w:abstractNumId w:val="63"/>
  </w:num>
  <w:num w:numId="73">
    <w:abstractNumId w:val="79"/>
    <w:lvlOverride w:ilvl="0">
      <w:startOverride w:val="1"/>
    </w:lvlOverride>
  </w:num>
  <w:num w:numId="74">
    <w:abstractNumId w:val="79"/>
    <w:lvlOverride w:ilvl="0">
      <w:startOverride w:val="1"/>
    </w:lvlOverride>
  </w:num>
  <w:num w:numId="75">
    <w:abstractNumId w:val="49"/>
  </w:num>
  <w:num w:numId="76">
    <w:abstractNumId w:val="33"/>
  </w:num>
  <w:num w:numId="77">
    <w:abstractNumId w:val="10"/>
  </w:num>
  <w:num w:numId="78">
    <w:abstractNumId w:val="91"/>
  </w:num>
  <w:num w:numId="79">
    <w:abstractNumId w:val="76"/>
  </w:num>
  <w:num w:numId="80">
    <w:abstractNumId w:val="50"/>
  </w:num>
  <w:num w:numId="81">
    <w:abstractNumId w:val="4"/>
  </w:num>
  <w:num w:numId="82">
    <w:abstractNumId w:val="69"/>
  </w:num>
  <w:num w:numId="83">
    <w:abstractNumId w:val="51"/>
  </w:num>
  <w:num w:numId="84">
    <w:abstractNumId w:val="28"/>
  </w:num>
  <w:num w:numId="85">
    <w:abstractNumId w:val="46"/>
  </w:num>
  <w:num w:numId="86">
    <w:abstractNumId w:val="31"/>
  </w:num>
  <w:num w:numId="87">
    <w:abstractNumId w:val="12"/>
  </w:num>
  <w:num w:numId="88">
    <w:abstractNumId w:val="56"/>
  </w:num>
  <w:num w:numId="89">
    <w:abstractNumId w:val="88"/>
  </w:num>
  <w:num w:numId="90">
    <w:abstractNumId w:val="42"/>
  </w:num>
  <w:num w:numId="91">
    <w:abstractNumId w:val="18"/>
  </w:num>
  <w:num w:numId="92">
    <w:abstractNumId w:val="66"/>
  </w:num>
  <w:num w:numId="93">
    <w:abstractNumId w:val="23"/>
  </w:num>
  <w:num w:numId="94">
    <w:abstractNumId w:val="11"/>
  </w:num>
  <w:num w:numId="95">
    <w:abstractNumId w:val="2"/>
  </w:num>
  <w:num w:numId="96">
    <w:abstractNumId w:val="79"/>
    <w:lvlOverride w:ilvl="0">
      <w:startOverride w:val="1"/>
    </w:lvlOverride>
  </w:num>
  <w:num w:numId="97">
    <w:abstractNumId w:val="79"/>
    <w:lvlOverride w:ilvl="0">
      <w:startOverride w:val="1"/>
    </w:lvlOverride>
  </w:num>
  <w:num w:numId="98">
    <w:abstractNumId w:val="79"/>
    <w:lvlOverride w:ilvl="0">
      <w:startOverride w:val="1"/>
    </w:lvlOverride>
  </w:num>
  <w:num w:numId="99">
    <w:abstractNumId w:val="79"/>
    <w:lvlOverride w:ilvl="0">
      <w:startOverride w:val="1"/>
    </w:lvlOverride>
  </w:num>
  <w:num w:numId="100">
    <w:abstractNumId w:val="79"/>
    <w:lvlOverride w:ilvl="0">
      <w:startOverride w:val="1"/>
    </w:lvlOverride>
  </w:num>
  <w:num w:numId="101">
    <w:abstractNumId w:val="79"/>
    <w:lvlOverride w:ilvl="0">
      <w:startOverride w:val="1"/>
    </w:lvlOverride>
  </w:num>
  <w:num w:numId="102">
    <w:abstractNumId w:val="79"/>
    <w:lvlOverride w:ilvl="0">
      <w:startOverride w:val="1"/>
    </w:lvlOverride>
  </w:num>
  <w:num w:numId="103">
    <w:abstractNumId w:val="79"/>
    <w:lvlOverride w:ilvl="0">
      <w:startOverride w:val="1"/>
    </w:lvlOverride>
  </w:num>
  <w:num w:numId="104">
    <w:abstractNumId w:val="79"/>
    <w:lvlOverride w:ilvl="0">
      <w:startOverride w:val="1"/>
    </w:lvlOverride>
  </w:num>
  <w:num w:numId="105">
    <w:abstractNumId w:val="79"/>
    <w:lvlOverride w:ilvl="0">
      <w:startOverride w:val="1"/>
    </w:lvlOverride>
  </w:num>
  <w:num w:numId="106">
    <w:abstractNumId w:val="79"/>
    <w:lvlOverride w:ilvl="0">
      <w:startOverride w:val="1"/>
    </w:lvlOverride>
  </w:num>
  <w:num w:numId="107">
    <w:abstractNumId w:val="79"/>
    <w:lvlOverride w:ilvl="0">
      <w:startOverride w:val="1"/>
    </w:lvlOverride>
  </w:num>
  <w:num w:numId="108">
    <w:abstractNumId w:val="79"/>
    <w:lvlOverride w:ilvl="0">
      <w:lvl w:ilvl="0">
        <w:start w:val="1"/>
        <w:numFmt w:val="decimalZero"/>
        <w:pStyle w:val="Normal"/>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109">
    <w:abstractNumId w:val="37"/>
    <w:lvlOverride w:ilvl="0">
      <w:lvl w:ilvl="0">
        <w:start w:val="1"/>
        <w:numFmt w:val="decimal"/>
        <w:lvlText w:val="%1."/>
        <w:lvlJc w:val="left"/>
        <w:pPr>
          <w:ind w:left="960" w:hanging="600"/>
        </w:pPr>
        <w:rPr>
          <w:b w:val="0"/>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11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defaultTabStop w:val="720"/>
  <w:hyphenationZone w:val="20"/>
  <w:doNotHyphenateCaps/>
  <w:characterSpacingControl w:val="doNotCompress"/>
  <w:doNotEmbedSmartTags/>
  <w:footnotePr>
    <w:footnote w:id="0"/>
    <w:footnote w:id="1"/>
  </w:footnotePr>
  <w:compat>
    <w:useFELayout/>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24"/>
      </w:numPr>
    </w:pPr>
    <w:rPr>
      <w:rFonts w:ascii="Helvetica" w:hAnsi="Helvetica"/>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Pr>
      <w:rFonts w:ascii="Helvetica" w:eastAsia="MS Gothic" w:hAnsi="Helvetica"/>
      <w:bCs/>
      <w:sz w:val="32"/>
      <w:szCs w:val="32"/>
    </w:rPr>
  </w:style>
  <w:style w:type="character" w:customStyle="1" w:styleId="Heading3Char">
    <w:name w:val="Heading 3 Char"/>
    <w:link w:val="Heading3"/>
    <w:uiPriority w:val="9"/>
    <w:rPr>
      <w:rFonts w:ascii="Helvetica" w:hAnsi="Helvetica"/>
      <w:bCs/>
      <w:sz w:val="28"/>
      <w:szCs w:val="27"/>
    </w:rPr>
  </w:style>
  <w:style w:type="character" w:customStyle="1" w:styleId="Heading4Char">
    <w:name w:val="Heading 4 Char"/>
    <w:link w:val="Heading4"/>
    <w:uiPriority w:val="9"/>
    <w:rPr>
      <w:rFonts w:ascii="Helvetica" w:eastAsia="MS Gothic" w:hAnsi="Helvetica"/>
      <w:b/>
      <w:bCs/>
      <w:caps/>
      <w:sz w:val="22"/>
      <w:szCs w:val="22"/>
    </w:rPr>
  </w:style>
  <w:style w:type="character" w:customStyle="1" w:styleId="SectionTile">
    <w:name w:val="Section Tile"/>
    <w:uiPriority w:val="1"/>
    <w:qFormat/>
    <w:rPr>
      <w:rFonts w:ascii="Helvetica" w:hAnsi="Helvetica"/>
      <w:b/>
      <w:i w:val="0"/>
      <w:color w:val="1768B1"/>
      <w:sz w:val="56"/>
      <w:szCs w:val="56"/>
    </w:rPr>
  </w:style>
  <w:style w:type="character" w:customStyle="1" w:styleId="Introductorytext">
    <w:name w:val="Introductory text"/>
    <w:uiPriority w:val="1"/>
    <w:qFormat/>
    <w:rPr>
      <w:rFonts w:ascii="Source Sans Pro" w:hAnsi="Source Sans Pro"/>
      <w:sz w:val="28"/>
    </w:rPr>
  </w:style>
  <w:style w:type="paragraph" w:styleId="NoSpacing">
    <w:name w:val="No Spacing"/>
    <w:next w:val="Normal"/>
    <w:uiPriority w:val="1"/>
    <w:qFormat/>
    <w:pPr>
      <w:ind w:right="2520"/>
    </w:pPr>
    <w:rPr>
      <w:rFonts w:ascii="Source Sans Pro" w:hAnsi="Source Sans Pro"/>
      <w:sz w:val="22"/>
    </w:rPr>
  </w:style>
  <w:style w:type="paragraph" w:customStyle="1" w:styleId="Paragraph">
    <w:name w:val="Paragraph"/>
    <w:qFormat/>
    <w:pPr>
      <w:ind w:right="2520"/>
    </w:pPr>
    <w:rPr>
      <w:rFonts w:ascii="Source Sans Pro" w:hAnsi="Source Sans Pro"/>
      <w:sz w:val="22"/>
    </w:rPr>
  </w:style>
  <w:style w:type="paragraph" w:styleId="Title">
    <w:name w:val="Title"/>
    <w:basedOn w:val="Normal"/>
    <w:next w:val="Normal"/>
    <w:link w:val="TitleChar"/>
    <w:uiPriority w:val="10"/>
    <w:qFormat/>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Pr>
      <w:rFonts w:ascii="Calibri" w:eastAsia="MS Gothic" w:hAnsi="Calibri"/>
      <w:color w:val="17365D"/>
      <w:spacing w:val="5"/>
      <w:kern w:val="28"/>
      <w:sz w:val="52"/>
      <w:szCs w:val="52"/>
    </w:rPr>
  </w:style>
  <w:style w:type="character" w:customStyle="1" w:styleId="TableofContents1">
    <w:name w:val="Table of Contents 1"/>
    <w:uiPriority w:val="1"/>
    <w:qFormat/>
    <w:rPr>
      <w:sz w:val="24"/>
      <w:szCs w:val="24"/>
    </w:rPr>
  </w:style>
  <w:style w:type="paragraph" w:customStyle="1" w:styleId="ParagraphTOC">
    <w:name w:val="Paragraph TOC"/>
    <w:basedOn w:val="Normal"/>
    <w:qFormat/>
    <w:pPr>
      <w:spacing w:line="360" w:lineRule="auto"/>
      <w:ind w:left="920"/>
    </w:pPr>
    <w:rPr>
      <w:b/>
      <w:bCs/>
      <w:noProof/>
      <w:szCs w:val="22"/>
      <w:u w:val="single" w:color="1768B1"/>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Helvetica" w:hAnsi="Helvetica"/>
      <w:sz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ascii="Helvetica" w:hAnsi="Helvetica"/>
      <w:sz w:val="22"/>
    </w:rPr>
  </w:style>
  <w:style w:type="character" w:customStyle="1" w:styleId="TableofContents2">
    <w:name w:val="Table of Contents 2"/>
    <w:uiPriority w:val="1"/>
    <w:qFormat/>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Bullets">
    <w:name w:val="Bullets"/>
    <w:basedOn w:val="Normal"/>
    <w:autoRedefine/>
    <w:qFormat/>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rFonts w:ascii="Helvetica" w:hAnsi="Helvetica"/>
    </w:rPr>
  </w:style>
  <w:style w:type="paragraph" w:styleId="EndnoteText">
    <w:name w:val="endnote text"/>
    <w:basedOn w:val="Normal"/>
    <w:link w:val="EndnoteTextChar"/>
    <w:uiPriority w:val="99"/>
    <w:unhideWhenUsed/>
    <w:rPr>
      <w:sz w:val="24"/>
    </w:rPr>
  </w:style>
  <w:style w:type="character" w:customStyle="1" w:styleId="EndnoteTextChar">
    <w:name w:val="Endnote Text Char"/>
    <w:basedOn w:val="DefaultParagraphFont"/>
    <w:link w:val="EndnoteText"/>
    <w:uiPriority w:val="99"/>
    <w:rPr>
      <w:rFonts w:ascii="Helvetica" w:hAnsi="Helvetica"/>
    </w:rPr>
  </w:style>
  <w:style w:type="character" w:styleId="CommentReference">
    <w:name w:val="annotation reference"/>
    <w:basedOn w:val="DefaultParagraphFont"/>
    <w:uiPriority w:val="99"/>
    <w:semiHidden/>
    <w:unhideWhenUsed/>
    <w:rPr>
      <w:sz w:val="16"/>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unhideWhenUsed/>
    <w:qFormat/>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hAnsi="Helvetica"/>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Helvetica" w:hAnsi="Helvetica"/>
      <w:b/>
      <w:bCs/>
      <w:sz w:val="20"/>
      <w:szCs w:val="20"/>
    </w:rPr>
  </w:style>
  <w:style w:type="paragraph" w:styleId="Revision">
    <w:name w:val="Revision"/>
    <w:hidden/>
    <w:uiPriority w:val="99"/>
    <w:semiHidden/>
    <w:rPr>
      <w:rFonts w:ascii="Source Sans Pro" w:hAnsi="Source Sans Pro"/>
      <w:sz w:val="22"/>
    </w:rPr>
  </w:style>
  <w:style w:type="paragraph" w:styleId="NormalWeb">
    <w:name w:val="Normal (Web)"/>
    <w:basedOn w:val="Normal"/>
    <w:uiPriority w:val="99"/>
    <w:unhideWhenUsed/>
    <w:pPr>
      <w:spacing w:before="100" w:beforeAutospacing="1" w:after="100" w:afterAutospacing="1"/>
    </w:pPr>
    <w:rPr>
      <w:rFonts w:ascii="Times" w:hAnsi="Times" w:eastAsiaTheme="minorEastAsia"/>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Helvetica" w:hAnsi="Helvetica"/>
      <w:i/>
      <w:iCs/>
      <w:color w:val="000000" w:themeColor="text1"/>
      <w:sz w:val="22"/>
    </w:rPr>
  </w:style>
  <w:style w:type="paragraph" w:styleId="TOCHeading">
    <w:name w:val="TOC Heading"/>
    <w:basedOn w:val="Heading1"/>
    <w:next w:val="Normal"/>
    <w:uiPriority w:val="39"/>
    <w:unhideWhenUsed/>
    <w:qFormat/>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pPr>
      <w:spacing w:before="120"/>
      <w:ind w:left="0"/>
    </w:pPr>
    <w:rPr>
      <w:rFonts w:asciiTheme="minorHAnsi" w:hAnsiTheme="minorHAnsi"/>
      <w:b/>
      <w:caps/>
      <w:szCs w:val="22"/>
    </w:rPr>
  </w:style>
  <w:style w:type="paragraph" w:styleId="TOC2">
    <w:name w:val="toc 2"/>
    <w:basedOn w:val="Normal"/>
    <w:next w:val="Normal"/>
    <w:autoRedefine/>
    <w:uiPriority w:val="39"/>
    <w:unhideWhenUsed/>
    <w:pPr>
      <w:ind w:left="220"/>
    </w:pPr>
    <w:rPr>
      <w:rFonts w:asciiTheme="minorHAnsi" w:hAnsiTheme="minorHAnsi"/>
      <w:smallCaps/>
      <w:szCs w:val="22"/>
    </w:rPr>
  </w:style>
  <w:style w:type="paragraph" w:styleId="TOC3">
    <w:name w:val="toc 3"/>
    <w:basedOn w:val="Normal"/>
    <w:next w:val="Normal"/>
    <w:autoRedefine/>
    <w:uiPriority w:val="39"/>
    <w:unhideWhenUsed/>
    <w:pPr>
      <w:ind w:left="440"/>
    </w:pPr>
    <w:rPr>
      <w:rFonts w:asciiTheme="minorHAnsi" w:hAnsiTheme="minorHAnsi"/>
      <w:i/>
      <w:szCs w:val="22"/>
    </w:rPr>
  </w:style>
  <w:style w:type="paragraph" w:styleId="TOC5">
    <w:name w:val="toc 5"/>
    <w:basedOn w:val="Normal"/>
    <w:next w:val="Normal"/>
    <w:autoRedefine/>
    <w:uiPriority w:val="39"/>
    <w:unhideWhenUsed/>
    <w:pPr>
      <w:ind w:left="880"/>
    </w:pPr>
    <w:rPr>
      <w:rFonts w:asciiTheme="minorHAnsi" w:hAnsiTheme="minorHAnsi"/>
      <w:sz w:val="18"/>
      <w:szCs w:val="18"/>
    </w:rPr>
  </w:style>
  <w:style w:type="paragraph" w:styleId="TOC4">
    <w:name w:val="toc 4"/>
    <w:basedOn w:val="Normal"/>
    <w:next w:val="Normal"/>
    <w:autoRedefine/>
    <w:uiPriority w:val="39"/>
    <w:semiHidden/>
    <w:unhideWhenUsed/>
    <w:pPr>
      <w:ind w:left="660"/>
    </w:pPr>
    <w:rPr>
      <w:rFonts w:asciiTheme="minorHAnsi" w:hAnsiTheme="minorHAnsi"/>
      <w:sz w:val="18"/>
      <w:szCs w:val="18"/>
    </w:rPr>
  </w:style>
  <w:style w:type="paragraph" w:styleId="TOC6">
    <w:name w:val="toc 6"/>
    <w:basedOn w:val="Normal"/>
    <w:next w:val="Normal"/>
    <w:autoRedefine/>
    <w:uiPriority w:val="39"/>
    <w:semiHidden/>
    <w:unhideWhenUsed/>
    <w:pPr>
      <w:ind w:left="1100"/>
    </w:pPr>
    <w:rPr>
      <w:rFonts w:asciiTheme="minorHAnsi" w:hAnsiTheme="minorHAnsi"/>
      <w:sz w:val="18"/>
      <w:szCs w:val="18"/>
    </w:rPr>
  </w:style>
  <w:style w:type="paragraph" w:styleId="TOC7">
    <w:name w:val="toc 7"/>
    <w:basedOn w:val="Normal"/>
    <w:next w:val="Normal"/>
    <w:autoRedefine/>
    <w:uiPriority w:val="39"/>
    <w:semiHidden/>
    <w:unhideWhenUsed/>
    <w:pPr>
      <w:ind w:left="1320"/>
    </w:pPr>
    <w:rPr>
      <w:rFonts w:asciiTheme="minorHAnsi" w:hAnsiTheme="minorHAnsi"/>
      <w:sz w:val="18"/>
      <w:szCs w:val="18"/>
    </w:rPr>
  </w:style>
  <w:style w:type="paragraph" w:styleId="TOC8">
    <w:name w:val="toc 8"/>
    <w:basedOn w:val="Normal"/>
    <w:next w:val="Normal"/>
    <w:autoRedefine/>
    <w:uiPriority w:val="39"/>
    <w:semiHidden/>
    <w:unhideWhenUsed/>
    <w:pPr>
      <w:ind w:left="1540"/>
    </w:pPr>
    <w:rPr>
      <w:rFonts w:asciiTheme="minorHAnsi" w:hAnsiTheme="minorHAnsi"/>
      <w:sz w:val="18"/>
      <w:szCs w:val="18"/>
    </w:rPr>
  </w:style>
  <w:style w:type="paragraph" w:styleId="TOC9">
    <w:name w:val="toc 9"/>
    <w:basedOn w:val="Normal"/>
    <w:next w:val="Normal"/>
    <w:autoRedefine/>
    <w:uiPriority w:val="39"/>
    <w:semiHidden/>
    <w:unhideWhenUsed/>
    <w:pPr>
      <w:ind w:left="1760"/>
    </w:pPr>
    <w:rPr>
      <w:rFonts w:asciiTheme="minorHAnsi" w:hAnsiTheme="minorHAnsi"/>
      <w:sz w:val="18"/>
      <w:szCs w:val="18"/>
    </w:rPr>
  </w:style>
  <w:style w:type="paragraph" w:customStyle="1" w:styleId="ARTICLEAL1">
    <w:name w:val="ARTICLEA_L1"/>
    <w:basedOn w:val="Normal"/>
    <w:next w:val="BodyText"/>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pPr>
      <w:numPr>
        <w:ilvl w:val="5"/>
      </w:numPr>
      <w:tabs>
        <w:tab w:val="num" w:pos="720"/>
      </w:tabs>
      <w:ind w:left="720" w:hanging="720"/>
      <w:outlineLvl w:val="5"/>
    </w:pPr>
  </w:style>
  <w:style w:type="paragraph" w:customStyle="1" w:styleId="ARTICLEAL7">
    <w:name w:val="ARTICLEA_L7"/>
    <w:basedOn w:val="ARTICLEAL6"/>
    <w:next w:val="BodyText"/>
    <w:pPr>
      <w:numPr>
        <w:ilvl w:val="6"/>
      </w:numPr>
      <w:tabs>
        <w:tab w:val="num" w:pos="720"/>
      </w:tabs>
      <w:ind w:left="720"/>
      <w:outlineLvl w:val="6"/>
    </w:pPr>
  </w:style>
  <w:style w:type="paragraph" w:customStyle="1" w:styleId="ARTICLEAL8">
    <w:name w:val="ARTICLEA_L8"/>
    <w:basedOn w:val="ARTICLEAL7"/>
    <w:next w:val="BodyText"/>
    <w:pPr>
      <w:numPr>
        <w:ilvl w:val="7"/>
      </w:numPr>
      <w:tabs>
        <w:tab w:val="num" w:pos="720"/>
      </w:tabs>
      <w:ind w:left="720"/>
      <w:outlineLvl w:val="7"/>
    </w:pPr>
  </w:style>
  <w:style w:type="paragraph" w:customStyle="1" w:styleId="ARTICLEAL9">
    <w:name w:val="ARTICLEA_L9"/>
    <w:basedOn w:val="ARTICLEAL8"/>
    <w:next w:val="BodyText"/>
    <w:pPr>
      <w:numPr>
        <w:ilvl w:val="8"/>
      </w:numPr>
      <w:tabs>
        <w:tab w:val="num" w:pos="720"/>
      </w:tabs>
      <w:ind w:left="720"/>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Helvetica" w:hAnsi="Helvetica"/>
      <w:sz w:val="22"/>
    </w:rPr>
  </w:style>
  <w:style w:type="paragraph" w:customStyle="1" w:styleId="Normal1">
    <w:name w:val="Normal1"/>
    <w:pPr>
      <w:spacing w:line="276" w:lineRule="auto"/>
    </w:pPr>
    <w:rPr>
      <w:rFonts w:ascii="Arial" w:eastAsia="Arial" w:hAnsi="Arial" w:cs="Arial"/>
      <w:color w:val="000000"/>
      <w:sz w:val="22"/>
      <w:lang w:val="en-AU"/>
    </w:rPr>
  </w:style>
  <w:style w:type="table" w:styleId="TableGrid">
    <w:name w:val="Table Grid"/>
    <w:basedOn w:val="TableNormal"/>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Pr>
      <w:rFonts w:ascii="Times New Roman" w:eastAsia="Times New Roman" w:hAnsi="Times New Roman"/>
      <w:color w:val="000000"/>
    </w:rPr>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unhideWhenUsed/>
    <w:rPr>
      <w:rFonts w:ascii="Lucida Grande" w:hAnsi="Lucida Grande" w:cs="Lucida Grande"/>
      <w:sz w:val="24"/>
    </w:rPr>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7636-1793-4C5D-911F-5EC392E3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36321</Words>
  <Characters>207032</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2015-05-02T21:44:44Z</dcterms:created>
  <dcterms:modified xsi:type="dcterms:W3CDTF">2015-05-02T21:44:44Z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207401096v.10</vt:lpwstr>
  </property>
</Properties>
</file>