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170"/>
      </w:tblGrid>
      <w:tr w:rsidR="00C831D7" w14:paraId="470598AF" w14:textId="77777777" w:rsidTr="00C831D7">
        <w:tc>
          <w:tcPr>
            <w:tcW w:w="2695" w:type="dxa"/>
            <w:shd w:val="clear" w:color="auto" w:fill="E7E6E6" w:themeFill="background2"/>
          </w:tcPr>
          <w:p w14:paraId="5F5E7CEB" w14:textId="194C2EDA" w:rsidR="00DD45EE" w:rsidRPr="00E34892" w:rsidRDefault="00DD45EE" w:rsidP="00FA2254">
            <w:pPr>
              <w:rPr>
                <w:b/>
                <w:sz w:val="22"/>
                <w:szCs w:val="22"/>
              </w:rPr>
            </w:pPr>
            <w:r w:rsidRPr="00E34892">
              <w:rPr>
                <w:b/>
                <w:sz w:val="22"/>
                <w:szCs w:val="22"/>
              </w:rPr>
              <w:t>Charter Question #</w:t>
            </w:r>
            <w:r w:rsidR="00FA225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170" w:type="dxa"/>
          </w:tcPr>
          <w:p w14:paraId="46EB2C0C" w14:textId="18356FF1" w:rsidR="00DD45EE" w:rsidRPr="00FA2254" w:rsidRDefault="00FA2254" w:rsidP="00FA2254">
            <w:pPr>
              <w:pStyle w:val="p1"/>
            </w:pPr>
            <w:r w:rsidRPr="00FA2254">
              <w:rPr>
                <w:rFonts w:asciiTheme="minorHAnsi" w:hAnsiTheme="minorHAnsi"/>
                <w:sz w:val="22"/>
                <w:szCs w:val="22"/>
              </w:rPr>
              <w:t>Should a review mechanism be put in place to address possible adjustments to the framework</w:t>
            </w:r>
            <w:r w:rsidRPr="00FA22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2254">
              <w:rPr>
                <w:rFonts w:asciiTheme="minorHAnsi" w:hAnsiTheme="minorHAnsi"/>
                <w:sz w:val="22"/>
                <w:szCs w:val="22"/>
              </w:rPr>
              <w:t>following the completion of the CCWGs work and implementation of the framework should changes</w:t>
            </w:r>
            <w:r w:rsidRPr="00FA22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2254">
              <w:rPr>
                <w:rFonts w:asciiTheme="minorHAnsi" w:hAnsiTheme="minorHAnsi"/>
                <w:sz w:val="22"/>
                <w:szCs w:val="22"/>
              </w:rPr>
              <w:t>occur that affect the original recommendations (for example, changes to legal and fiduciary</w:t>
            </w:r>
            <w:r w:rsidRPr="00FA22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2254">
              <w:rPr>
                <w:rFonts w:asciiTheme="minorHAnsi" w:hAnsiTheme="minorHAnsi"/>
                <w:sz w:val="22"/>
                <w:szCs w:val="22"/>
              </w:rPr>
              <w:t>requirements and/or changes to ICANN’s mission)?</w:t>
            </w:r>
          </w:p>
        </w:tc>
      </w:tr>
      <w:tr w:rsidR="00C831D7" w14:paraId="112E74D9" w14:textId="77777777" w:rsidTr="00C831D7">
        <w:tc>
          <w:tcPr>
            <w:tcW w:w="2695" w:type="dxa"/>
            <w:shd w:val="clear" w:color="auto" w:fill="E7E6E6" w:themeFill="background2"/>
          </w:tcPr>
          <w:p w14:paraId="3CBF40A0" w14:textId="77777777" w:rsidR="00DD45EE" w:rsidRPr="00E34892" w:rsidRDefault="00DD45EE" w:rsidP="00C831D7">
            <w:pPr>
              <w:rPr>
                <w:b/>
                <w:sz w:val="22"/>
                <w:szCs w:val="22"/>
              </w:rPr>
            </w:pPr>
            <w:r w:rsidRPr="00E34892">
              <w:rPr>
                <w:b/>
                <w:sz w:val="22"/>
                <w:szCs w:val="22"/>
              </w:rPr>
              <w:t xml:space="preserve">Initial Responses (summary – for full responses, see </w:t>
            </w:r>
            <w:hyperlink r:id="rId5" w:history="1">
              <w:r w:rsidR="00C831D7" w:rsidRPr="00E34892">
                <w:rPr>
                  <w:rStyle w:val="Hyperlink"/>
                  <w:b/>
                  <w:sz w:val="22"/>
                  <w:szCs w:val="22"/>
                </w:rPr>
                <w:t>here</w:t>
              </w:r>
            </w:hyperlink>
            <w:r w:rsidRPr="00E34892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10170" w:type="dxa"/>
          </w:tcPr>
          <w:p w14:paraId="19C0054F" w14:textId="170B7879" w:rsidR="003B57A5" w:rsidRPr="003B57A5" w:rsidRDefault="003B57A5" w:rsidP="003B57A5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3B57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Yes - having the agency within ICANN, at arm's length, literally, is the easiest way to solve that issue. </w:t>
            </w:r>
          </w:p>
          <w:p w14:paraId="5EA3469C" w14:textId="77777777" w:rsidR="00AE4F7A" w:rsidRPr="00AE4F7A" w:rsidRDefault="003B57A5" w:rsidP="00AE4F7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3B57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review could be useful (in addition to external Audit) and it </w:t>
            </w:r>
            <w:proofErr w:type="spellStart"/>
            <w:r w:rsidRPr="003B57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should</w:t>
            </w:r>
          </w:p>
          <w:p w14:paraId="56B7E1AD" w14:textId="77777777" w:rsidR="00AE4F7A" w:rsidRPr="00AE4F7A" w:rsidRDefault="00AE4F7A" w:rsidP="00AE4F7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</w:t>
            </w:r>
            <w:r w:rsidRPr="00AE4F7A">
              <w:rPr>
                <w:rFonts w:ascii="Calibri" w:hAnsi="Calibri" w:cs="Times New Roman"/>
                <w:color w:val="000000"/>
                <w:sz w:val="22"/>
                <w:szCs w:val="22"/>
              </w:rPr>
              <w:t>eviews are important, as mechanisms to improve, be transparent and plan for future development. They offer opportunities for innovation, steer direction, fine-tuning strategy. A combination of internal and external reviews is desirable to capture a multi-faceted process. Review processes should not be used to change purpose without the support of the same community that provided the original mandate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– if this is deemed necessary, a community process should be used</w:t>
            </w:r>
            <w:r w:rsidRPr="00AE4F7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 </w:t>
            </w:r>
          </w:p>
          <w:p w14:paraId="4FC8D0BE" w14:textId="77777777" w:rsidR="004C316E" w:rsidRPr="004C316E" w:rsidRDefault="00AE4F7A" w:rsidP="004C316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AE4F7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Involving the community </w:t>
            </w:r>
            <w:r w:rsidR="00816F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would be important.</w:t>
            </w:r>
          </w:p>
          <w:p w14:paraId="101F05CE" w14:textId="6679B791" w:rsidR="004C3CE7" w:rsidRPr="004C316E" w:rsidRDefault="004C316E" w:rsidP="003B57A5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4C316E">
              <w:rPr>
                <w:rFonts w:ascii="Calibri" w:hAnsi="Calibri" w:cs="Times New Roman"/>
                <w:color w:val="000000"/>
                <w:sz w:val="22"/>
                <w:szCs w:val="22"/>
              </w:rPr>
              <w:t>This could very well be considered to apply as a 'safety mechanism'.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It could serve as </w:t>
            </w:r>
            <w:r w:rsidRPr="004C3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an intermediate quality-check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which could result in immediate corrections, for example cancelling remaining grants.  </w:t>
            </w:r>
            <w:r w:rsidRPr="004C31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31D7" w:rsidRPr="00032A62" w14:paraId="085CFB9D" w14:textId="77777777" w:rsidTr="00C831D7">
        <w:tc>
          <w:tcPr>
            <w:tcW w:w="2695" w:type="dxa"/>
            <w:shd w:val="clear" w:color="auto" w:fill="E7E6E6" w:themeFill="background2"/>
          </w:tcPr>
          <w:p w14:paraId="3E456779" w14:textId="368F997A" w:rsidR="00DD45EE" w:rsidRPr="00E34892" w:rsidRDefault="00C831D7">
            <w:pPr>
              <w:rPr>
                <w:b/>
                <w:sz w:val="22"/>
                <w:szCs w:val="22"/>
              </w:rPr>
            </w:pPr>
            <w:r w:rsidRPr="00E34892">
              <w:rPr>
                <w:b/>
                <w:sz w:val="22"/>
                <w:szCs w:val="22"/>
              </w:rPr>
              <w:t>Order in which this question should be dealt with</w:t>
            </w:r>
          </w:p>
        </w:tc>
        <w:tc>
          <w:tcPr>
            <w:tcW w:w="10170" w:type="dxa"/>
          </w:tcPr>
          <w:p w14:paraId="079F611B" w14:textId="7811D705" w:rsidR="004C3CE7" w:rsidRPr="004C3CE7" w:rsidRDefault="004C3CE7" w:rsidP="004C316E">
            <w:pPr>
              <w:pStyle w:val="p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CE7">
              <w:rPr>
                <w:rFonts w:asciiTheme="minorHAnsi" w:hAnsiTheme="minorHAnsi"/>
                <w:sz w:val="22"/>
                <w:szCs w:val="22"/>
              </w:rPr>
              <w:t xml:space="preserve">Response to this question </w:t>
            </w:r>
            <w:r w:rsidR="004C316E">
              <w:rPr>
                <w:rFonts w:asciiTheme="minorHAnsi" w:hAnsiTheme="minorHAnsi"/>
                <w:sz w:val="22"/>
                <w:szCs w:val="22"/>
              </w:rPr>
              <w:t xml:space="preserve">will likely depend on preferred framework / mechanism. </w:t>
            </w:r>
            <w:r w:rsidRPr="004C3C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831D7" w14:paraId="63935F33" w14:textId="77777777" w:rsidTr="00C831D7">
        <w:tc>
          <w:tcPr>
            <w:tcW w:w="2695" w:type="dxa"/>
            <w:shd w:val="clear" w:color="auto" w:fill="E7E6E6" w:themeFill="background2"/>
          </w:tcPr>
          <w:p w14:paraId="722D6F5A" w14:textId="77777777" w:rsidR="00DD45EE" w:rsidRPr="00E34892" w:rsidRDefault="00C831D7">
            <w:pPr>
              <w:rPr>
                <w:b/>
                <w:sz w:val="22"/>
                <w:szCs w:val="22"/>
              </w:rPr>
            </w:pPr>
            <w:r w:rsidRPr="00E34892">
              <w:rPr>
                <w:b/>
                <w:sz w:val="22"/>
                <w:szCs w:val="22"/>
              </w:rPr>
              <w:t>Sub-questions or clarifications needed</w:t>
            </w:r>
          </w:p>
        </w:tc>
        <w:tc>
          <w:tcPr>
            <w:tcW w:w="10170" w:type="dxa"/>
          </w:tcPr>
          <w:p w14:paraId="5415CE2C" w14:textId="5F72D6AC" w:rsidR="00DD45EE" w:rsidRPr="00831E18" w:rsidRDefault="00DD45EE" w:rsidP="00831E18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31D7" w14:paraId="741539FB" w14:textId="77777777" w:rsidTr="00C831D7">
        <w:tc>
          <w:tcPr>
            <w:tcW w:w="2695" w:type="dxa"/>
            <w:shd w:val="clear" w:color="auto" w:fill="E7E6E6" w:themeFill="background2"/>
          </w:tcPr>
          <w:p w14:paraId="27B812FA" w14:textId="77777777" w:rsidR="00C831D7" w:rsidRPr="00E34892" w:rsidRDefault="00C831D7">
            <w:pPr>
              <w:rPr>
                <w:b/>
                <w:sz w:val="22"/>
                <w:szCs w:val="22"/>
              </w:rPr>
            </w:pPr>
            <w:r w:rsidRPr="00E34892">
              <w:rPr>
                <w:b/>
                <w:sz w:val="22"/>
                <w:szCs w:val="22"/>
              </w:rPr>
              <w:t>(External) Expertise required?</w:t>
            </w:r>
          </w:p>
        </w:tc>
        <w:tc>
          <w:tcPr>
            <w:tcW w:w="10170" w:type="dxa"/>
          </w:tcPr>
          <w:p w14:paraId="53A26810" w14:textId="77777777" w:rsidR="00DB3E92" w:rsidRDefault="004C316E" w:rsidP="00895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and fiduciary requirements</w:t>
            </w:r>
          </w:p>
          <w:p w14:paraId="5BBCC66D" w14:textId="5EA2A8D4" w:rsidR="004C316E" w:rsidRPr="00E34892" w:rsidRDefault="004C316E" w:rsidP="00895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 requirements</w:t>
            </w:r>
            <w:bookmarkStart w:id="0" w:name="_GoBack"/>
            <w:bookmarkEnd w:id="0"/>
          </w:p>
        </w:tc>
      </w:tr>
    </w:tbl>
    <w:p w14:paraId="6D5E5215" w14:textId="187F1704" w:rsidR="000E7792" w:rsidRDefault="004C316E"/>
    <w:sectPr w:rsidR="000E7792" w:rsidSect="00C831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134"/>
    <w:multiLevelType w:val="hybridMultilevel"/>
    <w:tmpl w:val="EA929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12803"/>
    <w:multiLevelType w:val="hybridMultilevel"/>
    <w:tmpl w:val="32929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8578B"/>
    <w:multiLevelType w:val="hybridMultilevel"/>
    <w:tmpl w:val="59D22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3E3593"/>
    <w:multiLevelType w:val="multilevel"/>
    <w:tmpl w:val="173474C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2964B4"/>
    <w:multiLevelType w:val="multilevel"/>
    <w:tmpl w:val="1E0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37F43"/>
    <w:multiLevelType w:val="hybridMultilevel"/>
    <w:tmpl w:val="F404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6D6950"/>
    <w:multiLevelType w:val="hybridMultilevel"/>
    <w:tmpl w:val="FE883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E"/>
    <w:rsid w:val="00032A62"/>
    <w:rsid w:val="000769BD"/>
    <w:rsid w:val="00280346"/>
    <w:rsid w:val="003677C5"/>
    <w:rsid w:val="003B57A5"/>
    <w:rsid w:val="004A6873"/>
    <w:rsid w:val="004C316E"/>
    <w:rsid w:val="004C3CE7"/>
    <w:rsid w:val="0051066F"/>
    <w:rsid w:val="005F63F1"/>
    <w:rsid w:val="006F7F87"/>
    <w:rsid w:val="007528EB"/>
    <w:rsid w:val="00816F1D"/>
    <w:rsid w:val="00831E18"/>
    <w:rsid w:val="00895D9D"/>
    <w:rsid w:val="008E3A71"/>
    <w:rsid w:val="00A11DD0"/>
    <w:rsid w:val="00A61D68"/>
    <w:rsid w:val="00AE4F7A"/>
    <w:rsid w:val="00B06800"/>
    <w:rsid w:val="00C7576E"/>
    <w:rsid w:val="00C831D7"/>
    <w:rsid w:val="00D14E20"/>
    <w:rsid w:val="00D9672E"/>
    <w:rsid w:val="00DB3E92"/>
    <w:rsid w:val="00DD45EE"/>
    <w:rsid w:val="00E34892"/>
    <w:rsid w:val="00EF38F3"/>
    <w:rsid w:val="00F22A2D"/>
    <w:rsid w:val="00F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545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DD45EE"/>
    <w:rPr>
      <w:rFonts w:ascii="Helvetica" w:hAnsi="Helvetica" w:cs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DD45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QN7zarCr2c-2BVv3pfa6Z5O10pDcgHSIQ5Q3CBdX2WE/ed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2017-05-08T16:59:00Z</dcterms:created>
  <dcterms:modified xsi:type="dcterms:W3CDTF">2017-05-08T16:59:00Z</dcterms:modified>
</cp:coreProperties>
</file>