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E22CF15" w:rsidR="006E2417" w:rsidRDefault="00A517A9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i63ts0lzlnx0" w:colFirst="0" w:colLast="0"/>
      <w:bookmarkEnd w:id="0"/>
      <w:r>
        <w:t>Creation of an Auction Proceeds Program Review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6E2417" w:rsidRDefault="006E2417"/>
    <w:p w14:paraId="00000003" w14:textId="77777777" w:rsidR="006E2417" w:rsidRDefault="00A51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CCWG-AP proposes that an Auction Proceeds  Program Review 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Panel [Committee]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established, which 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will [may]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ICANN community volunteers, as well as invited external experts with expertise in evaluating grant processes.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04" w14:textId="6EC70201" w:rsidR="006E2417" w:rsidRDefault="00A517A9">
      <w:pPr>
        <w:rPr>
          <w:rFonts w:ascii="Times New Roman" w:eastAsia="Times New Roman" w:hAnsi="Times New Roman" w:cs="Times New Roman"/>
          <w:sz w:val="24"/>
          <w:szCs w:val="24"/>
        </w:rPr>
      </w:pP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[Participants should be c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ompensated, based on the work expected.]</w:t>
      </w:r>
    </w:p>
    <w:p w14:paraId="00000005" w14:textId="77777777" w:rsidR="006E2417" w:rsidRDefault="00A517A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Auction Proceeds Review Panel (APRP) will be a community-based group to review the Auction Proceeds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process.</w:t>
      </w:r>
    </w:p>
    <w:p w14:paraId="17D49781" w14:textId="77777777" w:rsidR="006A4355" w:rsidRDefault="00A517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consist of up to two members from each ICANN SO/AC (or </w:t>
      </w:r>
      <w:r>
        <w:rPr>
          <w:rFonts w:ascii="Times New Roman" w:eastAsia="Times New Roman" w:hAnsi="Times New Roman" w:cs="Times New Roman"/>
          <w:sz w:val="24"/>
          <w:szCs w:val="24"/>
        </w:rPr>
        <w:t>fewer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an SO/AC so chooses to not participate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 [plus up to four independently s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elected members from the larger ICANN participating community</w:t>
      </w:r>
      <w:proofErr w:type="gramStart"/>
      <w:r w:rsidR="006A4355"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][</w:t>
      </w:r>
      <w:proofErr w:type="gramEnd"/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more GNSO members]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plus up to four </w:t>
      </w:r>
      <w:r>
        <w:rPr>
          <w:rFonts w:ascii="Times New Roman" w:eastAsia="Times New Roman" w:hAnsi="Times New Roman" w:cs="Times New Roman"/>
          <w:sz w:val="24"/>
          <w:szCs w:val="24"/>
        </w:rPr>
        <w:t>external members chosen based on their expertise in granting processes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are nominated by SO/ACs through their own respective processes, factoring in the required expertise, skills and commitments required. The Boar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ICANN will also accept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elf nomination</w:t>
      </w:r>
      <w:r w:rsidR="006A435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A435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appointment of up to four independent participants.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AC/SO Chairs will make the final selection of the nominations coming from the SO/AC for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to serve for a two-year term. </w:t>
      </w:r>
    </w:p>
    <w:p w14:paraId="00000006" w14:textId="51C4DE18" w:rsidR="006E2417" w:rsidRDefault="00A517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prime function of the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to perfo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 an annual review (starting at the end of year 2) of the ongoing operational process including an assessment of approved projects vs auction proceeds goals and an assessment </w:t>
      </w:r>
      <w:r>
        <w:rPr>
          <w:rFonts w:ascii="Times New Roman" w:eastAsia="Times New Roman" w:hAnsi="Times New Roman" w:cs="Times New Roman"/>
          <w:sz w:val="24"/>
          <w:szCs w:val="24"/>
        </w:rPr>
        <w:t>of the success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funded projects (based on interim and final assessments 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 the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7" w14:textId="08891B55" w:rsidR="006E2417" w:rsidRDefault="00A517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function is over and above any internal reviews of its processes performed by the selected Mechanism, or financial audits that may be performed, but other types of reviews/audits may be used by the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8" w14:textId="77777777" w:rsidR="006E2417" w:rsidRDefault="00A517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z w:val="24"/>
          <w:szCs w:val="24"/>
        </w:rPr>
        <w:t>PRP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provide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 the ICANN Board, the Mechanism, the ICANN community and the Auction Proceeds Program Evaluation Panel (see below).</w:t>
      </w:r>
    </w:p>
    <w:p w14:paraId="00000009" w14:textId="77777777" w:rsidR="006E2417" w:rsidRPr="006A4355" w:rsidRDefault="00A517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At the request of the external project evaluation group, the A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PRP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may be asked for guidance and/or clarification by the evaluation grou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p. Such Guidance or clarification may be desired to address general issues or specific project applications,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but all such requests will be general in nature and MUST not reference application specifics. The ability to provide such clarification/guidance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is essential to ensure that omissions during the design and implementation 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phases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do not significantly impact the operational processes.]</w:t>
      </w:r>
    </w:p>
    <w:p w14:paraId="0000000A" w14:textId="19D139AA" w:rsidR="006E2417" w:rsidRDefault="00A517A9">
      <w:pPr>
        <w:pStyle w:val="Heading2"/>
      </w:pPr>
      <w:r>
        <w:lastRenderedPageBreak/>
        <w:t>Creation</w:t>
      </w:r>
      <w:r w:rsidR="006A4355">
        <w:t xml:space="preserve"> of a Program Assessment Panel</w:t>
      </w:r>
      <w:bookmarkStart w:id="1" w:name="_GoBack"/>
      <w:bookmarkEnd w:id="1"/>
    </w:p>
    <w:p w14:paraId="0000000B" w14:textId="47667EC5" w:rsidR="006E2417" w:rsidRDefault="00A517A9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Program Assessment Panel (PAP) will be chartered by the ICANN Board Organi</w:t>
      </w:r>
      <w:r>
        <w:rPr>
          <w:rFonts w:ascii="Times New Roman" w:eastAsia="Times New Roman" w:hAnsi="Times New Roman" w:cs="Times New Roman"/>
          <w:sz w:val="24"/>
          <w:szCs w:val="24"/>
        </w:rPr>
        <w:t>zational Effectiveness Committee (OEC) to allow for an assessment of the entire Auction Proceeds program</w:t>
      </w:r>
      <w:r>
        <w:rPr>
          <w:rFonts w:ascii="Times New Roman" w:eastAsia="Times New Roman" w:hAnsi="Times New Roman" w:cs="Times New Roman"/>
          <w:sz w:val="24"/>
          <w:szCs w:val="24"/>
        </w:rPr>
        <w:t>. Such review may include all aspects of the programs operation as well as the program goals and project criteria. Such an evaluation can be 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by experienced ICANN community members, by an expert group that is hired to do the work, or preferably a combination of the two working as a team. Any recommendations developed by the Program Evaluation Panel will be provided to the full ICANN community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a publicly available report, to the ICANN Board and ICANN org, for further consideration, including community consultation. </w:t>
      </w:r>
    </w:p>
    <w:p w14:paraId="0000000C" w14:textId="77777777" w:rsidR="006E2417" w:rsidRPr="006A4355" w:rsidRDefault="00A5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First evaluation after 3 years of operation and thereafter every third year.][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T</w:t>
      </w:r>
      <w:r w:rsidRPr="006A435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he recommendation to initiate a PAP may come from the </w:t>
      </w:r>
      <w:r w:rsidRPr="006A4355">
        <w:rPr>
          <w:rFonts w:ascii="Times New Roman" w:eastAsia="Times New Roman" w:hAnsi="Times New Roman" w:cs="Times New Roman"/>
          <w:sz w:val="24"/>
          <w:szCs w:val="24"/>
          <w:highlight w:val="yellow"/>
        </w:rPr>
        <w:t>APRP or from the OEC.]</w:t>
      </w:r>
    </w:p>
    <w:p w14:paraId="0000000D" w14:textId="77777777" w:rsidR="006E2417" w:rsidRDefault="00A5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part of its overall review, the PAP will also review whether and how the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continued.</w:t>
      </w:r>
    </w:p>
    <w:p w14:paraId="0000000E" w14:textId="77777777" w:rsidR="006E2417" w:rsidRDefault="00A5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Detailed goals of EP shall get defined by the Implementation Team. </w:t>
      </w:r>
    </w:p>
    <w:p w14:paraId="0000000F" w14:textId="77777777" w:rsidR="006E2417" w:rsidRDefault="006E2417"/>
    <w:sectPr w:rsidR="006E241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38164" w14:textId="77777777" w:rsidR="00A517A9" w:rsidRDefault="00A517A9">
      <w:pPr>
        <w:spacing w:after="0" w:line="240" w:lineRule="auto"/>
      </w:pPr>
      <w:r>
        <w:separator/>
      </w:r>
    </w:p>
  </w:endnote>
  <w:endnote w:type="continuationSeparator" w:id="0">
    <w:p w14:paraId="7625C068" w14:textId="77777777" w:rsidR="00A517A9" w:rsidRDefault="00A5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DB29" w14:textId="77777777" w:rsidR="00A517A9" w:rsidRDefault="00A517A9">
      <w:pPr>
        <w:spacing w:after="0" w:line="240" w:lineRule="auto"/>
      </w:pPr>
      <w:r>
        <w:separator/>
      </w:r>
    </w:p>
  </w:footnote>
  <w:footnote w:type="continuationSeparator" w:id="0">
    <w:p w14:paraId="34EA6B00" w14:textId="77777777" w:rsidR="00A517A9" w:rsidRDefault="00A517A9">
      <w:pPr>
        <w:spacing w:after="0" w:line="240" w:lineRule="auto"/>
      </w:pPr>
      <w:r>
        <w:continuationSeparator/>
      </w:r>
    </w:p>
  </w:footnote>
  <w:footnote w:id="1">
    <w:p w14:paraId="00000010" w14:textId="77777777" w:rsidR="006E2417" w:rsidRDefault="00A517A9">
      <w:pPr>
        <w:spacing w:after="0" w:line="240" w:lineRule="auto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Notes on nomenclature: </w:t>
      </w:r>
    </w:p>
    <w:p w14:paraId="00000011" w14:textId="77777777" w:rsidR="006E2417" w:rsidRDefault="00A517A9">
      <w:pPr>
        <w:spacing w:after="0" w:line="240" w:lineRule="auto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1. “Mechanism” is whatever overall structure is selected to disburse the auction proceeds </w:t>
      </w:r>
    </w:p>
    <w:p w14:paraId="00000012" w14:textId="77777777" w:rsidR="006E2417" w:rsidRDefault="00A517A9">
      <w:pPr>
        <w:spacing w:after="0" w:line="240" w:lineRule="auto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2. “Project Evaluation Team” is the group within the Mechanism or contracted by the Mechanism, that performs the evalu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ation of applications and selection of projects to be funded. It is independent of ICANN Org and does not include ICANN Org employees. </w:t>
      </w:r>
    </w:p>
    <w:p w14:paraId="00000013" w14:textId="77777777" w:rsidR="006E2417" w:rsidRDefault="00A517A9">
      <w:p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3. “Review” is the process of determining how well the auction proceeds disbursement is proceeding.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2DF"/>
    <w:multiLevelType w:val="multilevel"/>
    <w:tmpl w:val="C76C113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4F9431E"/>
    <w:multiLevelType w:val="multilevel"/>
    <w:tmpl w:val="155CEFA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2417"/>
    <w:rsid w:val="005B5C9D"/>
    <w:rsid w:val="006A4355"/>
    <w:rsid w:val="006E2417"/>
    <w:rsid w:val="00A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AlanGreenberg</dc:creator>
  <cp:lastModifiedBy>AlanGreenberg</cp:lastModifiedBy>
  <cp:revision>3</cp:revision>
  <dcterms:created xsi:type="dcterms:W3CDTF">2019-08-21T02:59:00Z</dcterms:created>
  <dcterms:modified xsi:type="dcterms:W3CDTF">2019-08-21T03:04:00Z</dcterms:modified>
</cp:coreProperties>
</file>