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b/>
          <w:bCs/>
          <w:lang w:val="en-US" w:eastAsia="zh-CN"/>
        </w:rPr>
        <w:t>Time</w:t>
      </w:r>
      <w:r>
        <w:rPr>
          <w:rFonts w:hint="default" w:ascii="Calibri" w:hAnsi="Calibri" w:cs="Calibri"/>
          <w:lang w:val="en-US" w:eastAsia="zh-CN"/>
        </w:rPr>
        <w:t>: Dec, 2019</w:t>
      </w:r>
    </w:p>
    <w:p>
      <w:pPr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b/>
          <w:bCs/>
          <w:lang w:val="en-US" w:eastAsia="zh-CN"/>
        </w:rPr>
        <w:t>Linguistic Experts</w:t>
      </w:r>
      <w:r>
        <w:rPr>
          <w:rFonts w:hint="default" w:ascii="Calibri" w:hAnsi="Calibri" w:cs="Calibri"/>
          <w:lang w:val="en-US" w:eastAsia="zh-CN"/>
        </w:rPr>
        <w:t>:</w:t>
      </w:r>
    </w:p>
    <w:p>
      <w:pPr>
        <w:rPr>
          <w:rFonts w:hint="default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陈  壮</w:t>
      </w:r>
      <w:r>
        <w:rPr>
          <w:rFonts w:hint="default" w:ascii="Calibri" w:hAnsi="Calibri" w:cs="Calibri"/>
          <w:lang w:val="en-US" w:eastAsia="zh-CN"/>
        </w:rPr>
        <w:t>CHEN Zhuang, China Electronics Standardization Institute</w:t>
      </w:r>
      <w:r>
        <w:rPr>
          <w:rFonts w:hint="eastAsia" w:ascii="Calibri" w:hAnsi="Calibri" w:cs="Calibri"/>
          <w:lang w:val="en-US" w:eastAsia="zh-CN"/>
        </w:rPr>
        <w:t xml:space="preserve"> (Beijing)</w:t>
      </w:r>
    </w:p>
    <w:p>
      <w:pPr>
        <w:rPr>
          <w:rFonts w:hint="default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程  戎</w:t>
      </w:r>
      <w:r>
        <w:rPr>
          <w:rFonts w:hint="default" w:ascii="Calibri" w:hAnsi="Calibri" w:cs="Calibri"/>
          <w:lang w:val="en-US" w:eastAsia="zh-CN"/>
        </w:rPr>
        <w:t>CHENG Rong, Chinese Academy of Social Sciences</w:t>
      </w:r>
      <w:r>
        <w:rPr>
          <w:rFonts w:hint="eastAsia" w:ascii="Calibri" w:hAnsi="Calibri" w:cs="Calibri"/>
          <w:lang w:val="en-US" w:eastAsia="zh-CN"/>
        </w:rPr>
        <w:t xml:space="preserve"> (Beijing)</w:t>
      </w:r>
    </w:p>
    <w:p>
      <w:pPr>
        <w:rPr>
          <w:rFonts w:hint="default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王晓明</w:t>
      </w:r>
      <w:r>
        <w:rPr>
          <w:rFonts w:hint="default" w:ascii="Calibri" w:hAnsi="Calibri" w:cs="Calibri"/>
          <w:lang w:val="en-US" w:eastAsia="zh-CN"/>
        </w:rPr>
        <w:t>WANG Xiaoming, Institute of Applied Linguistice, MOE</w:t>
      </w:r>
      <w:r>
        <w:rPr>
          <w:rFonts w:hint="eastAsia" w:ascii="Calibri" w:hAnsi="Calibri" w:cs="Calibri"/>
          <w:lang w:val="en-US" w:eastAsia="zh-CN"/>
        </w:rPr>
        <w:t xml:space="preserve"> (Beijing)</w:t>
      </w:r>
    </w:p>
    <w:p>
      <w:pPr>
        <w:rPr>
          <w:rFonts w:hint="default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吴坚</w:t>
      </w:r>
      <w:r>
        <w:rPr>
          <w:rFonts w:hint="default" w:ascii="Calibri" w:hAnsi="Calibri" w:cs="Calibri"/>
          <w:lang w:val="en-US" w:eastAsia="zh-CN"/>
        </w:rPr>
        <w:t>WU Jian, Software Institute, Chinese Academy of Sciences</w:t>
      </w:r>
      <w:r>
        <w:rPr>
          <w:rFonts w:hint="eastAsia" w:ascii="Calibri" w:hAnsi="Calibri" w:cs="Calibri"/>
          <w:lang w:val="en-US" w:eastAsia="zh-CN"/>
        </w:rPr>
        <w:t xml:space="preserve"> (Beijing)</w:t>
      </w:r>
    </w:p>
    <w:p>
      <w:pPr>
        <w:rPr>
          <w:rFonts w:hint="default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李国英</w:t>
      </w:r>
      <w:r>
        <w:rPr>
          <w:rFonts w:hint="default" w:ascii="Calibri" w:hAnsi="Calibri" w:cs="Calibri"/>
          <w:lang w:val="en-US" w:eastAsia="zh-CN"/>
        </w:rPr>
        <w:t>LI Guoying, Beijing Normal University</w:t>
      </w:r>
      <w:r>
        <w:rPr>
          <w:rFonts w:hint="eastAsia" w:ascii="Calibri" w:hAnsi="Calibri" w:cs="Calibri"/>
          <w:lang w:val="en-US" w:eastAsia="zh-CN"/>
        </w:rPr>
        <w:t xml:space="preserve"> (Beijing)</w:t>
      </w:r>
    </w:p>
    <w:p>
      <w:pPr>
        <w:rPr>
          <w:rFonts w:hint="default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张轴材</w:t>
      </w:r>
      <w:r>
        <w:rPr>
          <w:rFonts w:hint="default" w:ascii="Calibri" w:hAnsi="Calibri" w:cs="Calibri"/>
          <w:lang w:val="en-US" w:eastAsia="zh-CN"/>
        </w:rPr>
        <w:t>ZHANG Zhoucai, Beijing Unihan Corp.</w:t>
      </w:r>
      <w:r>
        <w:rPr>
          <w:rFonts w:hint="eastAsia" w:ascii="Calibri" w:hAnsi="Calibri" w:cs="Calibri"/>
          <w:lang w:val="en-US" w:eastAsia="zh-CN"/>
        </w:rPr>
        <w:t>(Beijing)</w:t>
      </w:r>
    </w:p>
    <w:p>
      <w:pPr>
        <w:rPr>
          <w:rFonts w:hint="default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魏林梅Selena WEI, Chinese Foundation for Digitization Technology (Taiwan)</w:t>
      </w:r>
    </w:p>
    <w:p>
      <w:pPr>
        <w:rPr>
          <w:rFonts w:hint="default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 xml:space="preserve">許其清HSU Chi-Ching, </w:t>
      </w:r>
    </w:p>
    <w:p>
      <w:pPr>
        <w:rPr>
          <w:rFonts w:hint="default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吴烈能WU Lieh-Neng, Taipei Computer Association</w:t>
      </w:r>
    </w:p>
    <w:p>
      <w:pPr>
        <w:rPr>
          <w:rFonts w:hint="default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曾士熊Bear TSENG, Academia Sinica</w:t>
      </w:r>
    </w:p>
    <w:p>
      <w:pPr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b/>
          <w:bCs/>
          <w:lang w:val="en-US" w:eastAsia="zh-CN"/>
        </w:rPr>
        <w:t>CGP Members</w:t>
      </w:r>
      <w:r>
        <w:rPr>
          <w:rFonts w:hint="default" w:ascii="Calibri" w:hAnsi="Calibri" w:cs="Calibri"/>
          <w:lang w:val="en-US" w:eastAsia="zh-CN"/>
        </w:rPr>
        <w:t>:</w:t>
      </w:r>
    </w:p>
    <w:p>
      <w:pPr>
        <w:rPr>
          <w:rFonts w:hint="default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 xml:space="preserve"> HSU Naiwen, </w:t>
      </w:r>
      <w:r>
        <w:rPr>
          <w:rFonts w:hint="default" w:ascii="Calibri" w:hAnsi="Calibri" w:cs="Calibri"/>
          <w:lang w:val="en-US" w:eastAsia="zh-CN"/>
        </w:rPr>
        <w:t>WANG Wei</w:t>
      </w:r>
      <w:r>
        <w:rPr>
          <w:rFonts w:hint="eastAsia" w:ascii="Calibri" w:hAnsi="Calibri" w:cs="Calibri"/>
          <w:lang w:val="en-US" w:eastAsia="zh-CN"/>
        </w:rPr>
        <w:t xml:space="preserve">, </w:t>
      </w:r>
      <w:r>
        <w:rPr>
          <w:rFonts w:hint="default" w:ascii="Calibri" w:hAnsi="Calibri" w:cs="Calibri"/>
          <w:lang w:val="en-US" w:eastAsia="zh-CN"/>
        </w:rPr>
        <w:t>YAO Jiankang, ZHOU Linlin</w:t>
      </w:r>
    </w:p>
    <w:p>
      <w:pPr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b/>
          <w:bCs/>
          <w:lang w:val="en-US" w:eastAsia="zh-CN"/>
        </w:rPr>
        <w:t>CNNIC representatives</w:t>
      </w:r>
      <w:r>
        <w:rPr>
          <w:rFonts w:hint="default" w:ascii="Calibri" w:hAnsi="Calibri" w:cs="Calibri"/>
          <w:lang w:val="en-US" w:eastAsia="zh-CN"/>
        </w:rPr>
        <w:t>:</w:t>
      </w:r>
    </w:p>
    <w:p>
      <w:pPr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LI Hongtao, WU Yiming</w:t>
      </w:r>
      <w:r>
        <w:rPr>
          <w:rFonts w:hint="eastAsia" w:ascii="Calibri" w:hAnsi="Calibri" w:cs="Calibri"/>
          <w:lang w:val="en-US" w:eastAsia="zh-CN"/>
        </w:rPr>
        <w:t xml:space="preserve">, </w:t>
      </w:r>
      <w:r>
        <w:rPr>
          <w:rFonts w:hint="default" w:ascii="Calibri" w:hAnsi="Calibri" w:cs="Calibri"/>
          <w:lang w:val="en-US" w:eastAsia="zh-CN"/>
        </w:rPr>
        <w:t>ZHANG Man</w:t>
      </w:r>
      <w:bookmarkStart w:id="0" w:name="_GoBack"/>
      <w:bookmarkEnd w:id="0"/>
    </w:p>
    <w:p>
      <w:pPr>
        <w:rPr>
          <w:rFonts w:hint="default" w:ascii="Calibri" w:hAnsi="Calibri" w:cs="Calibri"/>
        </w:rPr>
      </w:pPr>
    </w:p>
    <w:tbl>
      <w:tblPr>
        <w:tblStyle w:val="7"/>
        <w:tblW w:w="154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720"/>
        <w:gridCol w:w="780"/>
        <w:gridCol w:w="1568"/>
        <w:gridCol w:w="1302"/>
        <w:gridCol w:w="1670"/>
        <w:gridCol w:w="3820"/>
        <w:gridCol w:w="5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No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UCS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Glyph</w:t>
            </w:r>
          </w:p>
        </w:tc>
        <w:tc>
          <w:tcPr>
            <w:tcW w:w="1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IRG Sources</w:t>
            </w:r>
          </w:p>
        </w:tc>
        <w:tc>
          <w:tcPr>
            <w:tcW w:w="13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Unihan</w:t>
            </w:r>
            <w:r>
              <w:rPr>
                <w:rFonts w:hint="eastAsia" w:ascii="Calibri" w:hAnsi="Calibri" w:eastAsia="宋体" w:cs="Calibri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V</w:t>
            </w:r>
            <w:r>
              <w:rPr>
                <w:rFonts w:hint="default" w:ascii="Calibri" w:hAnsi="Calibri" w:eastAsia="宋体" w:cs="Calibri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ar</w:t>
            </w:r>
          </w:p>
        </w:tc>
        <w:tc>
          <w:tcPr>
            <w:tcW w:w="1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CLGR15</w:t>
            </w:r>
            <w:r>
              <w:rPr>
                <w:rFonts w:hint="eastAsia" w:ascii="Calibri" w:hAnsi="Calibri" w:eastAsia="宋体" w:cs="Calibri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V</w:t>
            </w:r>
            <w:r>
              <w:rPr>
                <w:rFonts w:hint="default" w:ascii="Calibri" w:hAnsi="Calibri" w:eastAsia="宋体" w:cs="Calibri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ar</w:t>
            </w:r>
          </w:p>
        </w:tc>
        <w:tc>
          <w:tcPr>
            <w:tcW w:w="3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Out-of-repertoire-var ?</w:t>
            </w:r>
          </w:p>
        </w:tc>
        <w:tc>
          <w:tcPr>
            <w:tcW w:w="5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Notes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4E8A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亊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J0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76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4E8B 事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4E8B 事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Yes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Variant to 4E8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B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事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"javascript:gotozi('%E4%BA%8B',1);"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事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自然界和社会中的现象和活动：～情。～件。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2. 变故：～故（出于某种原因而发生的不幸事情，如工作中的死伤等）。～端。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3. 职业：谋～（指找职业）。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4. 关系和责任：你走吧，没你的～了。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5. 办法：光着急也不是～儿，还得另找出路。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6. 做，治：不～生产。无所～事。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7. 服侍：～父母。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建议关联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4EED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仭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J0,K2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76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4EDE 仞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4EDE 仞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Yes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Variant to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4EDE仞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同 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"javascript:gotozi('%E4%BB%9E',1);"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仞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古代计量单位：一～（周尺八尺或七尺。周尺一尺约合二十三厘米）。山高万～。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2. 测量深度。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 xml:space="preserve">3.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"javascript:gotozi('%E9%9F%A7',1);"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韧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，坚韧。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建议关联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5050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偐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G5,T3,J0,K2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76" w:lineRule="auto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8D0B 贋</w:t>
            </w:r>
          </w:p>
          <w:p>
            <w:pPr>
              <w:spacing w:after="0" w:line="276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8D17 贗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8D0B 贋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8D17 贗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8D5D 赝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"javascript:gotozi('%E8%B5%9D',1);"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赝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假的，伪造的：～币。～本（假托名人手笔的字画）。～品。～鼎。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保守处理，可以作为独立字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51A9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冩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TF,J0,K2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5BEB 寫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5199 写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5BEB 寫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Yes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Variant to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5BEB寫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and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5199 写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"javascript:gotozi('%E5%86%99',1);"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写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用笔作字：～字。～作。编～。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2. 描摹，叙述：～生。～实。～照（a.画人物的形象；b.描写刻画）。轻描淡～。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建议关联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5338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匸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G8,H,T3,J0, K2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掩藏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独立字处理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599B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妛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T3,J0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</w:rPr>
              <w:t>5AB8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"javascript:gotozi('%E5%AA%B8',1);"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</w:rPr>
              <w:t>媸</w:t>
            </w:r>
            <w:r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</w:rPr>
              <w:fldChar w:fldCharType="end"/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“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5AB8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"javascript:gotozi('%E5%AA%B8',1);"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媸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 xml:space="preserve">” 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相貌丑陋，与“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"javascript:gotozi('%E5%A6%8D',1);"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Style w:val="10"/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妍</w:t>
            </w:r>
            <w:r>
              <w:rPr>
                <w:rStyle w:val="10"/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”相对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保守处理，可以作为独立字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5AD0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嫐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T3,J0,K2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5583 喃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5583 喃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5A1A 娚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8AF5 諵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戏弄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无关联，独立字处理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5BC9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寉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G5,J0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96BA隺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Yes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Variant to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96BA隺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鸟类的一属，全身白色或灰色，生活在水边，吃鱼、昆虫或植物：～立。～发（fà）。～寿。～驾。～长凫短。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建议关联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5F09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弉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J0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5958 奘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5958 奘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Yes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Variant to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5958奘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“奘”，玄奘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建议关联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6121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愡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T3,J0,K2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6181憁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Yes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Variant to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6181憁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● 愡còng ㄘㄨㄥˋ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◎ 〔～恫〕ａ．卤莽；无知；ｂ．奔走；钻营；ｃ．不得志的样子。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● 愡sōng ㄙㄨㄥˉ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◎ 〔惺～〕明白；清醒；机警。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建议关联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616F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慯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G5,H,T3,J0,K2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eastAsia="zh-TW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eastAsia="zh-TW"/>
              </w:rPr>
              <w:t>50B7傷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4F24伤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eastAsia="zh-TW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"javascript:gotozi('%E4%BC%A4',1);"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伤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”，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忧伤；悲痛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独立字处理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6282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抂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H.T3,J0,K2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● 抂kuáng ㄎㄨㄤˊ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◎ 〔～攘〕乱的样子。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● 抂wǎng ㄨㄤˇ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 xml:space="preserve">◎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"javascript:gotozi('%E6%9E%89',1);"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枉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(a.曲，如“挢～过其正”；b.冤枉，如“血流满市，～法陵母，日月无光，树枝摧折”)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● 抂zài ㄗㄞˋ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 xml:space="preserve">◎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"javascript:gotozi('%E5%9C%A8',1);"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在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独立字处理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65D9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旙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TF,J0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</w:rPr>
              <w:t>5E61幡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"javascript:gotozi('%E5%B9%A1',1);"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幡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 xml:space="preserve">” 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〔～然〕同“翻然”。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2. 用竹竿等挑起来直着挂的长条形旗子。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独立字处理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67A9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枩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J0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677E 松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677E 松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6780 枀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9B06 鬆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Yes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Variant to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677E松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,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6780枀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and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9B06鬆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"javascript:gotozi('%E6%9D%BE',1);"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松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”(日本汉字)sōng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、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mB ti su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种子植物的一属，一般为常绿乔木，脂可提取松香或松节油等。种子可榨油和食用：～针。～脂。～香。～子。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2. 稀散，不紧密，不靠拢，与“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"javascript:gotozi('%E7%B4%A7',1);"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紧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”相对：捆得太～。土质～软。蓬～。宽～。疏～。～懈。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3. 放开：～手。～绑。～心。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4. 用瘦肉做成的茸毛或碎末形的食品：肉～。鱼～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5. 姓。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可以关联，上下结构和左右结构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6859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桙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T3,J0,K2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</w:rPr>
              <w:t>6A21模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桙yú ㄩˊ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◎ 盛浆汤等的器皿。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● 桙móu ㄇㄡˊ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1. 古书上说的一种器物。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2. 古同“模（mó）”，形状，样子。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独立字处理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68BA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梺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J0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日本地名用字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独立字处理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69F9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槹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H,T3,J0,K1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234CC 𣓌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69D4槔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Yes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Variant to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69D4槔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"javascript:gotozi('%E6%A7%94',1);"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槔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桔槔。汲水器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shd w:val="clear"/>
                <w:lang w:val="en-US" w:eastAsia="zh-CN"/>
              </w:rPr>
              <w:t>建议与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69D4槔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关联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6A0C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樌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G5,H,T3,J0,K2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</w:rPr>
              <w:t>704C灌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"javascript:gotozi('%E7%81%8C',1);"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灌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丛生的树木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独立字处理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6BB1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殱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J0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6BB2 殲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6B7C 歼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6BB2 殲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Yes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Variant to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6BB2殲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and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6B7C 歼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"javascript:gotozi('%E6%AD%BC',1);"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歼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消灭，灭尽：～灭。～击（攻击和歼灭）。围～。聚而～之。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建议关联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6E76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湶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G5,H,T3,J0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</w:rPr>
              <w:t>6CC9 泉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numPr>
                <w:ilvl w:val="0"/>
                <w:numId w:val="6"/>
              </w:numPr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水名。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 xml:space="preserve">2.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"javascript:gotozi('%E6%B3%89',1);"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泉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以水名为主，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独立字处理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76B9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皹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T3,J0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76B2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皲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76B8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Yes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Variant to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76B8皸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and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76B2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皲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"javascript:gotozi('%E7%9A%B2',1);"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皲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皮肤因寒冷或干燥而裂开：～裂。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建议关联，左右结构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7724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眤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H,T3,J0,K2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numPr>
                <w:ilvl w:val="0"/>
                <w:numId w:val="7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小目。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 xml:space="preserve">2.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"javascript:gotozi('%E6%98%B5',1);"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昵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，亲热；亲近。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独立字处理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799D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禝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G5,H,T3,J0,K1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</w:rPr>
              <w:t>7A37 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"javascript:gotozi('%E7%A8%B7',1);"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稷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</w:p>
          <w:p>
            <w:pPr>
              <w:widowControl/>
              <w:numPr>
                <w:ilvl w:val="0"/>
                <w:numId w:val="8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古代一种粮食作物，指粟或黍属。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2. 古代以稷为百谷之长，因此帝王奉祀为谷神：社～（指国家）。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偏旁不同意思不同，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不关联独立字处理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7B7A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筺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J0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7B50 筐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Yes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Variant to 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筐(7B50）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"javascript:gotozi('%E7%AD%90',1);"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筐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竹子或柳条等编成的盛东西的器具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与筐(7B50)关联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7BCF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篏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G5,H,J0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</w:rPr>
              <w:t>5D4C嵌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"javascript:gotozi('%E5%B5%8C',1);"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嵌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镶嵌。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独立字处理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7CAB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粫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TF,J0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7CEF 糯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7CEF 糯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日用汉字。用于地名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独立字处理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7DE4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緤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G5,H,T3,J0,K2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7D32 紲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7D32 紲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7D4F 絏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7EC1 绁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numPr>
                <w:ilvl w:val="0"/>
                <w:numId w:val="9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"javascript:gotozi('%E7%BB%81',1);"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绁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2. 木棉的别称。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3. 古书上说的一种布。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4. 端绪。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 xml:space="preserve">5.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古通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"javascript:gotozi('%E6%B8%AB',1);"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渫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，消除。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● 緤yè ㄧㄝˋ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◎ 缯帛番数。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独立字处理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80AC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肬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G5,T3,J0,K2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75A3 疣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75A3 疣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"javascript:gotozi('%E7%96%A3',1);"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疣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独立字处理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815F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腟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G5,T3,J0,K2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81A3 膣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81A3 膣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肉生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独立字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822E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舮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J0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6AD3 櫓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6A10 樐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6A79 橹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6AD3 櫓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8263 艣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826A 艪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"javascript:gotozi('%E8%89%AB',1);"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艫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</w:p>
          <w:p>
            <w:pPr>
              <w:widowControl/>
              <w:numPr>
                <w:ilvl w:val="0"/>
                <w:numId w:val="1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船头。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●《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"http://www.guoxuedashi.com/a/2p/" \t "_blank"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Style w:val="10"/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汉书</w:t>
            </w:r>
            <w:r>
              <w:rPr>
                <w:rStyle w:val="10"/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•武帝纪》：「舳橹千里，薄枞阳而出。」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●颜师古注引李斐曰：「舳，船后持柂(舵)处也；舻，船前头刺棹处也。」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bCs/>
                <w:color w:val="auto"/>
                <w:sz w:val="21"/>
                <w:szCs w:val="21"/>
                <w:highlight w:val="none"/>
                <w:shd w:val="clear" w:color="auto" w:fill="008000"/>
              </w:rPr>
              <w:t>2.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船尾。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●《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"http://www.guoxuedashi.com/a/8010t/" \t "_blank"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Style w:val="10"/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文选</w:t>
            </w:r>
            <w:r>
              <w:rPr>
                <w:rStyle w:val="10"/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•左思〈吴都赋〉》：「弘舸连舳，巨槛接舻。」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刘逵注：「舻，船后也。」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bCs/>
                <w:color w:val="auto"/>
                <w:sz w:val="21"/>
                <w:szCs w:val="21"/>
                <w:highlight w:val="none"/>
                <w:shd w:val="clear" w:color="auto" w:fill="008000"/>
              </w:rPr>
              <w:t>3.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借指船。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●南朝宋谢瞻《王抚军庾西阳集别时为豫章太守庾被征还东》诗：「榜人理行舻，輶轩命归仆。」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●《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"http://www.guoxuedashi.com/a/18c/" \t "_blank"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Style w:val="10"/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新唐书</w:t>
            </w:r>
            <w:r>
              <w:rPr>
                <w:rStyle w:val="10"/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•张雄传》：「行密拿飞舻，不持兵入其军。」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●宋林逋《送闻义师谒池阳郡守》诗：「登舻忽此别，振锡未尝游。</w:t>
            </w: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独立字处理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84AD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蒭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G5,H,T3,J0,K1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82BB 芻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520D 刍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82BB 芻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Yes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Variant to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82BB芻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and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520D 刍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"javascript:gotozi('%E8%8A%BB',1);"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芻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 见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"javascript:gotozi('%E5%88%8D',1);"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刍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</w:p>
          <w:p>
            <w:pPr>
              <w:widowControl/>
              <w:numPr>
                <w:ilvl w:val="0"/>
                <w:numId w:val="11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喂牲畜的草，亦指用草料喂牲口：～秣（饲养牛马的草料）。反～。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2. 割草：～荛（割草称“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"javascript:gotozi('%E5%88%8D',1);"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刍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”，打柴称“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"javascript:gotozi('%E8%8D%9B',1);"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荛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”。指割草打柴的人。后常用作向人陈述意见的谦辞）。～言（常用来谦称自己的言论）。～议（同“刍言”）。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3. 草把:～灵(古代送葬用的茅草扎的人马)</w:t>
            </w: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建议关联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8C7C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豼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T3,J0,K2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FFFFF"/>
              </w:rPr>
              <w:t>8C94 貔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"javascript:gotozi('%E8%B2%94',1);"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貔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</w:p>
          <w:p>
            <w:pPr>
              <w:widowControl/>
              <w:numPr>
                <w:ilvl w:val="0"/>
                <w:numId w:val="12"/>
              </w:numPr>
              <w:ind w:left="210"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〔～子〕即“黄鼬”。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2. 〔～貅〕ａ．传说中的一种猛兽；ｂ．喻勇猛的军士或军队，如“～～之士”。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3. 〔～虎〕喻勇士或勇猛的军队。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4. 传说中的一种野兽，似熊，一说似虎。</w:t>
            </w:r>
          </w:p>
          <w:p>
            <w:pPr>
              <w:widowControl/>
              <w:numPr>
                <w:ilvl w:val="-1"/>
                <w:numId w:val="0"/>
              </w:numPr>
              <w:ind w:left="210"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独立字处理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8C8E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貎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T3,J0,K2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7683 皃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730A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猊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Yes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 xml:space="preserve">Variant to 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730A猊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"javascript:gotozi('%E7%8C%8A',1);"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猊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传说中的一种猛兽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与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猊(730A)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关联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8CCD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賍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H,T3,J0,K2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8D13 贓,</w:t>
            </w:r>
          </w:p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8D1C 贜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8D13 贓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8D1C 贜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8D43 赃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Yes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 xml:space="preserve">Variant to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8D43赃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,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8D13贓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and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8D1C贜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"javascript:gotozi('%E8%B5%83',1);"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赃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贪污受贿或偷盗所得的财物：～物。～款。～证。追～。退～。人～俱在。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关联处理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8EE3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軣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J0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8F5F 轟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8F5F 轟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8F70 轰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"javascript:gotozi('%E8%BD%B0',1);"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轰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”（日本汉字）</w:t>
            </w:r>
          </w:p>
          <w:p>
            <w:pPr>
              <w:widowControl/>
              <w:numPr>
                <w:ilvl w:val="0"/>
                <w:numId w:val="13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形容大的声响：～～。～响。～鸣。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2. 用大炮或炸弹破坏：～击。～炸。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3. 驱逐，赶走：～走。～出去。</w:t>
            </w: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独立处理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8F5C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轜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G5,H,T3,J0,K2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8F00輀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古代载运灵柩的车。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独立处理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900E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逎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G3,T3,J0,K2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9052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遒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Yes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Variant to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905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遒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"javascript:gotozi('%E9%81%92',1);"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遒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</w:p>
          <w:p>
            <w:pPr>
              <w:widowControl/>
              <w:numPr>
                <w:ilvl w:val="0"/>
                <w:numId w:val="14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雄健有力：～劲。～健。～炼（诗文、书画等雄健精炼）。～媚（雄健秀美）。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2. 迫近:“岁忽忽而～尽兮，恐余寿之弗将”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3. 聚。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4. 坚固。</w:t>
            </w: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关联处理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91D6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釖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G5,H,T3,J0,K2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528D 劍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5251 剑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5263 剣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528D 劍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5292 劒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5294 劔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9431 鐱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numPr>
                <w:ilvl w:val="0"/>
                <w:numId w:val="15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"javascript:gotozi('%E5%88%80',1);"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刀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2. 化学元素“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"javascript:gotozi('%E9%92%8D',1);"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Style w:val="10"/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钍</w:t>
            </w:r>
            <w:r>
              <w:rPr>
                <w:rStyle w:val="10"/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”的旧译。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独立字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91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E1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釡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J0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91DC 釜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91DC 釜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Yes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Variant to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91DC釜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"javascript:gotozi('%E9%87%9C',1);"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釜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</w:p>
          <w:p>
            <w:pPr>
              <w:widowControl/>
              <w:numPr>
                <w:ilvl w:val="0"/>
                <w:numId w:val="16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古代的一种锅：～底抽薪。破～沉舟。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2. 中国春秋战国时量器名，亦是容量单位，标准不一。</w:t>
            </w: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建议关联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91F6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釶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G5,H,T3,J0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</w:rPr>
              <w:t>9366鍦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</w:rPr>
              <w:t>531C匜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● 釶shī ㄕˉ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古同“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"javascript:gotozi('%E9%8D%A6',1);"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Style w:val="10"/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鍦</w:t>
            </w:r>
            <w:r>
              <w:rPr>
                <w:rStyle w:val="10"/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”，矛。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● 釶yí ㄧˊ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 xml:space="preserve"> 古同“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"javascript:gotozi('%E5%8C%9C',1);"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Style w:val="10"/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匜</w:t>
            </w:r>
            <w:r>
              <w:rPr>
                <w:rStyle w:val="10"/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”，古代一种盛酒或水的器具。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独立字处理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91FC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釼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J0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528D 劍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5251 剑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5263 剣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528D 劍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5292 劒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5294 劔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9431 鐱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俗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"javascript:gotozi('%E5%8A%8D',1);"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劍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”。亦作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"javascript:gotozi('%E9%87%B0',1);"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釰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”。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《可洪音義》：“釼婆：上居欠反。正作劔。”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保守起见，按照独立字处理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922C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鈬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J0,K2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9438 鐸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9438 鐸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94CE 铎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Yes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Variant to 94CE铎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and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9438 鐸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"javascript:gotozi('%E9%90%B8',1);"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鐸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”（日本汉字）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「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"http://www.guoxuedashi.com/hydcd/503928z.html" \t "_blank"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Style w:val="10"/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鐸</w:t>
            </w:r>
            <w:r>
              <w:rPr>
                <w:rStyle w:val="10"/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」的日本用简体汉字。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建议关联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93E5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鏥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T3,J0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92B9 銹</w:t>
            </w:r>
          </w:p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93FD 鏽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92B9 銹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93FD 鏽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9508 锈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"javascript:gotozi('%E9%94%88',1);"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锈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同「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"http://www.guoxuedashi.com/hydcd/503337t.html" \t "_blank"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Style w:val="10"/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鏽</w:t>
            </w:r>
            <w:r>
              <w:rPr>
                <w:rStyle w:val="10"/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」。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独立字处理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941A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鐚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T3,J0,K2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"javascript:gotozi('%E9%93%94',1);"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铔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● 铔 yā ㄧㄚˉ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1. 〔～鍜〕保护颈项的铠甲，如“明光钿甲照～～”。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2. （錏）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● 铔yà ㄧㄚˋ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◎ 化学元素“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"javascript:gotozi('%E9%93%B5',1);"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Style w:val="10"/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铵</w:t>
            </w:r>
            <w:r>
              <w:rPr>
                <w:rStyle w:val="10"/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”的旧译。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独立字处理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95A0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閠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H,TF,J0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958F閏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95F0闰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Yes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Variant to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958F閏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and 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95F0闰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"javascript:gotozi('%E9%97%B0',1);"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闰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</w:p>
          <w:p>
            <w:pPr>
              <w:widowControl/>
              <w:numPr>
                <w:ilvl w:val="0"/>
                <w:numId w:val="17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每四年加一日，称“闰日”。有闰日的这一年称“闰年”。这是公历的“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"javascript:gotozi('%E9%97%B0',1);"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闰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”。中国的农历，二年或三年，需要加一个月，所加的这个月称“闰月”，平均十九年有七个闰月。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2. 偏，副，对“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"javascript:gotozi('%E6%AD%A3',1);"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正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”而言：～位(旧称非正统的帝位)。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建议关联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9764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靤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G5,T3,J0,K2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FFFFF"/>
              </w:rPr>
              <w:t>75B1疱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"javascript:gotozi('%E7%9A%B0',1);"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皰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面疮、水泡。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独立字处理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9D2A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鴪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T3,J0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FFFFF"/>
              </w:rPr>
              <w:t>9D25鴥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Yes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Variant to 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FFFFF"/>
              </w:rPr>
              <w:t>9D25鴥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古同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"javascript:gotozi('%E9%B4%A5',1);"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鴥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(鸟)疾飞的样子：“～彼晨风，郁彼北林。”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建议关联，左右架构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9DC6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鷆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J0,K2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</w:rPr>
              <w:t>9DCF鷏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Yes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Variant to 9DCF</w:t>
            </w:r>
            <w:r>
              <w:rPr>
                <w:rFonts w:hint="default" w:ascii="Calibri" w:hAnsi="Calibri" w:eastAsia="宋体" w:cs="Calibri"/>
                <w:color w:val="auto"/>
                <w:spacing w:val="15"/>
                <w:sz w:val="21"/>
                <w:szCs w:val="21"/>
                <w:highlight w:val="none"/>
                <w:shd w:val="clear" w:color="auto" w:fill="FFFFFF"/>
              </w:rPr>
              <w:t>鷏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"javascript:gotozi('%E9%B7%8F',1);"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鷏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蚊母，一说吐蚊鸟，夜鹰的别称。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建议关联，新旧字形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9E95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麕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G5,H,T3,J0,K2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9E87 麇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9E87 麇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同 “麇2”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同「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"http://www.guoxuedashi.com/hydcd/567960h.html" \t "_blank"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Style w:val="10"/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麇</w:t>
            </w:r>
            <w:r>
              <w:rPr>
                <w:rStyle w:val="10"/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」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独立字处理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9F21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鼡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J0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t>9F20 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9F20 鼠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No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Set as JGP unique/independent character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同 “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"javascript:gotozi('%E9%BC%A0',1);"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鼠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</w:rPr>
              <w:t>”（日本汉字）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「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"http://www.guoxuedashi.com/hydcd/148738x.html" \t "_blank"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Style w:val="10"/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巤</w:t>
            </w:r>
            <w:r>
              <w:rPr>
                <w:rStyle w:val="10"/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」的日本用简体汉字。</w:t>
            </w:r>
          </w:p>
          <w:p>
            <w:pPr>
              <w:widowControl/>
              <w:numPr>
                <w:ilvl w:val="0"/>
                <w:numId w:val="18"/>
              </w:numPr>
              <w:ind w:left="61"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auto"/>
                <w:sz w:val="21"/>
                <w:szCs w:val="21"/>
                <w:highlight w:val="none"/>
                <w:shd w:val="clear" w:color="auto" w:fill="F5F8FD"/>
              </w:rPr>
              <w:t xml:space="preserve"> 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獸類頸上較粗硬的毛。《廣韻·入葉》：「巤，巤毛。」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bCs/>
                <w:color w:val="auto"/>
                <w:sz w:val="21"/>
                <w:szCs w:val="21"/>
                <w:highlight w:val="none"/>
                <w:shd w:val="clear" w:color="auto" w:fill="008000"/>
              </w:rPr>
              <w:t>2.</w:t>
            </w:r>
            <w:r>
              <w:rPr>
                <w:rFonts w:hint="default" w:ascii="Calibri" w:hAnsi="Calibri" w:eastAsia="宋体" w:cs="Calibri"/>
                <w:b/>
                <w:bCs/>
                <w:color w:val="auto"/>
                <w:sz w:val="21"/>
                <w:szCs w:val="21"/>
                <w:highlight w:val="none"/>
                <w:shd w:val="clear" w:color="auto" w:fill="F5F8FD"/>
              </w:rPr>
              <w:t xml:space="preserve"> 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引申指針狀葉。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▶唐段成式《</w: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instrText xml:space="preserve"> HYPERLINK "http://www.guoxuedashi.com/a/1177y/" \t "_blank" </w:instrText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Style w:val="10"/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酉陽雜俎</w:t>
            </w:r>
            <w:r>
              <w:rPr>
                <w:rStyle w:val="10"/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  <w:t>•木篇》：「堂前有五巤松兩株。」</w:t>
            </w:r>
          </w:p>
          <w:p>
            <w:pPr>
              <w:widowControl/>
              <w:numPr>
                <w:ilvl w:val="0"/>
                <w:numId w:val="0"/>
              </w:numPr>
              <w:ind w:left="61" w:leftChars="0"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</w:rPr>
            </w:pPr>
          </w:p>
          <w:p>
            <w:pPr>
              <w:widowControl/>
              <w:numPr>
                <w:ilvl w:val="-1"/>
                <w:numId w:val="0"/>
              </w:numPr>
              <w:ind w:left="61"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auto"/>
                <w:sz w:val="21"/>
                <w:szCs w:val="21"/>
                <w:highlight w:val="none"/>
                <w:shd w:val="clear" w:color="auto" w:fill="F5F8FD"/>
                <w:lang w:val="en-US" w:eastAsia="zh-CN"/>
              </w:rPr>
              <w:t>独立字处理</w:t>
            </w:r>
          </w:p>
        </w:tc>
      </w:tr>
    </w:tbl>
    <w:p>
      <w:pPr>
        <w:rPr>
          <w:rFonts w:hint="default" w:ascii="Calibri" w:hAnsi="Calibri" w:cs="Calibri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931C4E"/>
    <w:multiLevelType w:val="singleLevel"/>
    <w:tmpl w:val="92931C4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31815D4"/>
    <w:multiLevelType w:val="singleLevel"/>
    <w:tmpl w:val="931815D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943A6711"/>
    <w:multiLevelType w:val="singleLevel"/>
    <w:tmpl w:val="943A6711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A7CA9661"/>
    <w:multiLevelType w:val="singleLevel"/>
    <w:tmpl w:val="A7CA9661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B18CE3B4"/>
    <w:multiLevelType w:val="singleLevel"/>
    <w:tmpl w:val="B18CE3B4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C3628E47"/>
    <w:multiLevelType w:val="singleLevel"/>
    <w:tmpl w:val="C3628E47"/>
    <w:lvl w:ilvl="0" w:tentative="0">
      <w:start w:val="1"/>
      <w:numFmt w:val="decimal"/>
      <w:suff w:val="space"/>
      <w:lvlText w:val="%1."/>
      <w:lvlJc w:val="left"/>
      <w:pPr>
        <w:ind w:left="210" w:leftChars="0" w:firstLine="0" w:firstLineChars="0"/>
      </w:pPr>
    </w:lvl>
  </w:abstractNum>
  <w:abstractNum w:abstractNumId="6">
    <w:nsid w:val="D1BC6F81"/>
    <w:multiLevelType w:val="singleLevel"/>
    <w:tmpl w:val="D1BC6F81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D71E4763"/>
    <w:multiLevelType w:val="singleLevel"/>
    <w:tmpl w:val="D71E4763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DB8402F1"/>
    <w:multiLevelType w:val="singleLevel"/>
    <w:tmpl w:val="DB8402F1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E540E398"/>
    <w:multiLevelType w:val="singleLevel"/>
    <w:tmpl w:val="E540E3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FA626A46"/>
    <w:multiLevelType w:val="singleLevel"/>
    <w:tmpl w:val="FA626A4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1" w:leftChars="0" w:firstLine="0" w:firstLineChars="0"/>
      </w:pPr>
    </w:lvl>
  </w:abstractNum>
  <w:abstractNum w:abstractNumId="11">
    <w:nsid w:val="FBD61AB8"/>
    <w:multiLevelType w:val="singleLevel"/>
    <w:tmpl w:val="FBD61AB8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3010964D"/>
    <w:multiLevelType w:val="singleLevel"/>
    <w:tmpl w:val="3010964D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37D5F706"/>
    <w:multiLevelType w:val="singleLevel"/>
    <w:tmpl w:val="37D5F706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511BF618"/>
    <w:multiLevelType w:val="singleLevel"/>
    <w:tmpl w:val="511BF618"/>
    <w:lvl w:ilvl="0" w:tentative="0">
      <w:start w:val="1"/>
      <w:numFmt w:val="decimal"/>
      <w:suff w:val="space"/>
      <w:lvlText w:val="%1."/>
      <w:lvlJc w:val="left"/>
    </w:lvl>
  </w:abstractNum>
  <w:abstractNum w:abstractNumId="15">
    <w:nsid w:val="55AB9ED6"/>
    <w:multiLevelType w:val="singleLevel"/>
    <w:tmpl w:val="55AB9ED6"/>
    <w:lvl w:ilvl="0" w:tentative="0">
      <w:start w:val="1"/>
      <w:numFmt w:val="decimal"/>
      <w:suff w:val="space"/>
      <w:lvlText w:val="%1."/>
      <w:lvlJc w:val="left"/>
    </w:lvl>
  </w:abstractNum>
  <w:abstractNum w:abstractNumId="16">
    <w:nsid w:val="582F85E6"/>
    <w:multiLevelType w:val="singleLevel"/>
    <w:tmpl w:val="582F85E6"/>
    <w:lvl w:ilvl="0" w:tentative="0">
      <w:start w:val="1"/>
      <w:numFmt w:val="decimal"/>
      <w:suff w:val="space"/>
      <w:lvlText w:val="%1."/>
      <w:lvlJc w:val="left"/>
    </w:lvl>
  </w:abstractNum>
  <w:abstractNum w:abstractNumId="17">
    <w:nsid w:val="6FCF0D0C"/>
    <w:multiLevelType w:val="singleLevel"/>
    <w:tmpl w:val="6FCF0D0C"/>
    <w:lvl w:ilvl="0" w:tentative="0">
      <w:start w:val="1"/>
      <w:numFmt w:val="decimal"/>
      <w:suff w:val="space"/>
      <w:lvlText w:val="%1."/>
      <w:lvlJc w:val="left"/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17"/>
  </w:num>
  <w:num w:numId="10">
    <w:abstractNumId w:val="9"/>
  </w:num>
  <w:num w:numId="11">
    <w:abstractNumId w:val="16"/>
  </w:num>
  <w:num w:numId="12">
    <w:abstractNumId w:val="5"/>
  </w:num>
  <w:num w:numId="13">
    <w:abstractNumId w:val="1"/>
  </w:num>
  <w:num w:numId="14">
    <w:abstractNumId w:val="13"/>
  </w:num>
  <w:num w:numId="15">
    <w:abstractNumId w:val="3"/>
  </w:num>
  <w:num w:numId="16">
    <w:abstractNumId w:val="14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7C"/>
    <w:rsid w:val="0007761D"/>
    <w:rsid w:val="00087161"/>
    <w:rsid w:val="00197DB6"/>
    <w:rsid w:val="001A066D"/>
    <w:rsid w:val="001F41BA"/>
    <w:rsid w:val="00210067"/>
    <w:rsid w:val="00245364"/>
    <w:rsid w:val="002B4F64"/>
    <w:rsid w:val="00344D9F"/>
    <w:rsid w:val="003B0907"/>
    <w:rsid w:val="0050441F"/>
    <w:rsid w:val="005E3D59"/>
    <w:rsid w:val="006D2FBE"/>
    <w:rsid w:val="00905DCE"/>
    <w:rsid w:val="00A52255"/>
    <w:rsid w:val="00AF150A"/>
    <w:rsid w:val="00B50134"/>
    <w:rsid w:val="00B70AD1"/>
    <w:rsid w:val="00C93A7C"/>
    <w:rsid w:val="00D41244"/>
    <w:rsid w:val="00DF5B17"/>
    <w:rsid w:val="00F44BF1"/>
    <w:rsid w:val="00FF1841"/>
    <w:rsid w:val="0A49434B"/>
    <w:rsid w:val="0C1110AB"/>
    <w:rsid w:val="13B403F6"/>
    <w:rsid w:val="16C001AE"/>
    <w:rsid w:val="1A3C0F35"/>
    <w:rsid w:val="27112CEB"/>
    <w:rsid w:val="2C6A316A"/>
    <w:rsid w:val="2DC43B7B"/>
    <w:rsid w:val="36BA33EB"/>
    <w:rsid w:val="3BE5724E"/>
    <w:rsid w:val="457A143C"/>
    <w:rsid w:val="4AC46AAA"/>
    <w:rsid w:val="4EBD3341"/>
    <w:rsid w:val="61EA7609"/>
    <w:rsid w:val="633F19A0"/>
    <w:rsid w:val="645B52E8"/>
    <w:rsid w:val="6D4F5615"/>
    <w:rsid w:val="6F7B093A"/>
    <w:rsid w:val="733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文字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主题 字符"/>
    <w:basedOn w:val="15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table" w:customStyle="1" w:styleId="17">
    <w:name w:val="Table Grid1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1251</Words>
  <Characters>7134</Characters>
  <Lines>59</Lines>
  <Paragraphs>16</Paragraphs>
  <TotalTime>0</TotalTime>
  <ScaleCrop>false</ScaleCrop>
  <LinksUpToDate>false</LinksUpToDate>
  <CharactersWithSpaces>8369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2019-12-17T22:21:00Z</dcterms:created>
  <dc:creator>Zhang Joe</dc:creator>
  <cp:lastModifiedBy>点赞侠 王伟 Wesley</cp:lastModifiedBy>
  <dcterms:modified xsi:type="dcterms:W3CDTF">2020-01-09T08:25:37Z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