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47" w:type="dxa"/>
        <w:tblInd w:w="4792" w:type="dxa"/>
        <w:tblCellMar>
          <w:top w:w="45" w:type="dxa"/>
          <w:left w:w="105" w:type="dxa"/>
          <w:right w:w="115" w:type="dxa"/>
        </w:tblCellMar>
        <w:tblLook w:val="04A0" w:firstRow="1" w:lastRow="0" w:firstColumn="1" w:lastColumn="0" w:noHBand="0" w:noVBand="1"/>
      </w:tblPr>
      <w:tblGrid>
        <w:gridCol w:w="1996"/>
        <w:gridCol w:w="2851"/>
      </w:tblGrid>
      <w:tr w:rsidR="00DB1A1C" w:rsidRPr="00DB1A1C" w14:paraId="4EA3D2D6" w14:textId="77777777" w:rsidTr="006D2215">
        <w:trPr>
          <w:trHeight w:val="485"/>
        </w:trPr>
        <w:tc>
          <w:tcPr>
            <w:tcW w:w="1996" w:type="dxa"/>
            <w:tcBorders>
              <w:top w:val="single" w:sz="4" w:space="0" w:color="000000"/>
              <w:left w:val="single" w:sz="4" w:space="0" w:color="000000"/>
              <w:bottom w:val="single" w:sz="4" w:space="0" w:color="000000"/>
              <w:right w:val="single" w:sz="4" w:space="0" w:color="000000"/>
            </w:tcBorders>
          </w:tcPr>
          <w:p w14:paraId="4D728727" w14:textId="77777777" w:rsidR="00DB1A1C" w:rsidRPr="00DB1A1C" w:rsidRDefault="00DB1A1C" w:rsidP="00DB1A1C">
            <w:pPr>
              <w:spacing w:before="120"/>
              <w:rPr>
                <w:rFonts w:asciiTheme="majorHAnsi" w:eastAsia="Source Sans Pro" w:hAnsiTheme="majorHAnsi" w:cstheme="majorHAnsi"/>
                <w:sz w:val="20"/>
                <w:szCs w:val="20"/>
                <w:lang w:bidi="en-US"/>
              </w:rPr>
            </w:pPr>
            <w:r w:rsidRPr="00DB1A1C">
              <w:rPr>
                <w:rFonts w:asciiTheme="majorHAnsi" w:eastAsia="Source Sans Pro" w:hAnsiTheme="majorHAnsi" w:cstheme="majorHAnsi"/>
                <w:b/>
                <w:sz w:val="20"/>
                <w:szCs w:val="20"/>
                <w:lang w:bidi="en-US"/>
              </w:rPr>
              <w:t xml:space="preserve">Distribution </w:t>
            </w:r>
          </w:p>
        </w:tc>
        <w:tc>
          <w:tcPr>
            <w:tcW w:w="2851" w:type="dxa"/>
            <w:tcBorders>
              <w:top w:val="single" w:sz="4" w:space="0" w:color="000000"/>
              <w:left w:val="single" w:sz="4" w:space="0" w:color="000000"/>
              <w:bottom w:val="single" w:sz="4" w:space="0" w:color="000000"/>
              <w:right w:val="single" w:sz="4" w:space="0" w:color="000000"/>
            </w:tcBorders>
          </w:tcPr>
          <w:p w14:paraId="3DB7C8EC" w14:textId="77777777" w:rsidR="00DB1A1C" w:rsidRPr="00DB1A1C" w:rsidRDefault="00DB1A1C" w:rsidP="00DB1A1C">
            <w:pPr>
              <w:spacing w:before="120"/>
              <w:rPr>
                <w:rFonts w:asciiTheme="majorHAnsi" w:eastAsia="Source Sans Pro" w:hAnsiTheme="majorHAnsi" w:cstheme="majorHAnsi"/>
                <w:sz w:val="20"/>
                <w:szCs w:val="20"/>
                <w:lang w:bidi="en-US"/>
              </w:rPr>
            </w:pPr>
            <w:r w:rsidRPr="00DB1A1C">
              <w:rPr>
                <w:rFonts w:asciiTheme="majorHAnsi" w:eastAsia="Source Sans Pro" w:hAnsiTheme="majorHAnsi" w:cstheme="majorHAnsi"/>
                <w:sz w:val="20"/>
                <w:szCs w:val="20"/>
                <w:lang w:bidi="en-US"/>
              </w:rPr>
              <w:t xml:space="preserve">Public </w:t>
            </w:r>
          </w:p>
        </w:tc>
      </w:tr>
      <w:tr w:rsidR="00DB1A1C" w:rsidRPr="00DB1A1C" w14:paraId="5F872F13" w14:textId="77777777" w:rsidTr="000C4388">
        <w:trPr>
          <w:trHeight w:val="455"/>
        </w:trPr>
        <w:tc>
          <w:tcPr>
            <w:tcW w:w="1996" w:type="dxa"/>
            <w:tcBorders>
              <w:top w:val="single" w:sz="4" w:space="0" w:color="000000"/>
              <w:left w:val="single" w:sz="4" w:space="0" w:color="000000"/>
              <w:bottom w:val="single" w:sz="4" w:space="0" w:color="000000"/>
              <w:right w:val="single" w:sz="4" w:space="0" w:color="000000"/>
            </w:tcBorders>
          </w:tcPr>
          <w:p w14:paraId="7DDC320E" w14:textId="4243CAB6" w:rsidR="00DB1A1C" w:rsidRPr="00DB1A1C" w:rsidRDefault="00DB1A1C" w:rsidP="00DB1A1C">
            <w:pPr>
              <w:spacing w:before="120"/>
              <w:rPr>
                <w:rFonts w:asciiTheme="majorHAnsi" w:eastAsia="Source Sans Pro" w:hAnsiTheme="majorHAnsi" w:cstheme="majorHAnsi"/>
                <w:sz w:val="20"/>
                <w:szCs w:val="20"/>
                <w:lang w:bidi="en-US"/>
              </w:rPr>
            </w:pPr>
            <w:r w:rsidRPr="00DB1A1C">
              <w:rPr>
                <w:rFonts w:asciiTheme="majorHAnsi" w:eastAsia="Source Sans Pro" w:hAnsiTheme="majorHAnsi" w:cstheme="majorHAnsi"/>
                <w:b/>
                <w:sz w:val="20"/>
                <w:szCs w:val="20"/>
                <w:lang w:bidi="en-US"/>
              </w:rPr>
              <w:t xml:space="preserve">Date </w:t>
            </w:r>
          </w:p>
        </w:tc>
        <w:tc>
          <w:tcPr>
            <w:tcW w:w="2851" w:type="dxa"/>
            <w:tcBorders>
              <w:top w:val="single" w:sz="4" w:space="0" w:color="000000"/>
              <w:left w:val="single" w:sz="4" w:space="0" w:color="000000"/>
              <w:bottom w:val="single" w:sz="4" w:space="0" w:color="000000"/>
              <w:right w:val="single" w:sz="4" w:space="0" w:color="000000"/>
            </w:tcBorders>
          </w:tcPr>
          <w:p w14:paraId="03794CE2" w14:textId="6FEFA1EE" w:rsidR="00DB1A1C" w:rsidRPr="00DB1A1C" w:rsidRDefault="00EC23DA" w:rsidP="00DB1A1C">
            <w:pPr>
              <w:spacing w:before="120"/>
              <w:rPr>
                <w:rFonts w:asciiTheme="majorHAnsi" w:eastAsia="Source Sans Pro" w:hAnsiTheme="majorHAnsi" w:cstheme="majorHAnsi"/>
                <w:sz w:val="20"/>
                <w:szCs w:val="20"/>
                <w:lang w:bidi="en-US"/>
              </w:rPr>
            </w:pPr>
            <w:r>
              <w:rPr>
                <w:rFonts w:asciiTheme="majorHAnsi" w:eastAsia="Source Sans Pro" w:hAnsiTheme="majorHAnsi" w:cstheme="majorHAnsi"/>
                <w:sz w:val="20"/>
                <w:szCs w:val="20"/>
                <w:lang w:bidi="en-US"/>
              </w:rPr>
              <w:t xml:space="preserve">15 February </w:t>
            </w:r>
            <w:r w:rsidR="00DB1A1C" w:rsidRPr="00DB1A1C">
              <w:rPr>
                <w:rFonts w:asciiTheme="majorHAnsi" w:eastAsia="Source Sans Pro" w:hAnsiTheme="majorHAnsi" w:cstheme="majorHAnsi"/>
                <w:sz w:val="20"/>
                <w:szCs w:val="20"/>
                <w:lang w:bidi="en-US"/>
              </w:rPr>
              <w:t>202</w:t>
            </w:r>
            <w:r w:rsidR="00C233FB">
              <w:rPr>
                <w:rFonts w:asciiTheme="majorHAnsi" w:eastAsia="Source Sans Pro" w:hAnsiTheme="majorHAnsi" w:cstheme="majorHAnsi"/>
                <w:sz w:val="20"/>
                <w:szCs w:val="20"/>
                <w:lang w:bidi="en-US"/>
              </w:rPr>
              <w:t>1</w:t>
            </w:r>
            <w:r w:rsidR="00DB1A1C" w:rsidRPr="00DB1A1C">
              <w:rPr>
                <w:rFonts w:asciiTheme="majorHAnsi" w:eastAsia="Source Sans Pro" w:hAnsiTheme="majorHAnsi" w:cstheme="majorHAnsi"/>
                <w:sz w:val="20"/>
                <w:szCs w:val="20"/>
                <w:lang w:bidi="en-US"/>
              </w:rPr>
              <w:t xml:space="preserve"> </w:t>
            </w:r>
          </w:p>
        </w:tc>
      </w:tr>
    </w:tbl>
    <w:p w14:paraId="6025D5D9" w14:textId="77777777" w:rsidR="00DB1A1C" w:rsidRPr="00DB1A1C" w:rsidRDefault="00DB1A1C" w:rsidP="00DB1A1C">
      <w:pPr>
        <w:spacing w:before="120"/>
        <w:rPr>
          <w:rFonts w:ascii="Source Sans Pro" w:eastAsia="Source Sans Pro" w:hAnsi="Source Sans Pro" w:cs="Source Sans Pro"/>
          <w:lang w:bidi="en-US"/>
        </w:rPr>
      </w:pPr>
      <w:r w:rsidRPr="00DB1A1C">
        <w:rPr>
          <w:rFonts w:ascii="Source Sans Pro" w:eastAsia="Source Sans Pro" w:hAnsi="Source Sans Pro" w:cs="Source Sans Pro"/>
          <w:b/>
          <w:lang w:bidi="en-US"/>
        </w:rPr>
        <w:t xml:space="preserve"> </w:t>
      </w:r>
    </w:p>
    <w:p w14:paraId="20FCA050" w14:textId="77777777" w:rsidR="00AC0EFB" w:rsidRDefault="00AC0EFB" w:rsidP="00DB1A1C">
      <w:pPr>
        <w:jc w:val="center"/>
        <w:rPr>
          <w:rFonts w:asciiTheme="majorHAnsi" w:eastAsia="Source Sans Pro" w:hAnsiTheme="majorHAnsi" w:cstheme="majorHAnsi"/>
          <w:b/>
          <w:color w:val="1F497D" w:themeColor="text2"/>
          <w:sz w:val="31"/>
          <w:szCs w:val="31"/>
          <w:lang w:bidi="en-US"/>
        </w:rPr>
      </w:pPr>
    </w:p>
    <w:p w14:paraId="19CF314D" w14:textId="2C966710" w:rsidR="00C233FB" w:rsidRPr="00AC0EFB" w:rsidRDefault="00DB1A1C" w:rsidP="00DB1A1C">
      <w:pPr>
        <w:jc w:val="center"/>
        <w:rPr>
          <w:rFonts w:asciiTheme="majorHAnsi" w:eastAsia="Source Sans Pro" w:hAnsiTheme="majorHAnsi" w:cstheme="majorHAnsi"/>
          <w:b/>
          <w:color w:val="1F497D" w:themeColor="text2"/>
          <w:sz w:val="32"/>
          <w:szCs w:val="32"/>
          <w:lang w:bidi="en-US"/>
        </w:rPr>
      </w:pPr>
      <w:r w:rsidRPr="00AC0EFB">
        <w:rPr>
          <w:rFonts w:asciiTheme="majorHAnsi" w:eastAsia="Source Sans Pro" w:hAnsiTheme="majorHAnsi" w:cstheme="majorHAnsi"/>
          <w:b/>
          <w:color w:val="1F497D" w:themeColor="text2"/>
          <w:sz w:val="32"/>
          <w:szCs w:val="32"/>
          <w:lang w:bidi="en-US"/>
        </w:rPr>
        <w:t xml:space="preserve">Governmental Advisory Committee Comments </w:t>
      </w:r>
    </w:p>
    <w:p w14:paraId="72454F5C" w14:textId="68026206" w:rsidR="00EC23DA" w:rsidRPr="00AC0EFB" w:rsidRDefault="00DB1A1C" w:rsidP="00DB1A1C">
      <w:pPr>
        <w:jc w:val="center"/>
        <w:rPr>
          <w:rFonts w:asciiTheme="majorHAnsi" w:eastAsia="Source Sans Pro" w:hAnsiTheme="majorHAnsi" w:cstheme="majorHAnsi"/>
          <w:b/>
          <w:color w:val="1F497D" w:themeColor="text2"/>
          <w:sz w:val="32"/>
          <w:szCs w:val="32"/>
          <w:lang w:bidi="en-US"/>
        </w:rPr>
      </w:pPr>
      <w:r w:rsidRPr="00AC0EFB">
        <w:rPr>
          <w:rFonts w:asciiTheme="majorHAnsi" w:eastAsia="Source Sans Pro" w:hAnsiTheme="majorHAnsi" w:cstheme="majorHAnsi"/>
          <w:b/>
          <w:color w:val="1F497D" w:themeColor="text2"/>
          <w:sz w:val="32"/>
          <w:szCs w:val="32"/>
          <w:lang w:bidi="en-US"/>
        </w:rPr>
        <w:t>Regarding</w:t>
      </w:r>
      <w:r w:rsidR="00C233FB" w:rsidRPr="00AC0EFB">
        <w:rPr>
          <w:rFonts w:asciiTheme="majorHAnsi" w:eastAsia="Source Sans Pro" w:hAnsiTheme="majorHAnsi" w:cstheme="majorHAnsi"/>
          <w:b/>
          <w:color w:val="1F497D" w:themeColor="text2"/>
          <w:sz w:val="32"/>
          <w:szCs w:val="32"/>
          <w:lang w:bidi="en-US"/>
        </w:rPr>
        <w:t xml:space="preserve"> </w:t>
      </w:r>
      <w:r w:rsidR="00EC23DA" w:rsidRPr="00AC0EFB">
        <w:rPr>
          <w:rFonts w:asciiTheme="majorHAnsi" w:eastAsia="Source Sans Pro" w:hAnsiTheme="majorHAnsi" w:cstheme="majorHAnsi"/>
          <w:b/>
          <w:color w:val="1F497D" w:themeColor="text2"/>
          <w:sz w:val="32"/>
          <w:szCs w:val="32"/>
          <w:lang w:bidi="en-US"/>
        </w:rPr>
        <w:t>Draft FY22-26 Operating &amp; Financial Plan</w:t>
      </w:r>
    </w:p>
    <w:p w14:paraId="6217E3E7" w14:textId="169EEC31" w:rsidR="00DB1A1C" w:rsidRPr="00AC0EFB" w:rsidRDefault="00EC23DA" w:rsidP="00AC0EFB">
      <w:pPr>
        <w:jc w:val="center"/>
        <w:rPr>
          <w:rFonts w:asciiTheme="majorHAnsi" w:eastAsia="Source Sans Pro" w:hAnsiTheme="majorHAnsi" w:cstheme="majorHAnsi"/>
          <w:b/>
          <w:color w:val="1F497D" w:themeColor="text2"/>
          <w:sz w:val="32"/>
          <w:szCs w:val="32"/>
          <w:lang w:bidi="en-US"/>
        </w:rPr>
      </w:pPr>
      <w:r w:rsidRPr="00AC0EFB">
        <w:rPr>
          <w:rFonts w:asciiTheme="majorHAnsi" w:eastAsia="Source Sans Pro" w:hAnsiTheme="majorHAnsi" w:cstheme="majorHAnsi"/>
          <w:b/>
          <w:color w:val="1F497D" w:themeColor="text2"/>
          <w:sz w:val="32"/>
          <w:szCs w:val="32"/>
          <w:lang w:bidi="en-US"/>
        </w:rPr>
        <w:t xml:space="preserve"> and Draft FY22 Operating Plan &amp; Budget</w:t>
      </w:r>
    </w:p>
    <w:p w14:paraId="498F1126" w14:textId="2AD2B8CA" w:rsidR="00DB1A1C" w:rsidRDefault="00AC0EFB" w:rsidP="00AC0EFB">
      <w:pPr>
        <w:jc w:val="center"/>
        <w:rPr>
          <w:rFonts w:asciiTheme="majorHAnsi" w:eastAsia="Source Sans Pro" w:hAnsiTheme="majorHAnsi" w:cstheme="majorHAnsi"/>
          <w:color w:val="1F497D" w:themeColor="text2"/>
          <w:sz w:val="31"/>
          <w:szCs w:val="31"/>
          <w:lang w:bidi="en-US"/>
        </w:rPr>
      </w:pPr>
      <w:r>
        <w:rPr>
          <w:rFonts w:asciiTheme="majorHAnsi" w:eastAsia="Source Sans Pro" w:hAnsiTheme="majorHAnsi" w:cstheme="majorHAnsi"/>
          <w:b/>
          <w:color w:val="1F497D" w:themeColor="text2"/>
          <w:sz w:val="31"/>
          <w:szCs w:val="31"/>
          <w:lang w:bidi="en-US"/>
        </w:rPr>
        <w:t>___________________________________________________</w:t>
      </w:r>
    </w:p>
    <w:p w14:paraId="7107EF47" w14:textId="77777777" w:rsidR="00AC0EFB" w:rsidRPr="00AC0EFB" w:rsidRDefault="00AC0EFB" w:rsidP="00AC0EFB">
      <w:pPr>
        <w:jc w:val="center"/>
        <w:rPr>
          <w:rFonts w:asciiTheme="majorHAnsi" w:eastAsia="Source Sans Pro" w:hAnsiTheme="majorHAnsi" w:cstheme="majorHAnsi"/>
          <w:color w:val="1F497D" w:themeColor="text2"/>
          <w:sz w:val="31"/>
          <w:szCs w:val="31"/>
          <w:lang w:bidi="en-US"/>
        </w:rPr>
      </w:pPr>
    </w:p>
    <w:p w14:paraId="0260CA85" w14:textId="77777777" w:rsidR="00E22345" w:rsidRDefault="00E22345" w:rsidP="00754C19">
      <w:pPr>
        <w:rPr>
          <w:rFonts w:ascii="Calibri" w:eastAsia="Calibri" w:hAnsi="Calibri" w:cs="Calibri"/>
          <w:b/>
          <w:color w:val="1F497D"/>
          <w:sz w:val="28"/>
          <w:szCs w:val="28"/>
        </w:rPr>
      </w:pPr>
    </w:p>
    <w:p w14:paraId="23CD7749" w14:textId="2EAB72D3" w:rsidR="00754C19" w:rsidRPr="00A61B03" w:rsidRDefault="00754C19" w:rsidP="00754C19">
      <w:pPr>
        <w:rPr>
          <w:rFonts w:asciiTheme="majorHAnsi" w:eastAsia="Calibri" w:hAnsiTheme="majorHAnsi" w:cstheme="majorHAnsi"/>
          <w:b/>
          <w:color w:val="1F497D"/>
          <w:sz w:val="28"/>
          <w:szCs w:val="28"/>
        </w:rPr>
      </w:pPr>
      <w:r w:rsidRPr="00A61B03">
        <w:rPr>
          <w:rFonts w:asciiTheme="majorHAnsi" w:eastAsia="Calibri" w:hAnsiTheme="majorHAnsi" w:cstheme="majorHAnsi"/>
          <w:b/>
          <w:color w:val="1F497D"/>
          <w:sz w:val="28"/>
          <w:szCs w:val="28"/>
        </w:rPr>
        <w:t xml:space="preserve">Introduction </w:t>
      </w:r>
    </w:p>
    <w:p w14:paraId="1C6600CA" w14:textId="77777777" w:rsidR="00754C19" w:rsidRPr="00A61B03" w:rsidRDefault="00754C19" w:rsidP="00754C19">
      <w:pPr>
        <w:rPr>
          <w:rFonts w:asciiTheme="majorHAnsi" w:hAnsiTheme="majorHAnsi" w:cstheme="majorHAnsi"/>
        </w:rPr>
      </w:pPr>
    </w:p>
    <w:p w14:paraId="103913FC" w14:textId="5C0835D6" w:rsidR="00754C19" w:rsidRPr="006B2202" w:rsidRDefault="00754C19" w:rsidP="00A61B03">
      <w:pPr>
        <w:spacing w:line="276" w:lineRule="auto"/>
        <w:rPr>
          <w:rFonts w:ascii="Calibri" w:hAnsi="Calibri" w:cs="Calibri"/>
          <w:lang w:val="en"/>
        </w:rPr>
      </w:pPr>
      <w:r w:rsidRPr="006B2202">
        <w:rPr>
          <w:rFonts w:ascii="Calibri" w:hAnsi="Calibri" w:cs="Calibri"/>
        </w:rPr>
        <w:t>The ICANN Governmental Advisory Committee (GAC) welcomes the opportunity to provide comments on the Draft FY2</w:t>
      </w:r>
      <w:r w:rsidR="006A46D8" w:rsidRPr="006B2202">
        <w:rPr>
          <w:rFonts w:ascii="Calibri" w:hAnsi="Calibri" w:cs="Calibri"/>
        </w:rPr>
        <w:t>2</w:t>
      </w:r>
      <w:r w:rsidRPr="006B2202">
        <w:rPr>
          <w:rFonts w:ascii="Calibri" w:hAnsi="Calibri" w:cs="Calibri"/>
        </w:rPr>
        <w:t>-2</w:t>
      </w:r>
      <w:r w:rsidR="006A46D8" w:rsidRPr="006B2202">
        <w:rPr>
          <w:rFonts w:ascii="Calibri" w:hAnsi="Calibri" w:cs="Calibri"/>
        </w:rPr>
        <w:t>6</w:t>
      </w:r>
      <w:r w:rsidRPr="006B2202">
        <w:rPr>
          <w:rFonts w:ascii="Calibri" w:hAnsi="Calibri" w:cs="Calibri"/>
        </w:rPr>
        <w:t xml:space="preserve"> Operating &amp; Financial Plan</w:t>
      </w:r>
      <w:r w:rsidR="00057332">
        <w:rPr>
          <w:rFonts w:ascii="Calibri" w:hAnsi="Calibri" w:cs="Calibri"/>
        </w:rPr>
        <w:t>s</w:t>
      </w:r>
      <w:r w:rsidRPr="006B2202">
        <w:rPr>
          <w:rFonts w:ascii="Calibri" w:hAnsi="Calibri" w:cs="Calibri"/>
        </w:rPr>
        <w:t xml:space="preserve"> and Draft FY2</w:t>
      </w:r>
      <w:r w:rsidR="006A46D8" w:rsidRPr="006B2202">
        <w:rPr>
          <w:rFonts w:ascii="Calibri" w:hAnsi="Calibri" w:cs="Calibri"/>
        </w:rPr>
        <w:t>2</w:t>
      </w:r>
      <w:r w:rsidRPr="006B2202">
        <w:rPr>
          <w:rFonts w:ascii="Calibri" w:hAnsi="Calibri" w:cs="Calibri"/>
        </w:rPr>
        <w:t xml:space="preserve"> Operating Plan &amp; Budget published on </w:t>
      </w:r>
      <w:r w:rsidR="00E22345" w:rsidRPr="006B2202">
        <w:rPr>
          <w:rFonts w:ascii="Calibri" w:hAnsi="Calibri" w:cs="Calibri"/>
        </w:rPr>
        <w:t>17</w:t>
      </w:r>
      <w:r w:rsidRPr="006B2202">
        <w:rPr>
          <w:rFonts w:ascii="Calibri" w:hAnsi="Calibri" w:cs="Calibri"/>
        </w:rPr>
        <w:t xml:space="preserve"> December 20</w:t>
      </w:r>
      <w:r w:rsidR="00A61B03" w:rsidRPr="006B2202">
        <w:rPr>
          <w:rFonts w:ascii="Calibri" w:hAnsi="Calibri" w:cs="Calibri"/>
        </w:rPr>
        <w:t>20</w:t>
      </w:r>
      <w:r w:rsidRPr="006B2202">
        <w:rPr>
          <w:rFonts w:ascii="Calibri" w:hAnsi="Calibri" w:cs="Calibri"/>
        </w:rPr>
        <w:t xml:space="preserve"> (</w:t>
      </w:r>
      <w:r w:rsidR="006A46D8" w:rsidRPr="006B2202">
        <w:rPr>
          <w:rFonts w:ascii="Calibri" w:hAnsi="Calibri" w:cs="Calibri"/>
        </w:rPr>
        <w:t xml:space="preserve">see - </w:t>
      </w:r>
      <w:hyperlink r:id="rId7" w:history="1">
        <w:r w:rsidR="006A46D8" w:rsidRPr="006B2202">
          <w:rPr>
            <w:rStyle w:val="Hyperlink"/>
            <w:rFonts w:ascii="Calibri" w:hAnsi="Calibri" w:cs="Calibri"/>
          </w:rPr>
          <w:t>https://www.icann.org/public-comments/draft-opplan-budget-fy22-26-2020-12-17-en</w:t>
        </w:r>
      </w:hyperlink>
      <w:r w:rsidRPr="006B2202">
        <w:rPr>
          <w:rFonts w:ascii="Calibri" w:hAnsi="Calibri" w:cs="Calibri"/>
        </w:rPr>
        <w:t xml:space="preserve">). </w:t>
      </w:r>
      <w:r w:rsidRPr="006B2202">
        <w:rPr>
          <w:rFonts w:ascii="Calibri" w:hAnsi="Calibri" w:cs="Calibri"/>
          <w:lang w:val="en"/>
        </w:rPr>
        <w:t>GAC members have reviewed ICANN org’s</w:t>
      </w:r>
      <w:r w:rsidR="006B2202" w:rsidRPr="006B2202">
        <w:rPr>
          <w:rFonts w:ascii="Calibri" w:hAnsi="Calibri" w:cs="Calibri"/>
          <w:lang w:val="en"/>
        </w:rPr>
        <w:t xml:space="preserve"> draft </w:t>
      </w:r>
      <w:r w:rsidRPr="006B2202">
        <w:rPr>
          <w:rFonts w:ascii="Calibri" w:hAnsi="Calibri" w:cs="Calibri"/>
          <w:lang w:val="en"/>
        </w:rPr>
        <w:t>planning documents and herein provide targeted comments regarding specific aspects of the draft</w:t>
      </w:r>
      <w:r w:rsidR="00057332">
        <w:rPr>
          <w:rFonts w:ascii="Calibri" w:hAnsi="Calibri" w:cs="Calibri"/>
          <w:lang w:val="en"/>
        </w:rPr>
        <w:t xml:space="preserve"> </w:t>
      </w:r>
      <w:r w:rsidRPr="006B2202">
        <w:rPr>
          <w:rFonts w:ascii="Calibri" w:hAnsi="Calibri" w:cs="Calibri"/>
          <w:lang w:val="en"/>
        </w:rPr>
        <w:t>pro</w:t>
      </w:r>
      <w:r w:rsidR="006B2202">
        <w:rPr>
          <w:rFonts w:ascii="Calibri" w:hAnsi="Calibri" w:cs="Calibri"/>
          <w:lang w:val="en"/>
        </w:rPr>
        <w:t>posals</w:t>
      </w:r>
      <w:r w:rsidRPr="006B2202">
        <w:rPr>
          <w:rFonts w:ascii="Calibri" w:hAnsi="Calibri" w:cs="Calibri"/>
          <w:lang w:val="en"/>
        </w:rPr>
        <w:t xml:space="preserve"> that are applicable to GAC activities.</w:t>
      </w:r>
      <w:r w:rsidRPr="006B2202">
        <w:rPr>
          <w:rFonts w:ascii="Calibri" w:hAnsi="Calibri" w:cs="Calibri"/>
          <w:vertAlign w:val="superscript"/>
          <w:lang w:val="en"/>
        </w:rPr>
        <w:footnoteReference w:id="1"/>
      </w:r>
    </w:p>
    <w:p w14:paraId="78C072C6" w14:textId="77777777" w:rsidR="00754C19" w:rsidRPr="00A61B03" w:rsidRDefault="00754C19" w:rsidP="00754C19">
      <w:pPr>
        <w:rPr>
          <w:rFonts w:asciiTheme="majorHAnsi" w:hAnsiTheme="majorHAnsi" w:cstheme="majorHAnsi"/>
          <w:lang w:val="en"/>
        </w:rPr>
      </w:pPr>
    </w:p>
    <w:p w14:paraId="0A001A08" w14:textId="77777777" w:rsidR="00754C19" w:rsidRPr="00A61B03" w:rsidRDefault="00754C19" w:rsidP="00A61B03">
      <w:pPr>
        <w:rPr>
          <w:rFonts w:asciiTheme="majorHAnsi" w:hAnsiTheme="majorHAnsi" w:cstheme="majorHAnsi"/>
          <w:b/>
          <w:color w:val="1F497D" w:themeColor="text2"/>
          <w:sz w:val="28"/>
          <w:szCs w:val="28"/>
        </w:rPr>
      </w:pPr>
      <w:r w:rsidRPr="00A61B03">
        <w:rPr>
          <w:rFonts w:asciiTheme="majorHAnsi" w:hAnsiTheme="majorHAnsi" w:cstheme="majorHAnsi"/>
          <w:b/>
          <w:color w:val="1F497D" w:themeColor="text2"/>
          <w:sz w:val="28"/>
          <w:szCs w:val="28"/>
        </w:rPr>
        <w:t xml:space="preserve">General Comments </w:t>
      </w:r>
    </w:p>
    <w:p w14:paraId="40F36160" w14:textId="77777777" w:rsidR="00754C19" w:rsidRPr="00A61B03" w:rsidRDefault="00754C19" w:rsidP="00754C19">
      <w:pPr>
        <w:rPr>
          <w:rFonts w:asciiTheme="majorHAnsi" w:hAnsiTheme="majorHAnsi" w:cstheme="majorHAnsi"/>
          <w:b/>
        </w:rPr>
      </w:pPr>
    </w:p>
    <w:p w14:paraId="53EB69C1" w14:textId="2D6DE7FF" w:rsidR="00754C19" w:rsidRPr="006B2202" w:rsidRDefault="00754C19" w:rsidP="00A61B03">
      <w:pPr>
        <w:pBdr>
          <w:top w:val="nil"/>
          <w:left w:val="nil"/>
          <w:bottom w:val="nil"/>
          <w:right w:val="nil"/>
          <w:between w:val="nil"/>
        </w:pBdr>
        <w:spacing w:line="276" w:lineRule="auto"/>
        <w:rPr>
          <w:rFonts w:ascii="Calibri" w:hAnsi="Calibri" w:cs="Calibri"/>
        </w:rPr>
      </w:pPr>
      <w:r w:rsidRPr="006B2202">
        <w:rPr>
          <w:rFonts w:ascii="Calibri" w:hAnsi="Calibri" w:cs="Calibri"/>
        </w:rPr>
        <w:t xml:space="preserve">The GAC thanks the ICANN org Finance Team for </w:t>
      </w:r>
      <w:r w:rsidR="00AB417B" w:rsidRPr="006B2202">
        <w:rPr>
          <w:rFonts w:ascii="Calibri" w:hAnsi="Calibri" w:cs="Calibri"/>
        </w:rPr>
        <w:t xml:space="preserve">further </w:t>
      </w:r>
      <w:r w:rsidRPr="006B2202">
        <w:rPr>
          <w:rFonts w:ascii="Calibri" w:hAnsi="Calibri" w:cs="Calibri"/>
        </w:rPr>
        <w:t>improv</w:t>
      </w:r>
      <w:r w:rsidR="00AB417B" w:rsidRPr="006B2202">
        <w:rPr>
          <w:rFonts w:ascii="Calibri" w:hAnsi="Calibri" w:cs="Calibri"/>
        </w:rPr>
        <w:t xml:space="preserve">ing </w:t>
      </w:r>
      <w:r w:rsidRPr="006B2202">
        <w:rPr>
          <w:rFonts w:ascii="Calibri" w:hAnsi="Calibri" w:cs="Calibri"/>
        </w:rPr>
        <w:t xml:space="preserve">the detail and scope of information provided </w:t>
      </w:r>
      <w:r w:rsidR="00E22345" w:rsidRPr="006B2202">
        <w:rPr>
          <w:rFonts w:ascii="Calibri" w:hAnsi="Calibri" w:cs="Calibri"/>
        </w:rPr>
        <w:t xml:space="preserve">to the community </w:t>
      </w:r>
      <w:r w:rsidRPr="006B2202">
        <w:rPr>
          <w:rFonts w:ascii="Calibri" w:hAnsi="Calibri" w:cs="Calibri"/>
        </w:rPr>
        <w:t xml:space="preserve">in the draft operating plan and budget materials. Over the past few years, </w:t>
      </w:r>
      <w:r w:rsidR="00E22345" w:rsidRPr="006B2202">
        <w:rPr>
          <w:rFonts w:ascii="Calibri" w:hAnsi="Calibri" w:cs="Calibri"/>
        </w:rPr>
        <w:t>t</w:t>
      </w:r>
      <w:r w:rsidRPr="006B2202">
        <w:rPr>
          <w:rFonts w:ascii="Calibri" w:hAnsi="Calibri" w:cs="Calibri"/>
        </w:rPr>
        <w:t xml:space="preserve">he GAC Leadership </w:t>
      </w:r>
      <w:r w:rsidR="00E22345" w:rsidRPr="006B2202">
        <w:rPr>
          <w:rFonts w:ascii="Calibri" w:hAnsi="Calibri" w:cs="Calibri"/>
        </w:rPr>
        <w:t>has observed ongoing i</w:t>
      </w:r>
      <w:r w:rsidR="00AB417B" w:rsidRPr="006B2202">
        <w:rPr>
          <w:rFonts w:ascii="Calibri" w:hAnsi="Calibri" w:cs="Calibri"/>
        </w:rPr>
        <w:t xml:space="preserve">mprovements to the </w:t>
      </w:r>
      <w:r w:rsidRPr="006B2202">
        <w:rPr>
          <w:rFonts w:ascii="Calibri" w:hAnsi="Calibri" w:cs="Calibri"/>
        </w:rPr>
        <w:t xml:space="preserve">format and detail of the extensive materials made available for </w:t>
      </w:r>
      <w:r w:rsidR="00E22345" w:rsidRPr="006B2202">
        <w:rPr>
          <w:rFonts w:ascii="Calibri" w:hAnsi="Calibri" w:cs="Calibri"/>
        </w:rPr>
        <w:t xml:space="preserve">community </w:t>
      </w:r>
      <w:r w:rsidRPr="006B2202">
        <w:rPr>
          <w:rFonts w:ascii="Calibri" w:hAnsi="Calibri" w:cs="Calibri"/>
        </w:rPr>
        <w:t>review</w:t>
      </w:r>
      <w:r w:rsidR="00AB417B" w:rsidRPr="006B2202">
        <w:rPr>
          <w:rFonts w:ascii="Calibri" w:hAnsi="Calibri" w:cs="Calibri"/>
        </w:rPr>
        <w:t xml:space="preserve"> as well as </w:t>
      </w:r>
      <w:r w:rsidR="00E22345" w:rsidRPr="006B2202">
        <w:rPr>
          <w:rFonts w:ascii="Calibri" w:hAnsi="Calibri" w:cs="Calibri"/>
        </w:rPr>
        <w:t xml:space="preserve">the information provided during direct </w:t>
      </w:r>
      <w:r w:rsidR="00AB417B" w:rsidRPr="006B2202">
        <w:rPr>
          <w:rFonts w:ascii="Calibri" w:hAnsi="Calibri" w:cs="Calibri"/>
        </w:rPr>
        <w:t>opportunit</w:t>
      </w:r>
      <w:r w:rsidR="00E22345" w:rsidRPr="006B2202">
        <w:rPr>
          <w:rFonts w:ascii="Calibri" w:hAnsi="Calibri" w:cs="Calibri"/>
        </w:rPr>
        <w:t>ies</w:t>
      </w:r>
      <w:r w:rsidR="00AB417B" w:rsidRPr="006B2202">
        <w:rPr>
          <w:rFonts w:ascii="Calibri" w:hAnsi="Calibri" w:cs="Calibri"/>
        </w:rPr>
        <w:t xml:space="preserve"> </w:t>
      </w:r>
      <w:r w:rsidR="00E22345" w:rsidRPr="006B2202">
        <w:rPr>
          <w:rFonts w:ascii="Calibri" w:hAnsi="Calibri" w:cs="Calibri"/>
        </w:rPr>
        <w:t>for community i</w:t>
      </w:r>
      <w:r w:rsidR="00AB417B" w:rsidRPr="006B2202">
        <w:rPr>
          <w:rFonts w:ascii="Calibri" w:hAnsi="Calibri" w:cs="Calibri"/>
        </w:rPr>
        <w:t xml:space="preserve">nformation sharing with the ICANN org Finance </w:t>
      </w:r>
      <w:r w:rsidR="00E22345" w:rsidRPr="006B2202">
        <w:rPr>
          <w:rFonts w:ascii="Calibri" w:hAnsi="Calibri" w:cs="Calibri"/>
        </w:rPr>
        <w:t>T</w:t>
      </w:r>
      <w:r w:rsidR="00AB417B" w:rsidRPr="006B2202">
        <w:rPr>
          <w:rFonts w:ascii="Calibri" w:hAnsi="Calibri" w:cs="Calibri"/>
        </w:rPr>
        <w:t>eam</w:t>
      </w:r>
      <w:r w:rsidRPr="006B2202">
        <w:rPr>
          <w:rFonts w:ascii="Calibri" w:hAnsi="Calibri" w:cs="Calibri"/>
        </w:rPr>
        <w:t xml:space="preserve">. </w:t>
      </w:r>
      <w:r w:rsidR="00E22345" w:rsidRPr="006B2202">
        <w:rPr>
          <w:rFonts w:ascii="Calibri" w:hAnsi="Calibri" w:cs="Calibri"/>
        </w:rPr>
        <w:t xml:space="preserve">It has also been noted that this year’s public comment opportunity </w:t>
      </w:r>
      <w:r w:rsidR="00E22345" w:rsidRPr="006B2202">
        <w:rPr>
          <w:rFonts w:ascii="Calibri" w:hAnsi="Calibri" w:cs="Calibri"/>
        </w:rPr>
        <w:lastRenderedPageBreak/>
        <w:t xml:space="preserve">has again been moved up to occur earlier in the calendar year, </w:t>
      </w:r>
      <w:r w:rsidR="00A61B03" w:rsidRPr="006B2202">
        <w:rPr>
          <w:rFonts w:ascii="Calibri" w:hAnsi="Calibri" w:cs="Calibri"/>
        </w:rPr>
        <w:t xml:space="preserve">continuing the trend of </w:t>
      </w:r>
      <w:r w:rsidR="006B2202" w:rsidRPr="006B2202">
        <w:rPr>
          <w:rFonts w:ascii="Calibri" w:hAnsi="Calibri" w:cs="Calibri"/>
        </w:rPr>
        <w:t xml:space="preserve">productively </w:t>
      </w:r>
      <w:r w:rsidR="00A61B03" w:rsidRPr="006B2202">
        <w:rPr>
          <w:rFonts w:ascii="Calibri" w:hAnsi="Calibri" w:cs="Calibri"/>
        </w:rPr>
        <w:t xml:space="preserve">extending the time period available for </w:t>
      </w:r>
      <w:r w:rsidR="00E22345" w:rsidRPr="006B2202">
        <w:rPr>
          <w:rFonts w:ascii="Calibri" w:hAnsi="Calibri" w:cs="Calibri"/>
        </w:rPr>
        <w:t xml:space="preserve">organizational and community planning. </w:t>
      </w:r>
    </w:p>
    <w:p w14:paraId="5EC46033" w14:textId="77777777" w:rsidR="00E22345" w:rsidRPr="00A61B03" w:rsidRDefault="00E22345">
      <w:pPr>
        <w:spacing w:before="120"/>
        <w:rPr>
          <w:rFonts w:asciiTheme="majorHAnsi" w:eastAsia="Source Sans Pro" w:hAnsiTheme="majorHAnsi" w:cstheme="majorHAnsi"/>
          <w:b/>
          <w:color w:val="1F497D" w:themeColor="text2"/>
          <w:sz w:val="26"/>
          <w:szCs w:val="26"/>
        </w:rPr>
      </w:pPr>
    </w:p>
    <w:p w14:paraId="7981F478" w14:textId="5645F6D4" w:rsidR="005220ED" w:rsidRPr="00A61B03" w:rsidRDefault="00754C19" w:rsidP="00912E95">
      <w:pPr>
        <w:spacing w:before="120" w:after="240"/>
        <w:rPr>
          <w:rFonts w:asciiTheme="majorHAnsi" w:eastAsia="Source Sans Pro" w:hAnsiTheme="majorHAnsi" w:cstheme="majorHAnsi"/>
          <w:b/>
          <w:color w:val="1F497D" w:themeColor="text2"/>
          <w:sz w:val="28"/>
          <w:szCs w:val="28"/>
        </w:rPr>
      </w:pPr>
      <w:r w:rsidRPr="00A61B03">
        <w:rPr>
          <w:rFonts w:asciiTheme="majorHAnsi" w:eastAsia="Source Sans Pro" w:hAnsiTheme="majorHAnsi" w:cstheme="majorHAnsi"/>
          <w:b/>
          <w:color w:val="1F497D" w:themeColor="text2"/>
          <w:sz w:val="28"/>
          <w:szCs w:val="28"/>
        </w:rPr>
        <w:t>Specific</w:t>
      </w:r>
      <w:r w:rsidR="00E0237C" w:rsidRPr="00A61B03">
        <w:rPr>
          <w:rFonts w:asciiTheme="majorHAnsi" w:eastAsia="Source Sans Pro" w:hAnsiTheme="majorHAnsi" w:cstheme="majorHAnsi"/>
          <w:b/>
          <w:color w:val="1F497D" w:themeColor="text2"/>
          <w:sz w:val="28"/>
          <w:szCs w:val="28"/>
        </w:rPr>
        <w:t xml:space="preserve"> GAC Comments</w:t>
      </w:r>
    </w:p>
    <w:p w14:paraId="3066B1C7" w14:textId="58F39A2A" w:rsidR="00A61B03" w:rsidRPr="006B2202" w:rsidRDefault="00E22345" w:rsidP="00A61B03">
      <w:pPr>
        <w:spacing w:before="120" w:line="276" w:lineRule="auto"/>
        <w:rPr>
          <w:rFonts w:ascii="Calibri" w:eastAsia="Source Sans Pro" w:hAnsi="Calibri" w:cs="Calibri"/>
          <w:bCs/>
          <w:color w:val="000000" w:themeColor="text1"/>
        </w:rPr>
      </w:pPr>
      <w:r w:rsidRPr="006B2202">
        <w:rPr>
          <w:rFonts w:ascii="Calibri" w:eastAsia="Source Sans Pro" w:hAnsi="Calibri" w:cs="Calibri"/>
          <w:bCs/>
          <w:color w:val="000000" w:themeColor="text1"/>
        </w:rPr>
        <w:t>The GAC is pleased to acknowledge the</w:t>
      </w:r>
      <w:r w:rsidR="006B2202">
        <w:rPr>
          <w:rFonts w:ascii="Calibri" w:eastAsia="Source Sans Pro" w:hAnsi="Calibri" w:cs="Calibri"/>
          <w:bCs/>
          <w:color w:val="000000" w:themeColor="text1"/>
        </w:rPr>
        <w:t xml:space="preserve"> apparent</w:t>
      </w:r>
      <w:r w:rsidRPr="006B2202">
        <w:rPr>
          <w:rFonts w:ascii="Calibri" w:eastAsia="Source Sans Pro" w:hAnsi="Calibri" w:cs="Calibri"/>
          <w:bCs/>
          <w:color w:val="000000" w:themeColor="text1"/>
        </w:rPr>
        <w:t xml:space="preserve"> careful coordination </w:t>
      </w:r>
      <w:r w:rsidR="00057332">
        <w:rPr>
          <w:rFonts w:ascii="Calibri" w:eastAsia="Source Sans Pro" w:hAnsi="Calibri" w:cs="Calibri"/>
          <w:bCs/>
          <w:color w:val="000000" w:themeColor="text1"/>
        </w:rPr>
        <w:t xml:space="preserve">within and </w:t>
      </w:r>
      <w:r w:rsidRPr="006B2202">
        <w:rPr>
          <w:rFonts w:ascii="Calibri" w:eastAsia="Source Sans Pro" w:hAnsi="Calibri" w:cs="Calibri"/>
          <w:bCs/>
          <w:color w:val="000000" w:themeColor="text1"/>
        </w:rPr>
        <w:t>between both the Draft Operating and Financial Plan</w:t>
      </w:r>
      <w:r w:rsidR="00057332">
        <w:rPr>
          <w:rFonts w:ascii="Calibri" w:eastAsia="Source Sans Pro" w:hAnsi="Calibri" w:cs="Calibri"/>
          <w:bCs/>
          <w:color w:val="000000" w:themeColor="text1"/>
        </w:rPr>
        <w:t>s</w:t>
      </w:r>
      <w:r w:rsidRPr="006B2202">
        <w:rPr>
          <w:rFonts w:ascii="Calibri" w:eastAsia="Source Sans Pro" w:hAnsi="Calibri" w:cs="Calibri"/>
          <w:bCs/>
          <w:color w:val="000000" w:themeColor="text1"/>
        </w:rPr>
        <w:t xml:space="preserve"> </w:t>
      </w:r>
      <w:r w:rsidR="00057332">
        <w:rPr>
          <w:rFonts w:ascii="Calibri" w:eastAsia="Source Sans Pro" w:hAnsi="Calibri" w:cs="Calibri"/>
          <w:bCs/>
          <w:color w:val="000000" w:themeColor="text1"/>
        </w:rPr>
        <w:t>for</w:t>
      </w:r>
      <w:r w:rsidRPr="006B2202">
        <w:rPr>
          <w:rFonts w:ascii="Calibri" w:eastAsia="Source Sans Pro" w:hAnsi="Calibri" w:cs="Calibri"/>
          <w:bCs/>
          <w:color w:val="000000" w:themeColor="text1"/>
        </w:rPr>
        <w:t xml:space="preserve"> FY22-26</w:t>
      </w:r>
      <w:r w:rsidR="00057332">
        <w:rPr>
          <w:rFonts w:ascii="Calibri" w:eastAsia="Source Sans Pro" w:hAnsi="Calibri" w:cs="Calibri"/>
          <w:bCs/>
          <w:color w:val="000000" w:themeColor="text1"/>
        </w:rPr>
        <w:t xml:space="preserve"> and FY22</w:t>
      </w:r>
      <w:r w:rsidRPr="006B2202">
        <w:rPr>
          <w:rFonts w:ascii="Calibri" w:eastAsia="Source Sans Pro" w:hAnsi="Calibri" w:cs="Calibri"/>
          <w:bCs/>
          <w:color w:val="000000" w:themeColor="text1"/>
        </w:rPr>
        <w:t xml:space="preserve"> (</w:t>
      </w:r>
      <w:r w:rsidR="00A61B03" w:rsidRPr="006B2202">
        <w:rPr>
          <w:rFonts w:ascii="Calibri" w:eastAsia="Source Sans Pro" w:hAnsi="Calibri" w:cs="Calibri"/>
          <w:bCs/>
          <w:color w:val="000000" w:themeColor="text1"/>
        </w:rPr>
        <w:t xml:space="preserve">hereinafter </w:t>
      </w:r>
      <w:r w:rsidRPr="006B2202">
        <w:rPr>
          <w:rFonts w:ascii="Calibri" w:eastAsia="Source Sans Pro" w:hAnsi="Calibri" w:cs="Calibri"/>
          <w:bCs/>
          <w:color w:val="000000" w:themeColor="text1"/>
        </w:rPr>
        <w:t xml:space="preserve">Draft </w:t>
      </w:r>
      <w:r w:rsidR="006B2202">
        <w:rPr>
          <w:rFonts w:ascii="Calibri" w:eastAsia="Source Sans Pro" w:hAnsi="Calibri" w:cs="Calibri"/>
          <w:bCs/>
          <w:color w:val="000000" w:themeColor="text1"/>
        </w:rPr>
        <w:t xml:space="preserve">FY22-26 </w:t>
      </w:r>
      <w:r w:rsidRPr="006B2202">
        <w:rPr>
          <w:rFonts w:ascii="Calibri" w:eastAsia="Source Sans Pro" w:hAnsi="Calibri" w:cs="Calibri"/>
          <w:bCs/>
          <w:color w:val="000000" w:themeColor="text1"/>
        </w:rPr>
        <w:t>O&amp;FP</w:t>
      </w:r>
      <w:r w:rsidR="00A61B03" w:rsidRPr="006B2202">
        <w:rPr>
          <w:rFonts w:ascii="Calibri" w:eastAsia="Source Sans Pro" w:hAnsi="Calibri" w:cs="Calibri"/>
          <w:bCs/>
          <w:color w:val="000000" w:themeColor="text1"/>
        </w:rPr>
        <w:t xml:space="preserve"> - </w:t>
      </w:r>
      <w:hyperlink r:id="rId8" w:history="1">
        <w:r w:rsidR="00A61B03" w:rsidRPr="006B2202">
          <w:rPr>
            <w:rStyle w:val="Hyperlink"/>
            <w:rFonts w:ascii="Calibri" w:eastAsia="Source Sans Pro" w:hAnsi="Calibri" w:cs="Calibri"/>
            <w:bCs/>
          </w:rPr>
          <w:t>https://www.icann.org/en/system/files/files/draft-op-financial-fy22-26-opplan-fy22-2020-en.pdf</w:t>
        </w:r>
      </w:hyperlink>
      <w:r w:rsidRPr="006B2202">
        <w:rPr>
          <w:rFonts w:ascii="Calibri" w:eastAsia="Source Sans Pro" w:hAnsi="Calibri" w:cs="Calibri"/>
          <w:bCs/>
          <w:color w:val="000000" w:themeColor="text1"/>
        </w:rPr>
        <w:t xml:space="preserve">) and the Draft FY22 </w:t>
      </w:r>
      <w:r w:rsidR="00A61B03" w:rsidRPr="006B2202">
        <w:rPr>
          <w:rFonts w:ascii="Calibri" w:eastAsia="Source Sans Pro" w:hAnsi="Calibri" w:cs="Calibri"/>
          <w:bCs/>
          <w:color w:val="000000" w:themeColor="text1"/>
        </w:rPr>
        <w:t xml:space="preserve">Operating Plan &amp; </w:t>
      </w:r>
      <w:r w:rsidRPr="006B2202">
        <w:rPr>
          <w:rFonts w:ascii="Calibri" w:eastAsia="Source Sans Pro" w:hAnsi="Calibri" w:cs="Calibri"/>
          <w:bCs/>
          <w:color w:val="000000" w:themeColor="text1"/>
        </w:rPr>
        <w:t>Budget (</w:t>
      </w:r>
      <w:r w:rsidR="009F113A">
        <w:rPr>
          <w:rFonts w:ascii="Calibri" w:eastAsia="Source Sans Pro" w:hAnsi="Calibri" w:cs="Calibri"/>
          <w:bCs/>
          <w:color w:val="000000" w:themeColor="text1"/>
        </w:rPr>
        <w:t>hereinafter</w:t>
      </w:r>
      <w:r w:rsidR="00A61B03" w:rsidRPr="006B2202">
        <w:rPr>
          <w:rFonts w:ascii="Calibri" w:eastAsia="Source Sans Pro" w:hAnsi="Calibri" w:cs="Calibri"/>
          <w:bCs/>
          <w:color w:val="000000" w:themeColor="text1"/>
        </w:rPr>
        <w:t xml:space="preserve"> Draft FY22 Budget </w:t>
      </w:r>
      <w:hyperlink r:id="rId9" w:history="1">
        <w:r w:rsidR="00A61B03" w:rsidRPr="006B2202">
          <w:rPr>
            <w:rStyle w:val="Hyperlink"/>
            <w:rFonts w:ascii="Calibri" w:eastAsia="Source Sans Pro" w:hAnsi="Calibri" w:cs="Calibri"/>
            <w:bCs/>
          </w:rPr>
          <w:t>draft-budget-fy22-2020-en.pdf</w:t>
        </w:r>
      </w:hyperlink>
      <w:r w:rsidRPr="006B2202">
        <w:rPr>
          <w:rFonts w:ascii="Calibri" w:eastAsia="Source Sans Pro" w:hAnsi="Calibri" w:cs="Calibri"/>
          <w:bCs/>
          <w:color w:val="000000" w:themeColor="text1"/>
        </w:rPr>
        <w:t>)</w:t>
      </w:r>
      <w:r w:rsidR="00057332">
        <w:rPr>
          <w:rFonts w:ascii="Calibri" w:eastAsia="Source Sans Pro" w:hAnsi="Calibri" w:cs="Calibri"/>
          <w:bCs/>
          <w:color w:val="000000" w:themeColor="text1"/>
        </w:rPr>
        <w:t xml:space="preserve">. The draft </w:t>
      </w:r>
      <w:r w:rsidRPr="006B2202">
        <w:rPr>
          <w:rFonts w:ascii="Calibri" w:eastAsia="Source Sans Pro" w:hAnsi="Calibri" w:cs="Calibri"/>
          <w:bCs/>
          <w:color w:val="000000" w:themeColor="text1"/>
        </w:rPr>
        <w:t>documentation</w:t>
      </w:r>
      <w:r w:rsidR="00057332">
        <w:rPr>
          <w:rFonts w:ascii="Calibri" w:eastAsia="Source Sans Pro" w:hAnsi="Calibri" w:cs="Calibri"/>
          <w:bCs/>
          <w:color w:val="000000" w:themeColor="text1"/>
        </w:rPr>
        <w:t xml:space="preserve"> allows readers to see how the organization’s strategic and operating initiatives are addressed over the course of both one-year and five-year operating plan periods</w:t>
      </w:r>
      <w:r w:rsidRPr="006B2202">
        <w:rPr>
          <w:rFonts w:ascii="Calibri" w:eastAsia="Source Sans Pro" w:hAnsi="Calibri" w:cs="Calibri"/>
          <w:bCs/>
          <w:color w:val="000000" w:themeColor="text1"/>
        </w:rPr>
        <w:t xml:space="preserve">. This coordination is important in </w:t>
      </w:r>
      <w:r w:rsidR="00912E95" w:rsidRPr="006B2202">
        <w:rPr>
          <w:rFonts w:ascii="Calibri" w:eastAsia="Source Sans Pro" w:hAnsi="Calibri" w:cs="Calibri"/>
          <w:bCs/>
          <w:color w:val="000000" w:themeColor="text1"/>
        </w:rPr>
        <w:t>providing assurances to</w:t>
      </w:r>
      <w:r w:rsidRPr="006B2202">
        <w:rPr>
          <w:rFonts w:ascii="Calibri" w:eastAsia="Source Sans Pro" w:hAnsi="Calibri" w:cs="Calibri"/>
          <w:bCs/>
          <w:color w:val="000000" w:themeColor="text1"/>
        </w:rPr>
        <w:t xml:space="preserve"> </w:t>
      </w:r>
      <w:r w:rsidR="00912E95" w:rsidRPr="006B2202">
        <w:rPr>
          <w:rFonts w:ascii="Calibri" w:eastAsia="Source Sans Pro" w:hAnsi="Calibri" w:cs="Calibri"/>
          <w:bCs/>
          <w:color w:val="000000" w:themeColor="text1"/>
        </w:rPr>
        <w:t xml:space="preserve">governments </w:t>
      </w:r>
      <w:r w:rsidRPr="006B2202">
        <w:rPr>
          <w:rFonts w:ascii="Calibri" w:eastAsia="Source Sans Pro" w:hAnsi="Calibri" w:cs="Calibri"/>
          <w:bCs/>
          <w:color w:val="000000" w:themeColor="text1"/>
        </w:rPr>
        <w:t>that parti</w:t>
      </w:r>
      <w:r w:rsidR="00912E95" w:rsidRPr="006B2202">
        <w:rPr>
          <w:rFonts w:ascii="Calibri" w:eastAsia="Source Sans Pro" w:hAnsi="Calibri" w:cs="Calibri"/>
          <w:bCs/>
          <w:color w:val="000000" w:themeColor="text1"/>
        </w:rPr>
        <w:t>cular</w:t>
      </w:r>
      <w:r w:rsidRPr="006B2202">
        <w:rPr>
          <w:rFonts w:ascii="Calibri" w:eastAsia="Source Sans Pro" w:hAnsi="Calibri" w:cs="Calibri"/>
          <w:bCs/>
          <w:color w:val="000000" w:themeColor="text1"/>
        </w:rPr>
        <w:t xml:space="preserve"> areas of GAC interest are preserved as </w:t>
      </w:r>
      <w:r w:rsidR="00A61B03" w:rsidRPr="006B2202">
        <w:rPr>
          <w:rFonts w:ascii="Calibri" w:eastAsia="Source Sans Pro" w:hAnsi="Calibri" w:cs="Calibri"/>
          <w:bCs/>
          <w:color w:val="000000" w:themeColor="text1"/>
        </w:rPr>
        <w:t xml:space="preserve">important </w:t>
      </w:r>
      <w:r w:rsidRPr="006B2202">
        <w:rPr>
          <w:rFonts w:ascii="Calibri" w:eastAsia="Source Sans Pro" w:hAnsi="Calibri" w:cs="Calibri"/>
          <w:bCs/>
          <w:color w:val="000000" w:themeColor="text1"/>
        </w:rPr>
        <w:t xml:space="preserve">organizational </w:t>
      </w:r>
      <w:r w:rsidR="00A61B03" w:rsidRPr="006B2202">
        <w:rPr>
          <w:rFonts w:ascii="Calibri" w:eastAsia="Source Sans Pro" w:hAnsi="Calibri" w:cs="Calibri"/>
          <w:bCs/>
          <w:color w:val="000000" w:themeColor="text1"/>
        </w:rPr>
        <w:t xml:space="preserve">operational </w:t>
      </w:r>
      <w:r w:rsidRPr="006B2202">
        <w:rPr>
          <w:rFonts w:ascii="Calibri" w:eastAsia="Source Sans Pro" w:hAnsi="Calibri" w:cs="Calibri"/>
          <w:bCs/>
          <w:color w:val="000000" w:themeColor="text1"/>
        </w:rPr>
        <w:t>priorities that will be adequately resource</w:t>
      </w:r>
      <w:r w:rsidR="00912E95" w:rsidRPr="006B2202">
        <w:rPr>
          <w:rFonts w:ascii="Calibri" w:eastAsia="Source Sans Pro" w:hAnsi="Calibri" w:cs="Calibri"/>
          <w:bCs/>
          <w:color w:val="000000" w:themeColor="text1"/>
        </w:rPr>
        <w:t>d</w:t>
      </w:r>
      <w:r w:rsidRPr="006B2202">
        <w:rPr>
          <w:rFonts w:ascii="Calibri" w:eastAsia="Source Sans Pro" w:hAnsi="Calibri" w:cs="Calibri"/>
          <w:bCs/>
          <w:color w:val="000000" w:themeColor="text1"/>
        </w:rPr>
        <w:t xml:space="preserve"> over the next </w:t>
      </w:r>
      <w:r w:rsidR="00A61B03" w:rsidRPr="006B2202">
        <w:rPr>
          <w:rFonts w:ascii="Calibri" w:eastAsia="Source Sans Pro" w:hAnsi="Calibri" w:cs="Calibri"/>
          <w:bCs/>
          <w:color w:val="000000" w:themeColor="text1"/>
        </w:rPr>
        <w:t>five</w:t>
      </w:r>
      <w:r w:rsidRPr="006B2202">
        <w:rPr>
          <w:rFonts w:ascii="Calibri" w:eastAsia="Source Sans Pro" w:hAnsi="Calibri" w:cs="Calibri"/>
          <w:bCs/>
          <w:color w:val="000000" w:themeColor="text1"/>
        </w:rPr>
        <w:t xml:space="preserve"> years.</w:t>
      </w:r>
    </w:p>
    <w:p w14:paraId="12DC5F72" w14:textId="77777777" w:rsidR="00A61B03" w:rsidRPr="00A61B03" w:rsidRDefault="00A61B03">
      <w:pPr>
        <w:spacing w:before="120"/>
        <w:rPr>
          <w:rFonts w:asciiTheme="majorHAnsi" w:eastAsia="Source Sans Pro" w:hAnsiTheme="majorHAnsi" w:cstheme="majorHAnsi"/>
          <w:bCs/>
          <w:color w:val="000000" w:themeColor="text1"/>
        </w:rPr>
      </w:pPr>
    </w:p>
    <w:p w14:paraId="2178B091" w14:textId="4D6B95E7" w:rsidR="00E22345" w:rsidRPr="00A61B03" w:rsidRDefault="00E22345" w:rsidP="00A61B03">
      <w:pPr>
        <w:rPr>
          <w:rFonts w:asciiTheme="majorHAnsi" w:eastAsia="Source Sans Pro" w:hAnsiTheme="majorHAnsi" w:cstheme="majorHAnsi"/>
          <w:bCs/>
          <w:i/>
          <w:iCs/>
          <w:color w:val="000000" w:themeColor="text1"/>
          <w:u w:val="single"/>
        </w:rPr>
      </w:pPr>
      <w:r w:rsidRPr="00A61B03">
        <w:rPr>
          <w:rFonts w:asciiTheme="majorHAnsi" w:eastAsia="Source Sans Pro" w:hAnsiTheme="majorHAnsi" w:cstheme="majorHAnsi"/>
          <w:bCs/>
          <w:i/>
          <w:iCs/>
          <w:color w:val="000000" w:themeColor="text1"/>
          <w:u w:val="single"/>
        </w:rPr>
        <w:t>Community Engagement and Service</w:t>
      </w:r>
    </w:p>
    <w:p w14:paraId="452D40BB" w14:textId="77777777" w:rsidR="00A61B03" w:rsidRPr="00A61B03" w:rsidRDefault="00A61B03" w:rsidP="00A61B03">
      <w:pPr>
        <w:rPr>
          <w:rFonts w:asciiTheme="majorHAnsi" w:eastAsia="Source Sans Pro" w:hAnsiTheme="majorHAnsi" w:cstheme="majorHAnsi"/>
          <w:bCs/>
          <w:i/>
          <w:iCs/>
          <w:color w:val="000000" w:themeColor="text1"/>
          <w:u w:val="single"/>
        </w:rPr>
      </w:pPr>
    </w:p>
    <w:p w14:paraId="79A7DA74" w14:textId="4190CAB8" w:rsidR="00E22345" w:rsidRPr="006B2202" w:rsidRDefault="00E22345" w:rsidP="00A61B03">
      <w:pPr>
        <w:spacing w:line="276" w:lineRule="auto"/>
        <w:rPr>
          <w:rFonts w:ascii="Calibri" w:eastAsia="Source Sans Pro" w:hAnsi="Calibri" w:cs="Calibri"/>
        </w:rPr>
      </w:pPr>
      <w:r w:rsidRPr="006B2202">
        <w:rPr>
          <w:rFonts w:ascii="Calibri" w:eastAsia="Source Sans Pro" w:hAnsi="Calibri" w:cs="Calibri"/>
        </w:rPr>
        <w:t xml:space="preserve">In describing functional activities involving community engagement and service, the </w:t>
      </w:r>
      <w:r w:rsidR="00A61B03" w:rsidRPr="006B2202">
        <w:rPr>
          <w:rFonts w:ascii="Calibri" w:eastAsia="Source Sans Pro" w:hAnsi="Calibri" w:cs="Calibri"/>
        </w:rPr>
        <w:t>D</w:t>
      </w:r>
      <w:r w:rsidRPr="006B2202">
        <w:rPr>
          <w:rFonts w:ascii="Calibri" w:eastAsia="Source Sans Pro" w:hAnsi="Calibri" w:cs="Calibri"/>
        </w:rPr>
        <w:t xml:space="preserve">raft </w:t>
      </w:r>
      <w:r w:rsidR="006B2202">
        <w:rPr>
          <w:rFonts w:ascii="Calibri" w:eastAsia="Source Sans Pro" w:hAnsi="Calibri" w:cs="Calibri"/>
        </w:rPr>
        <w:t xml:space="preserve">FY22-26 </w:t>
      </w:r>
      <w:r w:rsidRPr="006B2202">
        <w:rPr>
          <w:rFonts w:ascii="Calibri" w:eastAsia="Source Sans Pro" w:hAnsi="Calibri" w:cs="Calibri"/>
        </w:rPr>
        <w:t>O&amp;FP continues to recognize the need for increased resources to address “[s]</w:t>
      </w:r>
      <w:proofErr w:type="spellStart"/>
      <w:r w:rsidRPr="006B2202">
        <w:rPr>
          <w:rFonts w:ascii="Calibri" w:eastAsia="Source Sans Pro" w:hAnsi="Calibri" w:cs="Calibri"/>
        </w:rPr>
        <w:t>takeholder</w:t>
      </w:r>
      <w:proofErr w:type="spellEnd"/>
      <w:r w:rsidRPr="006B2202">
        <w:rPr>
          <w:rFonts w:ascii="Calibri" w:eastAsia="Source Sans Pro" w:hAnsi="Calibri" w:cs="Calibri"/>
        </w:rPr>
        <w:t xml:space="preserve"> demand for engagement and capacity development </w:t>
      </w:r>
      <w:r w:rsidR="00AB417B" w:rsidRPr="006B2202">
        <w:rPr>
          <w:rFonts w:ascii="Calibri" w:eastAsia="Source Sans Pro" w:hAnsi="Calibri" w:cs="Calibri"/>
        </w:rPr>
        <w:t xml:space="preserve">through </w:t>
      </w:r>
      <w:r w:rsidRPr="006B2202">
        <w:rPr>
          <w:rFonts w:ascii="Calibri" w:eastAsia="Source Sans Pro" w:hAnsi="Calibri" w:cs="Calibri"/>
        </w:rPr>
        <w:t>the GAC’s Underserved Regions Working Group and Public Safety Working Group</w:t>
      </w:r>
      <w:r w:rsidR="00A61B03" w:rsidRPr="006B2202">
        <w:rPr>
          <w:rFonts w:ascii="Calibri" w:eastAsia="Source Sans Pro" w:hAnsi="Calibri" w:cs="Calibri"/>
        </w:rPr>
        <w:t>”</w:t>
      </w:r>
      <w:r w:rsidR="00912E95" w:rsidRPr="006B2202">
        <w:rPr>
          <w:rFonts w:ascii="Calibri" w:eastAsia="Source Sans Pro" w:hAnsi="Calibri" w:cs="Calibri"/>
        </w:rPr>
        <w:t xml:space="preserve"> (</w:t>
      </w:r>
      <w:r w:rsidR="00912E95" w:rsidRPr="006B2202">
        <w:rPr>
          <w:rFonts w:ascii="Calibri" w:eastAsia="Source Sans Pro" w:hAnsi="Calibri" w:cs="Calibri"/>
          <w:i/>
          <w:iCs/>
        </w:rPr>
        <w:t xml:space="preserve">see </w:t>
      </w:r>
      <w:r w:rsidR="00912E95" w:rsidRPr="006B2202">
        <w:rPr>
          <w:rFonts w:ascii="Calibri" w:eastAsia="Source Sans Pro" w:hAnsi="Calibri" w:cs="Calibri"/>
        </w:rPr>
        <w:t xml:space="preserve">Draft </w:t>
      </w:r>
      <w:r w:rsidR="006B2202">
        <w:rPr>
          <w:rFonts w:ascii="Calibri" w:eastAsia="Source Sans Pro" w:hAnsi="Calibri" w:cs="Calibri"/>
        </w:rPr>
        <w:t xml:space="preserve">FY22-26 </w:t>
      </w:r>
      <w:r w:rsidR="00912E95" w:rsidRPr="006B2202">
        <w:rPr>
          <w:rFonts w:ascii="Calibri" w:eastAsia="Source Sans Pro" w:hAnsi="Calibri" w:cs="Calibri"/>
        </w:rPr>
        <w:t>O&amp;FP at page 116)</w:t>
      </w:r>
      <w:r w:rsidRPr="006B2202">
        <w:rPr>
          <w:rFonts w:ascii="Calibri" w:eastAsia="Source Sans Pro" w:hAnsi="Calibri" w:cs="Calibri"/>
        </w:rPr>
        <w:t>.</w:t>
      </w:r>
    </w:p>
    <w:p w14:paraId="57DBACFD" w14:textId="77777777" w:rsidR="00A61B03" w:rsidRPr="006B2202" w:rsidRDefault="00A61B03" w:rsidP="00A61B03">
      <w:pPr>
        <w:spacing w:line="276" w:lineRule="auto"/>
        <w:rPr>
          <w:rFonts w:ascii="Calibri" w:eastAsia="Source Sans Pro" w:hAnsi="Calibri" w:cs="Calibri"/>
        </w:rPr>
      </w:pPr>
    </w:p>
    <w:p w14:paraId="3364535A" w14:textId="42AD99F8" w:rsidR="00A61B03" w:rsidRPr="006B2202" w:rsidRDefault="00912E95" w:rsidP="00A61B03">
      <w:pPr>
        <w:spacing w:line="276" w:lineRule="auto"/>
        <w:rPr>
          <w:rFonts w:ascii="Calibri" w:eastAsia="Source Sans Pro" w:hAnsi="Calibri" w:cs="Calibri"/>
        </w:rPr>
      </w:pPr>
      <w:r w:rsidRPr="006B2202">
        <w:rPr>
          <w:rFonts w:ascii="Calibri" w:eastAsia="Source Sans Pro" w:hAnsi="Calibri" w:cs="Calibri"/>
        </w:rPr>
        <w:t>In past years</w:t>
      </w:r>
      <w:r w:rsidR="00A61B03" w:rsidRPr="006B2202">
        <w:rPr>
          <w:rFonts w:ascii="Calibri" w:eastAsia="Source Sans Pro" w:hAnsi="Calibri" w:cs="Calibri"/>
        </w:rPr>
        <w:t>,</w:t>
      </w:r>
      <w:r w:rsidRPr="006B2202">
        <w:rPr>
          <w:rFonts w:ascii="Calibri" w:eastAsia="Source Sans Pro" w:hAnsi="Calibri" w:cs="Calibri"/>
        </w:rPr>
        <w:t xml:space="preserve"> the GAC has had to rely on the ICANN Additional Budget Request phase of the annual ICANN budget cycle to secure support for its successful capacity building workshop program. The GAC was pleased to receive assurances from ICANN org staff </w:t>
      </w:r>
      <w:r w:rsidR="00A61B03" w:rsidRPr="006B2202">
        <w:rPr>
          <w:rFonts w:ascii="Calibri" w:eastAsia="Source Sans Pro" w:hAnsi="Calibri" w:cs="Calibri"/>
        </w:rPr>
        <w:t xml:space="preserve">this year </w:t>
      </w:r>
      <w:r w:rsidRPr="006B2202">
        <w:rPr>
          <w:rFonts w:ascii="Calibri" w:eastAsia="Source Sans Pro" w:hAnsi="Calibri" w:cs="Calibri"/>
        </w:rPr>
        <w:t xml:space="preserve">that those </w:t>
      </w:r>
      <w:r w:rsidR="00A61B03" w:rsidRPr="006B2202">
        <w:rPr>
          <w:rFonts w:ascii="Calibri" w:eastAsia="Source Sans Pro" w:hAnsi="Calibri" w:cs="Calibri"/>
        </w:rPr>
        <w:t>workshops</w:t>
      </w:r>
      <w:r w:rsidRPr="006B2202">
        <w:rPr>
          <w:rFonts w:ascii="Calibri" w:eastAsia="Source Sans Pro" w:hAnsi="Calibri" w:cs="Calibri"/>
        </w:rPr>
        <w:t xml:space="preserve"> </w:t>
      </w:r>
      <w:r w:rsidR="00A61B03" w:rsidRPr="006B2202">
        <w:rPr>
          <w:rFonts w:ascii="Calibri" w:eastAsia="Source Sans Pro" w:hAnsi="Calibri" w:cs="Calibri"/>
        </w:rPr>
        <w:t>can</w:t>
      </w:r>
      <w:r w:rsidRPr="006B2202">
        <w:rPr>
          <w:rFonts w:ascii="Calibri" w:eastAsia="Source Sans Pro" w:hAnsi="Calibri" w:cs="Calibri"/>
        </w:rPr>
        <w:t xml:space="preserve"> be adequately resourced </w:t>
      </w:r>
      <w:r w:rsidR="006B2202">
        <w:rPr>
          <w:rFonts w:ascii="Calibri" w:eastAsia="Source Sans Pro" w:hAnsi="Calibri" w:cs="Calibri"/>
        </w:rPr>
        <w:t xml:space="preserve">from the core organizational budget </w:t>
      </w:r>
      <w:r w:rsidRPr="006B2202">
        <w:rPr>
          <w:rFonts w:ascii="Calibri" w:eastAsia="Source Sans Pro" w:hAnsi="Calibri" w:cs="Calibri"/>
        </w:rPr>
        <w:t xml:space="preserve">during FY22 as the community eventually returns to face-to-face meetings. The GAC hopes to be able to </w:t>
      </w:r>
      <w:r w:rsidR="006B2202">
        <w:rPr>
          <w:rFonts w:ascii="Calibri" w:eastAsia="Source Sans Pro" w:hAnsi="Calibri" w:cs="Calibri"/>
        </w:rPr>
        <w:t xml:space="preserve">use the available engagement resources to </w:t>
      </w:r>
      <w:r w:rsidRPr="006B2202">
        <w:rPr>
          <w:rFonts w:ascii="Calibri" w:eastAsia="Source Sans Pro" w:hAnsi="Calibri" w:cs="Calibri"/>
        </w:rPr>
        <w:t xml:space="preserve">plan and implement two </w:t>
      </w:r>
      <w:r w:rsidR="00A61B03" w:rsidRPr="006B2202">
        <w:rPr>
          <w:rFonts w:ascii="Calibri" w:eastAsia="Source Sans Pro" w:hAnsi="Calibri" w:cs="Calibri"/>
        </w:rPr>
        <w:t xml:space="preserve">face-to-face </w:t>
      </w:r>
      <w:r w:rsidRPr="006B2202">
        <w:rPr>
          <w:rFonts w:ascii="Calibri" w:eastAsia="Source Sans Pro" w:hAnsi="Calibri" w:cs="Calibri"/>
        </w:rPr>
        <w:t xml:space="preserve">regional capacity </w:t>
      </w:r>
      <w:r w:rsidR="006B2202">
        <w:rPr>
          <w:rFonts w:ascii="Calibri" w:eastAsia="Source Sans Pro" w:hAnsi="Calibri" w:cs="Calibri"/>
        </w:rPr>
        <w:t xml:space="preserve">building </w:t>
      </w:r>
      <w:r w:rsidRPr="006B2202">
        <w:rPr>
          <w:rFonts w:ascii="Calibri" w:eastAsia="Source Sans Pro" w:hAnsi="Calibri" w:cs="Calibri"/>
        </w:rPr>
        <w:t>workshop</w:t>
      </w:r>
      <w:r w:rsidR="00A61B03" w:rsidRPr="006B2202">
        <w:rPr>
          <w:rFonts w:ascii="Calibri" w:eastAsia="Source Sans Pro" w:hAnsi="Calibri" w:cs="Calibri"/>
        </w:rPr>
        <w:t>s and another workshop in conjunction with an ICANN public meeting during FY22.</w:t>
      </w:r>
      <w:r w:rsidRPr="006B2202">
        <w:rPr>
          <w:rFonts w:ascii="Calibri" w:eastAsia="Source Sans Pro" w:hAnsi="Calibri" w:cs="Calibri"/>
        </w:rPr>
        <w:t xml:space="preserve"> </w:t>
      </w:r>
    </w:p>
    <w:p w14:paraId="70F4DAB2" w14:textId="77777777" w:rsidR="00A61B03" w:rsidRPr="00A61B03" w:rsidRDefault="00A61B03" w:rsidP="00E22345">
      <w:pPr>
        <w:spacing w:before="120"/>
        <w:rPr>
          <w:rFonts w:asciiTheme="majorHAnsi" w:eastAsia="Source Sans Pro" w:hAnsiTheme="majorHAnsi" w:cstheme="majorHAnsi"/>
        </w:rPr>
      </w:pPr>
    </w:p>
    <w:p w14:paraId="0C32D11A" w14:textId="7C76CB62" w:rsidR="00A61B03" w:rsidRPr="00A61B03" w:rsidRDefault="00A61B03" w:rsidP="00A61B03">
      <w:pPr>
        <w:rPr>
          <w:rFonts w:asciiTheme="majorHAnsi" w:eastAsia="Source Sans Pro" w:hAnsiTheme="majorHAnsi" w:cstheme="majorHAnsi"/>
          <w:i/>
          <w:iCs/>
          <w:u w:val="single"/>
        </w:rPr>
      </w:pPr>
      <w:r w:rsidRPr="00A61B03">
        <w:rPr>
          <w:rFonts w:asciiTheme="majorHAnsi" w:eastAsia="Source Sans Pro" w:hAnsiTheme="majorHAnsi" w:cstheme="majorHAnsi"/>
          <w:i/>
          <w:iCs/>
          <w:u w:val="single"/>
        </w:rPr>
        <w:t>Constituency Travel</w:t>
      </w:r>
    </w:p>
    <w:p w14:paraId="74655E04" w14:textId="77777777" w:rsidR="00A61B03" w:rsidRPr="00A61B03" w:rsidRDefault="00A61B03" w:rsidP="00A61B03">
      <w:pPr>
        <w:rPr>
          <w:rFonts w:asciiTheme="majorHAnsi" w:eastAsia="Source Sans Pro" w:hAnsiTheme="majorHAnsi" w:cstheme="majorHAnsi"/>
          <w:i/>
          <w:iCs/>
          <w:u w:val="single"/>
        </w:rPr>
      </w:pPr>
    </w:p>
    <w:p w14:paraId="7EBBE3E8" w14:textId="42CEFB7D" w:rsidR="00912E95" w:rsidRPr="006B2202" w:rsidRDefault="00A61B03" w:rsidP="00A61B03">
      <w:pPr>
        <w:spacing w:line="276" w:lineRule="auto"/>
        <w:rPr>
          <w:rFonts w:ascii="Calibri" w:eastAsia="Source Sans Pro" w:hAnsi="Calibri" w:cs="Calibri"/>
        </w:rPr>
      </w:pPr>
      <w:r w:rsidRPr="006B2202">
        <w:rPr>
          <w:rFonts w:ascii="Calibri" w:eastAsia="Source Sans Pro" w:hAnsi="Calibri" w:cs="Calibri"/>
        </w:rPr>
        <w:t xml:space="preserve">The GAC also supports the resource commitment in the Draft FY22 Budget to maintain constituency travel support at the current FY21 budget levels. While it is </w:t>
      </w:r>
      <w:r w:rsidR="006B2202">
        <w:rPr>
          <w:rFonts w:ascii="Calibri" w:eastAsia="Source Sans Pro" w:hAnsi="Calibri" w:cs="Calibri"/>
        </w:rPr>
        <w:t>possible</w:t>
      </w:r>
      <w:r w:rsidRPr="006B2202">
        <w:rPr>
          <w:rFonts w:ascii="Calibri" w:eastAsia="Source Sans Pro" w:hAnsi="Calibri" w:cs="Calibri"/>
        </w:rPr>
        <w:t xml:space="preserve"> that in future </w:t>
      </w:r>
      <w:r w:rsidRPr="006B2202">
        <w:rPr>
          <w:rFonts w:ascii="Calibri" w:eastAsia="Source Sans Pro" w:hAnsi="Calibri" w:cs="Calibri"/>
        </w:rPr>
        <w:lastRenderedPageBreak/>
        <w:t xml:space="preserve">budget years it may be needed to temporarily increase community travel support to encourage attendance as ICANN public events return to in-person formats, it is </w:t>
      </w:r>
      <w:r w:rsidR="006B2202">
        <w:rPr>
          <w:rFonts w:ascii="Calibri" w:eastAsia="Source Sans Pro" w:hAnsi="Calibri" w:cs="Calibri"/>
        </w:rPr>
        <w:t xml:space="preserve">also reasonable to expect in </w:t>
      </w:r>
      <w:r w:rsidRPr="006B2202">
        <w:rPr>
          <w:rFonts w:ascii="Calibri" w:eastAsia="Source Sans Pro" w:hAnsi="Calibri" w:cs="Calibri"/>
        </w:rPr>
        <w:t>FY22</w:t>
      </w:r>
      <w:r w:rsidR="006B2202">
        <w:rPr>
          <w:rFonts w:ascii="Calibri" w:eastAsia="Source Sans Pro" w:hAnsi="Calibri" w:cs="Calibri"/>
        </w:rPr>
        <w:t xml:space="preserve"> that </w:t>
      </w:r>
      <w:r w:rsidRPr="006B2202">
        <w:rPr>
          <w:rFonts w:ascii="Calibri" w:eastAsia="Source Sans Pro" w:hAnsi="Calibri" w:cs="Calibri"/>
        </w:rPr>
        <w:t xml:space="preserve">many potential attendees will be either personally leery of or professionally not permitted to engage in international travel for much of the budget year. </w:t>
      </w:r>
      <w:r w:rsidR="006B2202">
        <w:rPr>
          <w:rFonts w:ascii="Calibri" w:eastAsia="Source Sans Pro" w:hAnsi="Calibri" w:cs="Calibri"/>
        </w:rPr>
        <w:t>In fact, improvements to remote meeting access developed during ICANN 67, 68 and 69 may limit future demand for in-person attendance at public ICANN events.</w:t>
      </w:r>
    </w:p>
    <w:p w14:paraId="7E10984F" w14:textId="77777777" w:rsidR="00A61B03" w:rsidRPr="006B2202" w:rsidRDefault="00A61B03" w:rsidP="00A61B03">
      <w:pPr>
        <w:spacing w:line="276" w:lineRule="auto"/>
        <w:rPr>
          <w:rFonts w:ascii="Calibri" w:eastAsia="Source Sans Pro" w:hAnsi="Calibri" w:cs="Calibri"/>
        </w:rPr>
      </w:pPr>
    </w:p>
    <w:p w14:paraId="657A2A70" w14:textId="7AAF6050" w:rsidR="00A61B03" w:rsidRDefault="00A61B03" w:rsidP="00A61B03">
      <w:pPr>
        <w:spacing w:line="276" w:lineRule="auto"/>
        <w:rPr>
          <w:rFonts w:ascii="Calibri" w:eastAsia="Source Sans Pro" w:hAnsi="Calibri" w:cs="Calibri"/>
        </w:rPr>
      </w:pPr>
      <w:r w:rsidRPr="006B2202">
        <w:rPr>
          <w:rFonts w:ascii="Calibri" w:eastAsia="Source Sans Pro" w:hAnsi="Calibri" w:cs="Calibri"/>
        </w:rPr>
        <w:t xml:space="preserve">The GAC appreciates that ICANN org staff have </w:t>
      </w:r>
      <w:r w:rsidR="006B2202">
        <w:rPr>
          <w:rFonts w:ascii="Calibri" w:eastAsia="Source Sans Pro" w:hAnsi="Calibri" w:cs="Calibri"/>
        </w:rPr>
        <w:t xml:space="preserve">not only </w:t>
      </w:r>
      <w:r w:rsidRPr="006B2202">
        <w:rPr>
          <w:rFonts w:ascii="Calibri" w:eastAsia="Source Sans Pro" w:hAnsi="Calibri" w:cs="Calibri"/>
        </w:rPr>
        <w:t xml:space="preserve">recognized the GAC’s intention to proceed with planning the committee’s next </w:t>
      </w:r>
      <w:proofErr w:type="gramStart"/>
      <w:r w:rsidRPr="006B2202">
        <w:rPr>
          <w:rFonts w:ascii="Calibri" w:eastAsia="Source Sans Pro" w:hAnsi="Calibri" w:cs="Calibri"/>
        </w:rPr>
        <w:t>High Level</w:t>
      </w:r>
      <w:proofErr w:type="gramEnd"/>
      <w:r w:rsidRPr="006B2202">
        <w:rPr>
          <w:rFonts w:ascii="Calibri" w:eastAsia="Source Sans Pro" w:hAnsi="Calibri" w:cs="Calibri"/>
        </w:rPr>
        <w:t xml:space="preserve"> Governmental Meeting (HLGM) </w:t>
      </w:r>
      <w:r w:rsidR="006B2202">
        <w:rPr>
          <w:rFonts w:ascii="Calibri" w:eastAsia="Source Sans Pro" w:hAnsi="Calibri" w:cs="Calibri"/>
        </w:rPr>
        <w:t xml:space="preserve">but also </w:t>
      </w:r>
      <w:r w:rsidR="00243F36">
        <w:rPr>
          <w:rFonts w:ascii="Calibri" w:eastAsia="Source Sans Pro" w:hAnsi="Calibri" w:cs="Calibri"/>
        </w:rPr>
        <w:t xml:space="preserve">have </w:t>
      </w:r>
      <w:r w:rsidRPr="006B2202">
        <w:rPr>
          <w:rFonts w:ascii="Calibri" w:eastAsia="Source Sans Pro" w:hAnsi="Calibri" w:cs="Calibri"/>
        </w:rPr>
        <w:t>made apparent allowances for providing travel support resources for such an eventuality in FY22 (</w:t>
      </w:r>
      <w:r w:rsidRPr="006B2202">
        <w:rPr>
          <w:rFonts w:ascii="Calibri" w:eastAsia="Source Sans Pro" w:hAnsi="Calibri" w:cs="Calibri"/>
          <w:i/>
          <w:iCs/>
        </w:rPr>
        <w:t>see</w:t>
      </w:r>
      <w:r w:rsidRPr="006B2202">
        <w:rPr>
          <w:rFonts w:ascii="Calibri" w:eastAsia="Source Sans Pro" w:hAnsi="Calibri" w:cs="Calibri"/>
        </w:rPr>
        <w:t xml:space="preserve"> Draft FY22 Budget at page 12).  The </w:t>
      </w:r>
      <w:r w:rsidR="006B2202">
        <w:rPr>
          <w:rFonts w:ascii="Calibri" w:eastAsia="Source Sans Pro" w:hAnsi="Calibri" w:cs="Calibri"/>
        </w:rPr>
        <w:t>D</w:t>
      </w:r>
      <w:r w:rsidRPr="006B2202">
        <w:rPr>
          <w:rFonts w:ascii="Calibri" w:eastAsia="Source Sans Pro" w:hAnsi="Calibri" w:cs="Calibri"/>
        </w:rPr>
        <w:t xml:space="preserve">raft </w:t>
      </w:r>
      <w:r w:rsidR="006B2202">
        <w:rPr>
          <w:rFonts w:ascii="Calibri" w:eastAsia="Source Sans Pro" w:hAnsi="Calibri" w:cs="Calibri"/>
        </w:rPr>
        <w:t xml:space="preserve">FY22-26 </w:t>
      </w:r>
      <w:r w:rsidRPr="006B2202">
        <w:rPr>
          <w:rFonts w:ascii="Calibri" w:eastAsia="Source Sans Pro" w:hAnsi="Calibri" w:cs="Calibri"/>
        </w:rPr>
        <w:t>O&amp;FP further reinforces that delivery of GAC HLGM meetings are a key progress milestone needed to increase the engagement and participation of governments and intergovernmental organizations in the work of ICANN (</w:t>
      </w:r>
      <w:r w:rsidRPr="006B2202">
        <w:rPr>
          <w:rFonts w:ascii="Calibri" w:eastAsia="Source Sans Pro" w:hAnsi="Calibri" w:cs="Calibri"/>
          <w:i/>
          <w:iCs/>
        </w:rPr>
        <w:t>see</w:t>
      </w:r>
      <w:r w:rsidRPr="006B2202">
        <w:rPr>
          <w:rFonts w:ascii="Calibri" w:eastAsia="Source Sans Pro" w:hAnsi="Calibri" w:cs="Calibri"/>
        </w:rPr>
        <w:t xml:space="preserve"> Draft </w:t>
      </w:r>
      <w:r w:rsidR="006B2202">
        <w:rPr>
          <w:rFonts w:ascii="Calibri" w:eastAsia="Source Sans Pro" w:hAnsi="Calibri" w:cs="Calibri"/>
        </w:rPr>
        <w:t xml:space="preserve">FY22-26 </w:t>
      </w:r>
      <w:r w:rsidRPr="006B2202">
        <w:rPr>
          <w:rFonts w:ascii="Calibri" w:eastAsia="Source Sans Pro" w:hAnsi="Calibri" w:cs="Calibri"/>
        </w:rPr>
        <w:t xml:space="preserve">O&amp;FP at page 49). The GAC </w:t>
      </w:r>
      <w:r w:rsidR="006B2202">
        <w:rPr>
          <w:rFonts w:ascii="Calibri" w:eastAsia="Source Sans Pro" w:hAnsi="Calibri" w:cs="Calibri"/>
        </w:rPr>
        <w:t>L</w:t>
      </w:r>
      <w:r w:rsidRPr="006B2202">
        <w:rPr>
          <w:rFonts w:ascii="Calibri" w:eastAsia="Source Sans Pro" w:hAnsi="Calibri" w:cs="Calibri"/>
        </w:rPr>
        <w:t xml:space="preserve">eadership is currently collaborating with the ICANN Governmental Engagement </w:t>
      </w:r>
      <w:r w:rsidR="006B2202">
        <w:rPr>
          <w:rFonts w:ascii="Calibri" w:eastAsia="Source Sans Pro" w:hAnsi="Calibri" w:cs="Calibri"/>
        </w:rPr>
        <w:t>T</w:t>
      </w:r>
      <w:r w:rsidRPr="006B2202">
        <w:rPr>
          <w:rFonts w:ascii="Calibri" w:eastAsia="Source Sans Pro" w:hAnsi="Calibri" w:cs="Calibri"/>
        </w:rPr>
        <w:t>eam to review and consider the best options available for the committee’s next HLGM in FY22 or beyond.</w:t>
      </w:r>
    </w:p>
    <w:p w14:paraId="350EE2E3" w14:textId="3242B549" w:rsidR="00057332" w:rsidRDefault="00057332" w:rsidP="00A61B03">
      <w:pPr>
        <w:spacing w:line="276" w:lineRule="auto"/>
        <w:rPr>
          <w:rFonts w:ascii="Calibri" w:eastAsia="Source Sans Pro" w:hAnsi="Calibri" w:cs="Calibri"/>
        </w:rPr>
      </w:pPr>
    </w:p>
    <w:p w14:paraId="44317987" w14:textId="7015E327" w:rsidR="00057332" w:rsidRDefault="00057332" w:rsidP="00A61B03">
      <w:pPr>
        <w:spacing w:line="276" w:lineRule="auto"/>
        <w:rPr>
          <w:rFonts w:ascii="Calibri" w:eastAsia="Source Sans Pro" w:hAnsi="Calibri" w:cs="Calibri"/>
          <w:i/>
          <w:iCs/>
          <w:u w:val="single"/>
        </w:rPr>
      </w:pPr>
      <w:r>
        <w:rPr>
          <w:rFonts w:ascii="Calibri" w:eastAsia="Source Sans Pro" w:hAnsi="Calibri" w:cs="Calibri"/>
          <w:i/>
          <w:iCs/>
          <w:u w:val="single"/>
        </w:rPr>
        <w:t>Operating Initiatives</w:t>
      </w:r>
    </w:p>
    <w:p w14:paraId="1948782D" w14:textId="136D6821" w:rsidR="00057332" w:rsidRDefault="00057332" w:rsidP="00A61B03">
      <w:pPr>
        <w:spacing w:line="276" w:lineRule="auto"/>
        <w:rPr>
          <w:rFonts w:ascii="Calibri" w:eastAsia="Source Sans Pro" w:hAnsi="Calibri" w:cs="Calibri"/>
          <w:i/>
          <w:iCs/>
          <w:u w:val="single"/>
        </w:rPr>
      </w:pPr>
    </w:p>
    <w:p w14:paraId="7D16CD95" w14:textId="2CFC8466" w:rsidR="00057332" w:rsidRDefault="00057332" w:rsidP="00057332">
      <w:pPr>
        <w:spacing w:line="276" w:lineRule="auto"/>
        <w:rPr>
          <w:rFonts w:ascii="Calibri" w:eastAsia="Source Sans Pro" w:hAnsi="Calibri" w:cs="Calibri"/>
        </w:rPr>
      </w:pPr>
      <w:r w:rsidRPr="00057332">
        <w:rPr>
          <w:rFonts w:ascii="Calibri" w:eastAsia="Source Sans Pro" w:hAnsi="Calibri" w:cs="Calibri"/>
        </w:rPr>
        <w:t xml:space="preserve">GAC </w:t>
      </w:r>
      <w:r w:rsidR="002C5E0B">
        <w:rPr>
          <w:rFonts w:ascii="Calibri" w:eastAsia="Source Sans Pro" w:hAnsi="Calibri" w:cs="Calibri"/>
        </w:rPr>
        <w:t xml:space="preserve">members </w:t>
      </w:r>
      <w:r>
        <w:rPr>
          <w:rFonts w:ascii="Calibri" w:eastAsia="Source Sans Pro" w:hAnsi="Calibri" w:cs="Calibri"/>
        </w:rPr>
        <w:t xml:space="preserve">generally </w:t>
      </w:r>
      <w:r w:rsidRPr="00057332">
        <w:rPr>
          <w:rFonts w:ascii="Calibri" w:eastAsia="Source Sans Pro" w:hAnsi="Calibri" w:cs="Calibri"/>
        </w:rPr>
        <w:t xml:space="preserve">support </w:t>
      </w:r>
      <w:r>
        <w:rPr>
          <w:rFonts w:ascii="Calibri" w:eastAsia="Source Sans Pro" w:hAnsi="Calibri" w:cs="Calibri"/>
        </w:rPr>
        <w:t xml:space="preserve">the </w:t>
      </w:r>
      <w:r w:rsidR="005B2DDB">
        <w:rPr>
          <w:rFonts w:ascii="Calibri" w:eastAsia="Source Sans Pro" w:hAnsi="Calibri" w:cs="Calibri"/>
        </w:rPr>
        <w:t xml:space="preserve">15 </w:t>
      </w:r>
      <w:r>
        <w:rPr>
          <w:rFonts w:ascii="Calibri" w:eastAsia="Source Sans Pro" w:hAnsi="Calibri" w:cs="Calibri"/>
        </w:rPr>
        <w:t xml:space="preserve">ICANN Operating </w:t>
      </w:r>
      <w:r w:rsidRPr="00057332">
        <w:rPr>
          <w:rFonts w:ascii="Calibri" w:eastAsia="Source Sans Pro" w:hAnsi="Calibri" w:cs="Calibri"/>
        </w:rPr>
        <w:t xml:space="preserve">Initiatives </w:t>
      </w:r>
      <w:r>
        <w:rPr>
          <w:rFonts w:ascii="Calibri" w:eastAsia="Source Sans Pro" w:hAnsi="Calibri" w:cs="Calibri"/>
        </w:rPr>
        <w:t xml:space="preserve">as described in the draft documentation (see Draft FY22-26 O&amp;FP at page 14) </w:t>
      </w:r>
      <w:r w:rsidR="005B2DDB">
        <w:rPr>
          <w:rFonts w:ascii="Calibri" w:eastAsia="Source Sans Pro" w:hAnsi="Calibri" w:cs="Calibri"/>
        </w:rPr>
        <w:t>–</w:t>
      </w:r>
      <w:r>
        <w:rPr>
          <w:rFonts w:ascii="Calibri" w:eastAsia="Source Sans Pro" w:hAnsi="Calibri" w:cs="Calibri"/>
        </w:rPr>
        <w:t xml:space="preserve"> </w:t>
      </w:r>
      <w:r w:rsidR="005B2DDB">
        <w:rPr>
          <w:rFonts w:ascii="Calibri" w:eastAsia="Source Sans Pro" w:hAnsi="Calibri" w:cs="Calibri"/>
        </w:rPr>
        <w:t xml:space="preserve">particularly </w:t>
      </w:r>
      <w:r>
        <w:rPr>
          <w:rFonts w:ascii="Calibri" w:eastAsia="Source Sans Pro" w:hAnsi="Calibri" w:cs="Calibri"/>
        </w:rPr>
        <w:t xml:space="preserve">the initiative to </w:t>
      </w:r>
      <w:r w:rsidRPr="00057332">
        <w:rPr>
          <w:rFonts w:ascii="Calibri" w:eastAsia="Source Sans Pro" w:hAnsi="Calibri" w:cs="Calibri"/>
        </w:rPr>
        <w:t xml:space="preserve">“Monitor legislation, regulation, norms, principles, and initiatives in collaboration with others that may impact the ICANN mission”.  </w:t>
      </w:r>
      <w:r w:rsidR="005B2DDB">
        <w:rPr>
          <w:rFonts w:ascii="Calibri" w:eastAsia="Source Sans Pro" w:hAnsi="Calibri" w:cs="Calibri"/>
        </w:rPr>
        <w:t xml:space="preserve">It is </w:t>
      </w:r>
      <w:r>
        <w:rPr>
          <w:rFonts w:ascii="Calibri" w:eastAsia="Source Sans Pro" w:hAnsi="Calibri" w:cs="Calibri"/>
        </w:rPr>
        <w:t>note</w:t>
      </w:r>
      <w:r w:rsidR="005B2DDB">
        <w:rPr>
          <w:rFonts w:ascii="Calibri" w:eastAsia="Source Sans Pro" w:hAnsi="Calibri" w:cs="Calibri"/>
        </w:rPr>
        <w:t>d</w:t>
      </w:r>
      <w:r>
        <w:rPr>
          <w:rFonts w:ascii="Calibri" w:eastAsia="Source Sans Pro" w:hAnsi="Calibri" w:cs="Calibri"/>
        </w:rPr>
        <w:t xml:space="preserve"> that this important operating initiative is incorporated across a number of</w:t>
      </w:r>
      <w:r w:rsidR="002C5E0B">
        <w:rPr>
          <w:rFonts w:ascii="Calibri" w:eastAsia="Source Sans Pro" w:hAnsi="Calibri" w:cs="Calibri"/>
        </w:rPr>
        <w:t xml:space="preserve"> the</w:t>
      </w:r>
      <w:r>
        <w:rPr>
          <w:rFonts w:ascii="Calibri" w:eastAsia="Source Sans Pro" w:hAnsi="Calibri" w:cs="Calibri"/>
        </w:rPr>
        <w:t xml:space="preserve"> ICANN organization’s functional activities in both the five-year and one-year time frames including in the Office of The Chief Technology Officer (</w:t>
      </w:r>
      <w:r w:rsidRPr="00DC481A">
        <w:rPr>
          <w:rFonts w:ascii="Calibri" w:eastAsia="Source Sans Pro" w:hAnsi="Calibri" w:cs="Calibri"/>
          <w:i/>
          <w:iCs/>
          <w:u w:val="single"/>
        </w:rPr>
        <w:t>id</w:t>
      </w:r>
      <w:r>
        <w:rPr>
          <w:rFonts w:ascii="Calibri" w:eastAsia="Source Sans Pro" w:hAnsi="Calibri" w:cs="Calibri"/>
        </w:rPr>
        <w:t xml:space="preserve">. at pages 65 and 234), </w:t>
      </w:r>
      <w:r w:rsidRPr="00057332">
        <w:rPr>
          <w:rFonts w:ascii="Calibri" w:eastAsia="Source Sans Pro" w:hAnsi="Calibri" w:cs="Calibri"/>
        </w:rPr>
        <w:t>Government</w:t>
      </w:r>
      <w:r>
        <w:rPr>
          <w:rFonts w:ascii="Calibri" w:eastAsia="Source Sans Pro" w:hAnsi="Calibri" w:cs="Calibri"/>
        </w:rPr>
        <w:t xml:space="preserve"> and Intergovernmental Engagement (</w:t>
      </w:r>
      <w:r w:rsidRPr="00DC481A">
        <w:rPr>
          <w:rFonts w:ascii="Calibri" w:eastAsia="Source Sans Pro" w:hAnsi="Calibri" w:cs="Calibri"/>
          <w:i/>
          <w:iCs/>
          <w:u w:val="single"/>
        </w:rPr>
        <w:t>id.</w:t>
      </w:r>
      <w:r>
        <w:rPr>
          <w:rFonts w:ascii="Calibri" w:eastAsia="Source Sans Pro" w:hAnsi="Calibri" w:cs="Calibri"/>
        </w:rPr>
        <w:t xml:space="preserve"> at pages 113 and 283), Global Communications and Language Services (</w:t>
      </w:r>
      <w:r w:rsidRPr="00DC481A">
        <w:rPr>
          <w:rFonts w:ascii="Calibri" w:eastAsia="Source Sans Pro" w:hAnsi="Calibri" w:cs="Calibri"/>
          <w:i/>
          <w:iCs/>
          <w:u w:val="single"/>
        </w:rPr>
        <w:t>id.</w:t>
      </w:r>
      <w:r>
        <w:rPr>
          <w:rFonts w:ascii="Calibri" w:eastAsia="Source Sans Pro" w:hAnsi="Calibri" w:cs="Calibri"/>
        </w:rPr>
        <w:t xml:space="preserve"> at pages 124 and 293), and Governance Support (</w:t>
      </w:r>
      <w:r w:rsidRPr="00DC481A">
        <w:rPr>
          <w:rFonts w:ascii="Calibri" w:eastAsia="Source Sans Pro" w:hAnsi="Calibri" w:cs="Calibri"/>
          <w:i/>
          <w:iCs/>
          <w:u w:val="single"/>
        </w:rPr>
        <w:t>id.</w:t>
      </w:r>
      <w:r>
        <w:rPr>
          <w:rFonts w:ascii="Calibri" w:eastAsia="Source Sans Pro" w:hAnsi="Calibri" w:cs="Calibri"/>
        </w:rPr>
        <w:t xml:space="preserve"> at pages 137 and 307).</w:t>
      </w:r>
    </w:p>
    <w:p w14:paraId="744537E7" w14:textId="77777777" w:rsidR="00057332" w:rsidRDefault="00057332" w:rsidP="00057332">
      <w:pPr>
        <w:spacing w:line="276" w:lineRule="auto"/>
        <w:rPr>
          <w:rFonts w:ascii="Calibri" w:eastAsia="Source Sans Pro" w:hAnsi="Calibri" w:cs="Calibri"/>
        </w:rPr>
      </w:pPr>
    </w:p>
    <w:p w14:paraId="67408883" w14:textId="1AFF9A9A" w:rsidR="00057332" w:rsidRDefault="00057332" w:rsidP="00A61B03">
      <w:pPr>
        <w:spacing w:line="276" w:lineRule="auto"/>
        <w:rPr>
          <w:rFonts w:ascii="Calibri" w:eastAsia="Source Sans Pro" w:hAnsi="Calibri" w:cs="Calibri"/>
        </w:rPr>
      </w:pPr>
      <w:r>
        <w:rPr>
          <w:rFonts w:ascii="Calibri" w:eastAsia="Source Sans Pro" w:hAnsi="Calibri" w:cs="Calibri"/>
        </w:rPr>
        <w:t>Governmental</w:t>
      </w:r>
      <w:r w:rsidRPr="00057332">
        <w:rPr>
          <w:rFonts w:ascii="Calibri" w:eastAsia="Source Sans Pro" w:hAnsi="Calibri" w:cs="Calibri"/>
        </w:rPr>
        <w:t xml:space="preserve"> </w:t>
      </w:r>
      <w:r>
        <w:rPr>
          <w:rFonts w:ascii="Calibri" w:eastAsia="Source Sans Pro" w:hAnsi="Calibri" w:cs="Calibri"/>
        </w:rPr>
        <w:t>r</w:t>
      </w:r>
      <w:r w:rsidRPr="00057332">
        <w:rPr>
          <w:rFonts w:ascii="Calibri" w:eastAsia="Source Sans Pro" w:hAnsi="Calibri" w:cs="Calibri"/>
        </w:rPr>
        <w:t xml:space="preserve">egulatory </w:t>
      </w:r>
      <w:r>
        <w:rPr>
          <w:rFonts w:ascii="Calibri" w:eastAsia="Source Sans Pro" w:hAnsi="Calibri" w:cs="Calibri"/>
        </w:rPr>
        <w:t xml:space="preserve">attention </w:t>
      </w:r>
      <w:r w:rsidRPr="00057332">
        <w:rPr>
          <w:rFonts w:ascii="Calibri" w:eastAsia="Source Sans Pro" w:hAnsi="Calibri" w:cs="Calibri"/>
        </w:rPr>
        <w:t xml:space="preserve">related to Internet </w:t>
      </w:r>
      <w:r>
        <w:rPr>
          <w:rFonts w:ascii="Calibri" w:eastAsia="Source Sans Pro" w:hAnsi="Calibri" w:cs="Calibri"/>
        </w:rPr>
        <w:t xml:space="preserve">issues </w:t>
      </w:r>
      <w:r w:rsidRPr="00057332">
        <w:rPr>
          <w:rFonts w:ascii="Calibri" w:eastAsia="Source Sans Pro" w:hAnsi="Calibri" w:cs="Calibri"/>
        </w:rPr>
        <w:t xml:space="preserve">has become one of the key factors impacting </w:t>
      </w:r>
      <w:r>
        <w:rPr>
          <w:rFonts w:ascii="Calibri" w:eastAsia="Source Sans Pro" w:hAnsi="Calibri" w:cs="Calibri"/>
        </w:rPr>
        <w:t xml:space="preserve">the current </w:t>
      </w:r>
      <w:r w:rsidR="005B2DDB">
        <w:rPr>
          <w:rFonts w:ascii="Calibri" w:eastAsia="Source Sans Pro" w:hAnsi="Calibri" w:cs="Calibri"/>
        </w:rPr>
        <w:t xml:space="preserve">Internet </w:t>
      </w:r>
      <w:r w:rsidRPr="00057332">
        <w:rPr>
          <w:rFonts w:ascii="Calibri" w:eastAsia="Source Sans Pro" w:hAnsi="Calibri" w:cs="Calibri"/>
        </w:rPr>
        <w:t>ecosystem</w:t>
      </w:r>
      <w:r>
        <w:rPr>
          <w:rFonts w:ascii="Calibri" w:eastAsia="Source Sans Pro" w:hAnsi="Calibri" w:cs="Calibri"/>
        </w:rPr>
        <w:t>, an</w:t>
      </w:r>
      <w:r w:rsidRPr="00057332">
        <w:rPr>
          <w:rFonts w:ascii="Calibri" w:eastAsia="Source Sans Pro" w:hAnsi="Calibri" w:cs="Calibri"/>
        </w:rPr>
        <w:t>d in particular ICANN</w:t>
      </w:r>
      <w:r>
        <w:rPr>
          <w:rFonts w:ascii="Calibri" w:eastAsia="Source Sans Pro" w:hAnsi="Calibri" w:cs="Calibri"/>
        </w:rPr>
        <w:t>,</w:t>
      </w:r>
      <w:r w:rsidRPr="00057332">
        <w:rPr>
          <w:rFonts w:ascii="Calibri" w:eastAsia="Source Sans Pro" w:hAnsi="Calibri" w:cs="Calibri"/>
        </w:rPr>
        <w:t xml:space="preserve"> in recent years.</w:t>
      </w:r>
      <w:r>
        <w:rPr>
          <w:rFonts w:ascii="Calibri" w:eastAsia="Source Sans Pro" w:hAnsi="Calibri" w:cs="Calibri"/>
        </w:rPr>
        <w:t xml:space="preserve"> Noting that ICANN is committing resources in each of the mentioned functional activities above (</w:t>
      </w:r>
      <w:r w:rsidRPr="00DC481A">
        <w:rPr>
          <w:rFonts w:ascii="Calibri" w:eastAsia="Source Sans Pro" w:hAnsi="Calibri" w:cs="Calibri"/>
          <w:i/>
          <w:iCs/>
          <w:u w:val="single"/>
        </w:rPr>
        <w:t>see, id.</w:t>
      </w:r>
      <w:r>
        <w:rPr>
          <w:rFonts w:ascii="Calibri" w:eastAsia="Source Sans Pro" w:hAnsi="Calibri" w:cs="Calibri"/>
        </w:rPr>
        <w:t xml:space="preserve"> Financial Estimates Table at page 182), </w:t>
      </w:r>
      <w:r w:rsidR="005B2DDB">
        <w:rPr>
          <w:rFonts w:ascii="Calibri" w:eastAsia="Source Sans Pro" w:hAnsi="Calibri" w:cs="Calibri"/>
        </w:rPr>
        <w:t xml:space="preserve">the </w:t>
      </w:r>
      <w:r w:rsidRPr="00057332">
        <w:rPr>
          <w:rFonts w:ascii="Calibri" w:eastAsia="Source Sans Pro" w:hAnsi="Calibri" w:cs="Calibri"/>
        </w:rPr>
        <w:t xml:space="preserve">GAC reaffirms its commitment to </w:t>
      </w:r>
      <w:r>
        <w:rPr>
          <w:rFonts w:ascii="Calibri" w:eastAsia="Source Sans Pro" w:hAnsi="Calibri" w:cs="Calibri"/>
        </w:rPr>
        <w:t xml:space="preserve">ICANN’s mission to </w:t>
      </w:r>
      <w:r w:rsidRPr="00057332">
        <w:rPr>
          <w:rFonts w:ascii="Calibri" w:eastAsia="Source Sans Pro" w:hAnsi="Calibri" w:cs="Calibri"/>
        </w:rPr>
        <w:t xml:space="preserve">ensure the stable and secure </w:t>
      </w:r>
      <w:r>
        <w:rPr>
          <w:rFonts w:ascii="Calibri" w:eastAsia="Source Sans Pro" w:hAnsi="Calibri" w:cs="Calibri"/>
        </w:rPr>
        <w:t xml:space="preserve">operation </w:t>
      </w:r>
      <w:r w:rsidRPr="00057332">
        <w:rPr>
          <w:rFonts w:ascii="Calibri" w:eastAsia="Source Sans Pro" w:hAnsi="Calibri" w:cs="Calibri"/>
        </w:rPr>
        <w:t xml:space="preserve">of </w:t>
      </w:r>
      <w:r>
        <w:rPr>
          <w:rFonts w:ascii="Calibri" w:eastAsia="Source Sans Pro" w:hAnsi="Calibri" w:cs="Calibri"/>
        </w:rPr>
        <w:t>the DNS</w:t>
      </w:r>
      <w:r w:rsidR="005B2DDB">
        <w:rPr>
          <w:rFonts w:ascii="Calibri" w:eastAsia="Source Sans Pro" w:hAnsi="Calibri" w:cs="Calibri"/>
        </w:rPr>
        <w:t>.</w:t>
      </w:r>
    </w:p>
    <w:p w14:paraId="6D90948F" w14:textId="77777777" w:rsidR="00A61B03" w:rsidRPr="00A61B03" w:rsidRDefault="00A61B03" w:rsidP="00A61B03">
      <w:pPr>
        <w:spacing w:line="276" w:lineRule="auto"/>
        <w:rPr>
          <w:rFonts w:asciiTheme="majorHAnsi" w:eastAsia="Source Sans Pro" w:hAnsiTheme="majorHAnsi" w:cstheme="majorHAnsi"/>
        </w:rPr>
      </w:pPr>
    </w:p>
    <w:p w14:paraId="45C710AF" w14:textId="10349A15" w:rsidR="00A61B03" w:rsidRPr="00A61B03" w:rsidRDefault="00A61B03" w:rsidP="00A61B03">
      <w:pPr>
        <w:spacing w:line="276" w:lineRule="auto"/>
        <w:rPr>
          <w:rFonts w:asciiTheme="majorHAnsi" w:eastAsia="Source Sans Pro" w:hAnsiTheme="majorHAnsi" w:cstheme="majorHAnsi"/>
          <w:b/>
          <w:color w:val="1F497D" w:themeColor="text2"/>
          <w:sz w:val="28"/>
          <w:szCs w:val="28"/>
        </w:rPr>
      </w:pPr>
      <w:r w:rsidRPr="00A61B03">
        <w:rPr>
          <w:rFonts w:asciiTheme="majorHAnsi" w:eastAsia="Source Sans Pro" w:hAnsiTheme="majorHAnsi" w:cstheme="majorHAnsi"/>
          <w:b/>
          <w:color w:val="1F497D" w:themeColor="text2"/>
          <w:sz w:val="28"/>
          <w:szCs w:val="28"/>
        </w:rPr>
        <w:lastRenderedPageBreak/>
        <w:t>Closing</w:t>
      </w:r>
    </w:p>
    <w:p w14:paraId="4D07C483" w14:textId="77777777" w:rsidR="00A61B03" w:rsidRPr="00A61B03" w:rsidRDefault="00A61B03" w:rsidP="00A61B03">
      <w:pPr>
        <w:spacing w:line="276" w:lineRule="auto"/>
        <w:rPr>
          <w:rFonts w:asciiTheme="majorHAnsi" w:eastAsia="Source Sans Pro" w:hAnsiTheme="majorHAnsi" w:cstheme="majorHAnsi"/>
          <w:b/>
          <w:color w:val="1F497D" w:themeColor="text2"/>
          <w:sz w:val="28"/>
          <w:szCs w:val="28"/>
        </w:rPr>
      </w:pPr>
    </w:p>
    <w:p w14:paraId="220C435D" w14:textId="19649337" w:rsidR="00A61B03" w:rsidRPr="006B2202" w:rsidRDefault="00A61B03" w:rsidP="00A61B03">
      <w:pPr>
        <w:spacing w:line="276" w:lineRule="auto"/>
        <w:rPr>
          <w:rFonts w:ascii="Calibri" w:hAnsi="Calibri" w:cs="Calibri"/>
          <w:lang w:val="en"/>
        </w:rPr>
      </w:pPr>
      <w:r w:rsidRPr="006B2202">
        <w:rPr>
          <w:rFonts w:ascii="Calibri" w:hAnsi="Calibri" w:cs="Calibri"/>
          <w:lang w:val="en"/>
        </w:rPr>
        <w:t xml:space="preserve">The GAC is grateful to ICANN org for this opportunity to share the committee’s perspective on the </w:t>
      </w:r>
      <w:r w:rsidRPr="006B2202">
        <w:rPr>
          <w:rFonts w:ascii="Calibri" w:hAnsi="Calibri" w:cs="Calibri"/>
        </w:rPr>
        <w:t>Draft FY22-26 Operating &amp; Financial Plan and Draft FY22 Operating Plan &amp; Budget</w:t>
      </w:r>
      <w:r w:rsidRPr="006B2202">
        <w:rPr>
          <w:rFonts w:ascii="Calibri" w:hAnsi="Calibri" w:cs="Calibri"/>
          <w:lang w:val="en"/>
        </w:rPr>
        <w:t xml:space="preserve">. The GAC looks forward to contributing to future comment opportunities as they relate to ICANN’s finances and other operations-related proceedings. </w:t>
      </w:r>
    </w:p>
    <w:p w14:paraId="787D64C5" w14:textId="34726CA3" w:rsidR="00895E2B" w:rsidRPr="00A61B03" w:rsidRDefault="00895E2B">
      <w:pPr>
        <w:spacing w:before="120"/>
        <w:rPr>
          <w:rFonts w:asciiTheme="majorHAnsi" w:eastAsia="Source Sans Pro" w:hAnsiTheme="majorHAnsi" w:cstheme="majorHAnsi"/>
        </w:rPr>
      </w:pPr>
    </w:p>
    <w:p w14:paraId="32ECC19F" w14:textId="77777777" w:rsidR="00895E2B" w:rsidRDefault="00E0237C">
      <w:pPr>
        <w:spacing w:before="120"/>
        <w:jc w:val="center"/>
        <w:rPr>
          <w:rFonts w:ascii="Source Sans Pro" w:eastAsia="Source Sans Pro" w:hAnsi="Source Sans Pro" w:cs="Source Sans Pro"/>
        </w:rPr>
      </w:pPr>
      <w:r>
        <w:rPr>
          <w:rFonts w:ascii="Source Sans Pro" w:eastAsia="Source Sans Pro" w:hAnsi="Source Sans Pro" w:cs="Source Sans Pro"/>
        </w:rPr>
        <w:t>#   #   #</w:t>
      </w:r>
    </w:p>
    <w:p w14:paraId="3B11E848" w14:textId="77777777" w:rsidR="00525D5E" w:rsidRDefault="00525D5E"/>
    <w:sectPr w:rsidR="00525D5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D9575" w14:textId="77777777" w:rsidR="00C90672" w:rsidRDefault="00C90672">
      <w:r>
        <w:separator/>
      </w:r>
    </w:p>
  </w:endnote>
  <w:endnote w:type="continuationSeparator" w:id="0">
    <w:p w14:paraId="400E47A9" w14:textId="77777777" w:rsidR="00C90672" w:rsidRDefault="00C9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F5C0" w14:textId="017D49A7" w:rsidR="00A61B03" w:rsidRDefault="00A61B03" w:rsidP="00A61B03">
    <w:pPr>
      <w:pBdr>
        <w:top w:val="single" w:sz="4" w:space="3" w:color="244060"/>
        <w:left w:val="nil"/>
        <w:bottom w:val="nil"/>
        <w:right w:val="nil"/>
        <w:between w:val="nil"/>
      </w:pBdr>
      <w:tabs>
        <w:tab w:val="right" w:pos="8931"/>
        <w:tab w:val="right" w:pos="9638"/>
      </w:tabs>
      <w:rPr>
        <w:rFonts w:ascii="Century Gothic" w:eastAsia="Century Gothic" w:hAnsi="Century Gothic" w:cs="Century Gothic"/>
        <w:color w:val="244061"/>
        <w:sz w:val="12"/>
        <w:szCs w:val="12"/>
      </w:rPr>
    </w:pPr>
    <w:r w:rsidRPr="00780D8C">
      <w:rPr>
        <w:rFonts w:ascii="Century Gothic" w:eastAsia="Century Gothic" w:hAnsi="Century Gothic" w:cs="Century Gothic"/>
        <w:color w:val="244061"/>
        <w:sz w:val="12"/>
        <w:szCs w:val="12"/>
      </w:rPr>
      <w:t>GAC Comments Regarding Draft FY2</w:t>
    </w:r>
    <w:r>
      <w:rPr>
        <w:rFonts w:ascii="Century Gothic" w:eastAsia="Century Gothic" w:hAnsi="Century Gothic" w:cs="Century Gothic"/>
        <w:color w:val="244061"/>
        <w:sz w:val="12"/>
        <w:szCs w:val="12"/>
      </w:rPr>
      <w:t>2</w:t>
    </w:r>
    <w:r w:rsidRPr="00780D8C">
      <w:rPr>
        <w:rFonts w:ascii="Century Gothic" w:eastAsia="Century Gothic" w:hAnsi="Century Gothic" w:cs="Century Gothic"/>
        <w:color w:val="244061"/>
        <w:sz w:val="12"/>
        <w:szCs w:val="12"/>
      </w:rPr>
      <w:t>-2</w:t>
    </w:r>
    <w:r>
      <w:rPr>
        <w:rFonts w:ascii="Century Gothic" w:eastAsia="Century Gothic" w:hAnsi="Century Gothic" w:cs="Century Gothic"/>
        <w:color w:val="244061"/>
        <w:sz w:val="12"/>
        <w:szCs w:val="12"/>
      </w:rPr>
      <w:t>6</w:t>
    </w:r>
    <w:r w:rsidRPr="00780D8C">
      <w:rPr>
        <w:rFonts w:ascii="Century Gothic" w:eastAsia="Century Gothic" w:hAnsi="Century Gothic" w:cs="Century Gothic"/>
        <w:color w:val="244061"/>
        <w:sz w:val="12"/>
        <w:szCs w:val="12"/>
      </w:rPr>
      <w:t xml:space="preserve"> Operating &amp; Financial Plan and Draft FY2</w:t>
    </w:r>
    <w:r>
      <w:rPr>
        <w:rFonts w:ascii="Century Gothic" w:eastAsia="Century Gothic" w:hAnsi="Century Gothic" w:cs="Century Gothic"/>
        <w:color w:val="244061"/>
        <w:sz w:val="12"/>
        <w:szCs w:val="12"/>
      </w:rPr>
      <w:t>2</w:t>
    </w:r>
    <w:r w:rsidRPr="00780D8C">
      <w:rPr>
        <w:rFonts w:ascii="Century Gothic" w:eastAsia="Century Gothic" w:hAnsi="Century Gothic" w:cs="Century Gothic"/>
        <w:color w:val="244061"/>
        <w:sz w:val="12"/>
        <w:szCs w:val="12"/>
      </w:rPr>
      <w:t xml:space="preserve"> Operating Plan &amp; Budget – </w:t>
    </w:r>
    <w:r>
      <w:rPr>
        <w:rFonts w:ascii="Century Gothic" w:eastAsia="Century Gothic" w:hAnsi="Century Gothic" w:cs="Century Gothic"/>
        <w:color w:val="244061"/>
        <w:sz w:val="12"/>
        <w:szCs w:val="12"/>
      </w:rPr>
      <w:t>1</w:t>
    </w:r>
    <w:r w:rsidRPr="00780D8C">
      <w:rPr>
        <w:rFonts w:ascii="Century Gothic" w:eastAsia="Century Gothic" w:hAnsi="Century Gothic" w:cs="Century Gothic"/>
        <w:color w:val="244061"/>
        <w:sz w:val="12"/>
        <w:szCs w:val="12"/>
      </w:rPr>
      <w:t>5 February 202</w:t>
    </w:r>
    <w:r>
      <w:rPr>
        <w:rFonts w:ascii="Century Gothic" w:eastAsia="Century Gothic" w:hAnsi="Century Gothic" w:cs="Century Gothic"/>
        <w:color w:val="244061"/>
        <w:sz w:val="12"/>
        <w:szCs w:val="12"/>
      </w:rPr>
      <w:t>1</w:t>
    </w:r>
    <w:r>
      <w:rPr>
        <w:rFonts w:ascii="Calibri" w:eastAsia="Calibri" w:hAnsi="Calibri" w:cs="Calibri"/>
        <w:color w:val="244061"/>
        <w:sz w:val="18"/>
        <w:szCs w:val="18"/>
      </w:rPr>
      <w:tab/>
    </w:r>
    <w:r>
      <w:rPr>
        <w:rFonts w:ascii="Calibri" w:eastAsia="Calibri" w:hAnsi="Calibri" w:cs="Calibri"/>
        <w:color w:val="244061"/>
        <w:sz w:val="18"/>
        <w:szCs w:val="18"/>
      </w:rPr>
      <w:tab/>
    </w:r>
    <w:r>
      <w:rPr>
        <w:rFonts w:ascii="Calibri" w:eastAsia="Calibri" w:hAnsi="Calibri" w:cs="Calibri"/>
        <w:color w:val="244061"/>
        <w:sz w:val="18"/>
        <w:szCs w:val="18"/>
      </w:rPr>
      <w:tab/>
    </w:r>
    <w:r>
      <w:rPr>
        <w:rFonts w:ascii="Century Gothic" w:eastAsia="Century Gothic" w:hAnsi="Century Gothic" w:cs="Century Gothic"/>
        <w:color w:val="244061"/>
        <w:sz w:val="12"/>
        <w:szCs w:val="12"/>
      </w:rPr>
      <w:fldChar w:fldCharType="begin"/>
    </w:r>
    <w:r>
      <w:rPr>
        <w:rFonts w:ascii="Century Gothic" w:eastAsia="Century Gothic" w:hAnsi="Century Gothic" w:cs="Century Gothic"/>
        <w:color w:val="244061"/>
        <w:sz w:val="12"/>
        <w:szCs w:val="12"/>
      </w:rPr>
      <w:instrText>PAGE</w:instrText>
    </w:r>
    <w:r>
      <w:rPr>
        <w:rFonts w:ascii="Century Gothic" w:eastAsia="Century Gothic" w:hAnsi="Century Gothic" w:cs="Century Gothic"/>
        <w:color w:val="244061"/>
        <w:sz w:val="12"/>
        <w:szCs w:val="12"/>
      </w:rPr>
      <w:fldChar w:fldCharType="separate"/>
    </w:r>
    <w:r>
      <w:rPr>
        <w:rFonts w:ascii="Century Gothic" w:eastAsia="Century Gothic" w:hAnsi="Century Gothic" w:cs="Century Gothic"/>
        <w:color w:val="244061"/>
        <w:sz w:val="12"/>
        <w:szCs w:val="12"/>
      </w:rPr>
      <w:t>4</w:t>
    </w:r>
    <w:r>
      <w:rPr>
        <w:rFonts w:ascii="Century Gothic" w:eastAsia="Century Gothic" w:hAnsi="Century Gothic" w:cs="Century Gothic"/>
        <w:color w:val="244061"/>
        <w:sz w:val="12"/>
        <w:szCs w:val="12"/>
      </w:rPr>
      <w:fldChar w:fldCharType="end"/>
    </w:r>
  </w:p>
  <w:p w14:paraId="7F889D91" w14:textId="62BF13DD" w:rsidR="00895E2B" w:rsidRPr="00A61B03" w:rsidRDefault="00895E2B" w:rsidP="00A61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48B5" w14:textId="77777777" w:rsidR="00C90672" w:rsidRDefault="00C90672">
      <w:r>
        <w:separator/>
      </w:r>
    </w:p>
  </w:footnote>
  <w:footnote w:type="continuationSeparator" w:id="0">
    <w:p w14:paraId="673C6FD0" w14:textId="77777777" w:rsidR="00C90672" w:rsidRDefault="00C90672">
      <w:r>
        <w:continuationSeparator/>
      </w:r>
    </w:p>
  </w:footnote>
  <w:footnote w:id="1">
    <w:p w14:paraId="1833D8FD" w14:textId="7E89957D" w:rsidR="00754C19" w:rsidRPr="00780D8C" w:rsidRDefault="00754C19" w:rsidP="00754C19">
      <w:pPr>
        <w:pStyle w:val="FootnoteText"/>
      </w:pPr>
      <w:r>
        <w:rPr>
          <w:rStyle w:val="FootnoteReference"/>
        </w:rPr>
        <w:footnoteRef/>
      </w:r>
      <w:r>
        <w:t xml:space="preserve"> </w:t>
      </w:r>
      <w:r w:rsidRPr="00EA1D31">
        <w:rPr>
          <w:sz w:val="20"/>
          <w:szCs w:val="20"/>
        </w:rPr>
        <w:t xml:space="preserve">This comment was prepared by the Committee’s leadership and is made on behalf of the entire GAC. It has been subjected to review of the GAC membership and is intended to complement, but not replace, any input that may be provided on the </w:t>
      </w:r>
      <w:r w:rsidRPr="00EA1D31">
        <w:rPr>
          <w:sz w:val="20"/>
          <w:szCs w:val="20"/>
          <w:lang w:val="en-US"/>
        </w:rPr>
        <w:t>Draft FY2</w:t>
      </w:r>
      <w:r w:rsidR="006A46D8">
        <w:rPr>
          <w:sz w:val="20"/>
          <w:szCs w:val="20"/>
          <w:lang w:val="en-US"/>
        </w:rPr>
        <w:t>2</w:t>
      </w:r>
      <w:r w:rsidRPr="00EA1D31">
        <w:rPr>
          <w:sz w:val="20"/>
          <w:szCs w:val="20"/>
          <w:lang w:val="en-US"/>
        </w:rPr>
        <w:t>-2</w:t>
      </w:r>
      <w:r w:rsidR="006A46D8">
        <w:rPr>
          <w:sz w:val="20"/>
          <w:szCs w:val="20"/>
          <w:lang w:val="en-US"/>
        </w:rPr>
        <w:t>6</w:t>
      </w:r>
      <w:r w:rsidRPr="00EA1D31">
        <w:rPr>
          <w:sz w:val="20"/>
          <w:szCs w:val="20"/>
          <w:lang w:val="en-US"/>
        </w:rPr>
        <w:t xml:space="preserve"> Operating &amp; Financial Plan and </w:t>
      </w:r>
      <w:r w:rsidRPr="00780D8C">
        <w:rPr>
          <w:sz w:val="20"/>
          <w:szCs w:val="20"/>
          <w:lang w:val="en-US"/>
        </w:rPr>
        <w:t>Draft FY2</w:t>
      </w:r>
      <w:r w:rsidR="006A46D8">
        <w:rPr>
          <w:sz w:val="20"/>
          <w:szCs w:val="20"/>
          <w:lang w:val="en-US"/>
        </w:rPr>
        <w:t>2</w:t>
      </w:r>
      <w:r w:rsidRPr="00780D8C">
        <w:rPr>
          <w:sz w:val="20"/>
          <w:szCs w:val="20"/>
          <w:lang w:val="en-US"/>
        </w:rPr>
        <w:t xml:space="preserve"> Operating Plan &amp; Budget</w:t>
      </w:r>
      <w:r w:rsidRPr="00EA1D31">
        <w:rPr>
          <w:sz w:val="20"/>
          <w:szCs w:val="20"/>
        </w:rPr>
        <w:t xml:space="preserve"> by individual GAC members.</w:t>
      </w:r>
    </w:p>
    <w:p w14:paraId="18181C82" w14:textId="77777777" w:rsidR="00754C19" w:rsidRDefault="00754C19" w:rsidP="00754C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29A4" w14:textId="58F540B5" w:rsidR="00DB1A1C" w:rsidRDefault="00DB1A1C" w:rsidP="00DB1A1C">
    <w:pPr>
      <w:pStyle w:val="Header"/>
      <w:rPr>
        <w:b/>
        <w:bCs/>
        <w:color w:val="BFBFBF" w:themeColor="background1" w:themeShade="BF"/>
        <w:sz w:val="40"/>
        <w:szCs w:val="40"/>
        <w:lang w:val="en-US"/>
      </w:rPr>
    </w:pPr>
    <w:r>
      <w:rPr>
        <w:noProof/>
      </w:rPr>
      <w:drawing>
        <wp:anchor distT="0" distB="0" distL="114300" distR="114300" simplePos="0" relativeHeight="251659264" behindDoc="0" locked="0" layoutInCell="1" allowOverlap="0" wp14:anchorId="5F6A5152" wp14:editId="223AD080">
          <wp:simplePos x="0" y="0"/>
          <wp:positionH relativeFrom="page">
            <wp:posOffset>2356249</wp:posOffset>
          </wp:positionH>
          <wp:positionV relativeFrom="page">
            <wp:posOffset>164458</wp:posOffset>
          </wp:positionV>
          <wp:extent cx="3187827" cy="10229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
                  <a:stretch>
                    <a:fillRect/>
                  </a:stretch>
                </pic:blipFill>
                <pic:spPr>
                  <a:xfrm>
                    <a:off x="0" y="0"/>
                    <a:ext cx="3187827" cy="1022985"/>
                  </a:xfrm>
                  <a:prstGeom prst="rect">
                    <a:avLst/>
                  </a:prstGeom>
                </pic:spPr>
              </pic:pic>
            </a:graphicData>
          </a:graphic>
        </wp:anchor>
      </w:drawing>
    </w:r>
  </w:p>
  <w:p w14:paraId="15275399" w14:textId="73F3C82E" w:rsidR="00FF35A6" w:rsidRDefault="00FF35A6" w:rsidP="00DB1A1C">
    <w:pPr>
      <w:pStyle w:val="Header"/>
      <w:rPr>
        <w:b/>
        <w:bCs/>
        <w:color w:val="BFBFBF" w:themeColor="background1" w:themeShade="BF"/>
        <w:lang w:val="en-US"/>
      </w:rPr>
    </w:pPr>
  </w:p>
  <w:p w14:paraId="45C61615" w14:textId="5B4A0050" w:rsidR="00210273" w:rsidRDefault="00210273" w:rsidP="00DB1A1C">
    <w:pPr>
      <w:pStyle w:val="Header"/>
      <w:rPr>
        <w:b/>
        <w:bCs/>
        <w:color w:val="BFBFBF" w:themeColor="background1" w:themeShade="BF"/>
        <w:lang w:val="en-US"/>
      </w:rPr>
    </w:pPr>
  </w:p>
  <w:p w14:paraId="40FAF15A" w14:textId="77777777" w:rsidR="00210273" w:rsidRPr="00DB1A1C" w:rsidRDefault="00210273" w:rsidP="00DB1A1C">
    <w:pPr>
      <w:pStyle w:val="Header"/>
      <w:rPr>
        <w:b/>
        <w:bCs/>
        <w:color w:val="BFBFBF" w:themeColor="background1" w:themeShade="BF"/>
        <w:sz w:val="40"/>
        <w:szCs w:val="40"/>
        <w:lang w:val="en-US"/>
      </w:rPr>
    </w:pPr>
  </w:p>
  <w:p w14:paraId="20BEBFE5" w14:textId="77777777" w:rsidR="00FF35A6" w:rsidRPr="00FF35A6" w:rsidRDefault="00FF35A6" w:rsidP="00FF35A6">
    <w:pPr>
      <w:pStyle w:val="Header"/>
      <w:jc w:val="right"/>
      <w:rPr>
        <w:b/>
        <w:bCs/>
        <w:color w:val="BFBFBF" w:themeColor="background1" w:themeShade="B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D4F93"/>
    <w:multiLevelType w:val="multilevel"/>
    <w:tmpl w:val="E0B634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E40644D"/>
    <w:multiLevelType w:val="multilevel"/>
    <w:tmpl w:val="49B89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2B"/>
    <w:rsid w:val="000142F4"/>
    <w:rsid w:val="0004193A"/>
    <w:rsid w:val="00051059"/>
    <w:rsid w:val="00057332"/>
    <w:rsid w:val="000B2C93"/>
    <w:rsid w:val="000C7596"/>
    <w:rsid w:val="000F7F30"/>
    <w:rsid w:val="001165EC"/>
    <w:rsid w:val="00120157"/>
    <w:rsid w:val="00141138"/>
    <w:rsid w:val="00165F5B"/>
    <w:rsid w:val="00183EAD"/>
    <w:rsid w:val="00190305"/>
    <w:rsid w:val="001A6BF6"/>
    <w:rsid w:val="002007B4"/>
    <w:rsid w:val="00210273"/>
    <w:rsid w:val="00243F36"/>
    <w:rsid w:val="0025286B"/>
    <w:rsid w:val="002C15BA"/>
    <w:rsid w:val="002C5E0B"/>
    <w:rsid w:val="002D2410"/>
    <w:rsid w:val="002D5066"/>
    <w:rsid w:val="00321E3C"/>
    <w:rsid w:val="003268D0"/>
    <w:rsid w:val="003515DB"/>
    <w:rsid w:val="003519FF"/>
    <w:rsid w:val="00357500"/>
    <w:rsid w:val="00360795"/>
    <w:rsid w:val="00394E02"/>
    <w:rsid w:val="00406026"/>
    <w:rsid w:val="00490865"/>
    <w:rsid w:val="004C18B4"/>
    <w:rsid w:val="005220ED"/>
    <w:rsid w:val="00523144"/>
    <w:rsid w:val="00525D5E"/>
    <w:rsid w:val="0056503E"/>
    <w:rsid w:val="005703CA"/>
    <w:rsid w:val="005A3628"/>
    <w:rsid w:val="005B2DDB"/>
    <w:rsid w:val="0060134C"/>
    <w:rsid w:val="00617040"/>
    <w:rsid w:val="00617C99"/>
    <w:rsid w:val="00642969"/>
    <w:rsid w:val="00674316"/>
    <w:rsid w:val="006925B5"/>
    <w:rsid w:val="006A46D8"/>
    <w:rsid w:val="006B2202"/>
    <w:rsid w:val="006B5E18"/>
    <w:rsid w:val="006C30F5"/>
    <w:rsid w:val="006D2215"/>
    <w:rsid w:val="006D48B8"/>
    <w:rsid w:val="00754C19"/>
    <w:rsid w:val="0076552F"/>
    <w:rsid w:val="007F3C1A"/>
    <w:rsid w:val="0080293A"/>
    <w:rsid w:val="00803B0C"/>
    <w:rsid w:val="00895E2B"/>
    <w:rsid w:val="008B3496"/>
    <w:rsid w:val="00912E95"/>
    <w:rsid w:val="00930C02"/>
    <w:rsid w:val="0094199A"/>
    <w:rsid w:val="009C7F58"/>
    <w:rsid w:val="009E3D69"/>
    <w:rsid w:val="009E42FC"/>
    <w:rsid w:val="009F113A"/>
    <w:rsid w:val="009F3B06"/>
    <w:rsid w:val="00A27872"/>
    <w:rsid w:val="00A61B03"/>
    <w:rsid w:val="00AB417B"/>
    <w:rsid w:val="00AC0EFB"/>
    <w:rsid w:val="00B50CC1"/>
    <w:rsid w:val="00B51A5E"/>
    <w:rsid w:val="00BF3268"/>
    <w:rsid w:val="00C233FB"/>
    <w:rsid w:val="00C90672"/>
    <w:rsid w:val="00C96184"/>
    <w:rsid w:val="00CB644B"/>
    <w:rsid w:val="00CD2DC5"/>
    <w:rsid w:val="00D3013A"/>
    <w:rsid w:val="00D66199"/>
    <w:rsid w:val="00D9132D"/>
    <w:rsid w:val="00DB1A1C"/>
    <w:rsid w:val="00DC481A"/>
    <w:rsid w:val="00DF076C"/>
    <w:rsid w:val="00DF3C79"/>
    <w:rsid w:val="00E0237C"/>
    <w:rsid w:val="00E22345"/>
    <w:rsid w:val="00E82DDD"/>
    <w:rsid w:val="00EC23DA"/>
    <w:rsid w:val="00EE1E4D"/>
    <w:rsid w:val="00EE6F33"/>
    <w:rsid w:val="00F023BA"/>
    <w:rsid w:val="00F46C7D"/>
    <w:rsid w:val="00FC517B"/>
    <w:rsid w:val="00FE4496"/>
    <w:rsid w:val="00FF3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5AC4"/>
  <w15:docId w15:val="{AB534C58-B1C5-EA4F-B2CE-BFEA8AE6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4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35A6"/>
    <w:rPr>
      <w:sz w:val="18"/>
      <w:szCs w:val="18"/>
    </w:rPr>
  </w:style>
  <w:style w:type="character" w:customStyle="1" w:styleId="BalloonTextChar">
    <w:name w:val="Balloon Text Char"/>
    <w:basedOn w:val="DefaultParagraphFont"/>
    <w:link w:val="BalloonText"/>
    <w:uiPriority w:val="99"/>
    <w:semiHidden/>
    <w:rsid w:val="00FF35A6"/>
    <w:rPr>
      <w:rFonts w:ascii="Times New Roman" w:hAnsi="Times New Roman" w:cs="Times New Roman"/>
      <w:sz w:val="18"/>
      <w:szCs w:val="18"/>
    </w:rPr>
  </w:style>
  <w:style w:type="paragraph" w:styleId="Header">
    <w:name w:val="header"/>
    <w:basedOn w:val="Normal"/>
    <w:link w:val="HeaderChar"/>
    <w:uiPriority w:val="99"/>
    <w:unhideWhenUsed/>
    <w:rsid w:val="00FF35A6"/>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FF35A6"/>
  </w:style>
  <w:style w:type="paragraph" w:styleId="Footer">
    <w:name w:val="footer"/>
    <w:basedOn w:val="Normal"/>
    <w:link w:val="FooterChar"/>
    <w:uiPriority w:val="99"/>
    <w:unhideWhenUsed/>
    <w:rsid w:val="00FF35A6"/>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FF35A6"/>
  </w:style>
  <w:style w:type="paragraph" w:styleId="CommentSubject">
    <w:name w:val="annotation subject"/>
    <w:basedOn w:val="CommentText"/>
    <w:next w:val="CommentText"/>
    <w:link w:val="CommentSubjectChar"/>
    <w:uiPriority w:val="99"/>
    <w:semiHidden/>
    <w:unhideWhenUsed/>
    <w:rsid w:val="00523144"/>
    <w:rPr>
      <w:b/>
      <w:bCs/>
    </w:rPr>
  </w:style>
  <w:style w:type="character" w:customStyle="1" w:styleId="CommentSubjectChar">
    <w:name w:val="Comment Subject Char"/>
    <w:basedOn w:val="CommentTextChar"/>
    <w:link w:val="CommentSubject"/>
    <w:uiPriority w:val="99"/>
    <w:semiHidden/>
    <w:rsid w:val="00523144"/>
    <w:rPr>
      <w:b/>
      <w:bCs/>
      <w:sz w:val="20"/>
      <w:szCs w:val="20"/>
    </w:rPr>
  </w:style>
  <w:style w:type="paragraph" w:styleId="ListParagraph">
    <w:name w:val="List Paragraph"/>
    <w:basedOn w:val="Normal"/>
    <w:uiPriority w:val="34"/>
    <w:qFormat/>
    <w:rsid w:val="00FC517B"/>
    <w:pPr>
      <w:spacing w:before="100" w:beforeAutospacing="1" w:after="100" w:afterAutospacing="1"/>
    </w:pPr>
  </w:style>
  <w:style w:type="character" w:customStyle="1" w:styleId="apple-converted-space">
    <w:name w:val="apple-converted-space"/>
    <w:basedOn w:val="DefaultParagraphFont"/>
    <w:rsid w:val="00FC517B"/>
  </w:style>
  <w:style w:type="paragraph" w:styleId="Revision">
    <w:name w:val="Revision"/>
    <w:hidden/>
    <w:uiPriority w:val="99"/>
    <w:semiHidden/>
    <w:rsid w:val="00BF3268"/>
    <w:pPr>
      <w:spacing w:line="240" w:lineRule="auto"/>
    </w:pPr>
  </w:style>
  <w:style w:type="character" w:styleId="Hyperlink">
    <w:name w:val="Hyperlink"/>
    <w:basedOn w:val="DefaultParagraphFont"/>
    <w:uiPriority w:val="99"/>
    <w:unhideWhenUsed/>
    <w:rsid w:val="00190305"/>
    <w:rPr>
      <w:color w:val="0000FF"/>
      <w:u w:val="single"/>
    </w:rPr>
  </w:style>
  <w:style w:type="character" w:styleId="UnresolvedMention">
    <w:name w:val="Unresolved Mention"/>
    <w:basedOn w:val="DefaultParagraphFont"/>
    <w:uiPriority w:val="99"/>
    <w:semiHidden/>
    <w:unhideWhenUsed/>
    <w:rsid w:val="00B50CC1"/>
    <w:rPr>
      <w:color w:val="605E5C"/>
      <w:shd w:val="clear" w:color="auto" w:fill="E1DFDD"/>
    </w:rPr>
  </w:style>
  <w:style w:type="character" w:styleId="FollowedHyperlink">
    <w:name w:val="FollowedHyperlink"/>
    <w:basedOn w:val="DefaultParagraphFont"/>
    <w:uiPriority w:val="99"/>
    <w:semiHidden/>
    <w:unhideWhenUsed/>
    <w:rsid w:val="009E3D69"/>
    <w:rPr>
      <w:color w:val="800080" w:themeColor="followedHyperlink"/>
      <w:u w:val="single"/>
    </w:rPr>
  </w:style>
  <w:style w:type="paragraph" w:styleId="FootnoteText">
    <w:name w:val="footnote text"/>
    <w:basedOn w:val="Normal"/>
    <w:link w:val="FootnoteTextChar"/>
    <w:uiPriority w:val="99"/>
    <w:unhideWhenUsed/>
    <w:rsid w:val="00754C19"/>
    <w:rPr>
      <w:rFonts w:ascii="Calibri" w:eastAsia="Calibri" w:hAnsi="Calibri" w:cs="Calibri"/>
      <w:lang w:val="en" w:eastAsia="en-GB"/>
    </w:rPr>
  </w:style>
  <w:style w:type="character" w:customStyle="1" w:styleId="FootnoteTextChar">
    <w:name w:val="Footnote Text Char"/>
    <w:basedOn w:val="DefaultParagraphFont"/>
    <w:link w:val="FootnoteText"/>
    <w:uiPriority w:val="99"/>
    <w:rsid w:val="00754C19"/>
    <w:rPr>
      <w:rFonts w:ascii="Calibri" w:eastAsia="Calibri" w:hAnsi="Calibri" w:cs="Calibri"/>
      <w:sz w:val="24"/>
      <w:szCs w:val="24"/>
      <w:lang w:eastAsia="en-GB"/>
    </w:rPr>
  </w:style>
  <w:style w:type="character" w:styleId="FootnoteReference">
    <w:name w:val="footnote reference"/>
    <w:basedOn w:val="DefaultParagraphFont"/>
    <w:uiPriority w:val="99"/>
    <w:unhideWhenUsed/>
    <w:rsid w:val="00754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5946">
      <w:bodyDiv w:val="1"/>
      <w:marLeft w:val="0"/>
      <w:marRight w:val="0"/>
      <w:marTop w:val="0"/>
      <w:marBottom w:val="0"/>
      <w:divBdr>
        <w:top w:val="none" w:sz="0" w:space="0" w:color="auto"/>
        <w:left w:val="none" w:sz="0" w:space="0" w:color="auto"/>
        <w:bottom w:val="none" w:sz="0" w:space="0" w:color="auto"/>
        <w:right w:val="none" w:sz="0" w:space="0" w:color="auto"/>
      </w:divBdr>
    </w:div>
    <w:div w:id="191847081">
      <w:bodyDiv w:val="1"/>
      <w:marLeft w:val="0"/>
      <w:marRight w:val="0"/>
      <w:marTop w:val="0"/>
      <w:marBottom w:val="0"/>
      <w:divBdr>
        <w:top w:val="none" w:sz="0" w:space="0" w:color="auto"/>
        <w:left w:val="none" w:sz="0" w:space="0" w:color="auto"/>
        <w:bottom w:val="none" w:sz="0" w:space="0" w:color="auto"/>
        <w:right w:val="none" w:sz="0" w:space="0" w:color="auto"/>
      </w:divBdr>
    </w:div>
    <w:div w:id="850684449">
      <w:bodyDiv w:val="1"/>
      <w:marLeft w:val="0"/>
      <w:marRight w:val="0"/>
      <w:marTop w:val="0"/>
      <w:marBottom w:val="0"/>
      <w:divBdr>
        <w:top w:val="none" w:sz="0" w:space="0" w:color="auto"/>
        <w:left w:val="none" w:sz="0" w:space="0" w:color="auto"/>
        <w:bottom w:val="none" w:sz="0" w:space="0" w:color="auto"/>
        <w:right w:val="none" w:sz="0" w:space="0" w:color="auto"/>
      </w:divBdr>
    </w:div>
    <w:div w:id="946303953">
      <w:bodyDiv w:val="1"/>
      <w:marLeft w:val="0"/>
      <w:marRight w:val="0"/>
      <w:marTop w:val="0"/>
      <w:marBottom w:val="0"/>
      <w:divBdr>
        <w:top w:val="none" w:sz="0" w:space="0" w:color="auto"/>
        <w:left w:val="none" w:sz="0" w:space="0" w:color="auto"/>
        <w:bottom w:val="none" w:sz="0" w:space="0" w:color="auto"/>
        <w:right w:val="none" w:sz="0" w:space="0" w:color="auto"/>
      </w:divBdr>
    </w:div>
    <w:div w:id="1007096524">
      <w:bodyDiv w:val="1"/>
      <w:marLeft w:val="0"/>
      <w:marRight w:val="0"/>
      <w:marTop w:val="0"/>
      <w:marBottom w:val="0"/>
      <w:divBdr>
        <w:top w:val="none" w:sz="0" w:space="0" w:color="auto"/>
        <w:left w:val="none" w:sz="0" w:space="0" w:color="auto"/>
        <w:bottom w:val="none" w:sz="0" w:space="0" w:color="auto"/>
        <w:right w:val="none" w:sz="0" w:space="0" w:color="auto"/>
      </w:divBdr>
    </w:div>
    <w:div w:id="1014846740">
      <w:bodyDiv w:val="1"/>
      <w:marLeft w:val="0"/>
      <w:marRight w:val="0"/>
      <w:marTop w:val="0"/>
      <w:marBottom w:val="0"/>
      <w:divBdr>
        <w:top w:val="none" w:sz="0" w:space="0" w:color="auto"/>
        <w:left w:val="none" w:sz="0" w:space="0" w:color="auto"/>
        <w:bottom w:val="none" w:sz="0" w:space="0" w:color="auto"/>
        <w:right w:val="none" w:sz="0" w:space="0" w:color="auto"/>
      </w:divBdr>
    </w:div>
    <w:div w:id="1192110401">
      <w:bodyDiv w:val="1"/>
      <w:marLeft w:val="0"/>
      <w:marRight w:val="0"/>
      <w:marTop w:val="0"/>
      <w:marBottom w:val="0"/>
      <w:divBdr>
        <w:top w:val="none" w:sz="0" w:space="0" w:color="auto"/>
        <w:left w:val="none" w:sz="0" w:space="0" w:color="auto"/>
        <w:bottom w:val="none" w:sz="0" w:space="0" w:color="auto"/>
        <w:right w:val="none" w:sz="0" w:space="0" w:color="auto"/>
      </w:divBdr>
    </w:div>
    <w:div w:id="1405254768">
      <w:bodyDiv w:val="1"/>
      <w:marLeft w:val="0"/>
      <w:marRight w:val="0"/>
      <w:marTop w:val="0"/>
      <w:marBottom w:val="0"/>
      <w:divBdr>
        <w:top w:val="none" w:sz="0" w:space="0" w:color="auto"/>
        <w:left w:val="none" w:sz="0" w:space="0" w:color="auto"/>
        <w:bottom w:val="none" w:sz="0" w:space="0" w:color="auto"/>
        <w:right w:val="none" w:sz="0" w:space="0" w:color="auto"/>
      </w:divBdr>
    </w:div>
    <w:div w:id="1673144715">
      <w:bodyDiv w:val="1"/>
      <w:marLeft w:val="0"/>
      <w:marRight w:val="0"/>
      <w:marTop w:val="0"/>
      <w:marBottom w:val="0"/>
      <w:divBdr>
        <w:top w:val="none" w:sz="0" w:space="0" w:color="auto"/>
        <w:left w:val="none" w:sz="0" w:space="0" w:color="auto"/>
        <w:bottom w:val="none" w:sz="0" w:space="0" w:color="auto"/>
        <w:right w:val="none" w:sz="0" w:space="0" w:color="auto"/>
      </w:divBdr>
    </w:div>
    <w:div w:id="1843203085">
      <w:bodyDiv w:val="1"/>
      <w:marLeft w:val="0"/>
      <w:marRight w:val="0"/>
      <w:marTop w:val="0"/>
      <w:marBottom w:val="0"/>
      <w:divBdr>
        <w:top w:val="none" w:sz="0" w:space="0" w:color="auto"/>
        <w:left w:val="none" w:sz="0" w:space="0" w:color="auto"/>
        <w:bottom w:val="none" w:sz="0" w:space="0" w:color="auto"/>
        <w:right w:val="none" w:sz="0" w:space="0" w:color="auto"/>
      </w:divBdr>
    </w:div>
    <w:div w:id="1968003818">
      <w:bodyDiv w:val="1"/>
      <w:marLeft w:val="0"/>
      <w:marRight w:val="0"/>
      <w:marTop w:val="0"/>
      <w:marBottom w:val="0"/>
      <w:divBdr>
        <w:top w:val="none" w:sz="0" w:space="0" w:color="auto"/>
        <w:left w:val="none" w:sz="0" w:space="0" w:color="auto"/>
        <w:bottom w:val="none" w:sz="0" w:space="0" w:color="auto"/>
        <w:right w:val="none" w:sz="0" w:space="0" w:color="auto"/>
      </w:divBdr>
    </w:div>
    <w:div w:id="20618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draft-op-financial-fy22-26-opplan-fy22-2020-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public-comments/draft-opplan-budget-fy22-26-2020-12-17-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Users/robert.hoggarth/Documents/GAC/Public%20Comments/2021/FY22%20Budget/draft-budget-fy22-2020-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Robert Hoggarth</cp:lastModifiedBy>
  <cp:revision>3</cp:revision>
  <dcterms:created xsi:type="dcterms:W3CDTF">2021-02-15T22:41:00Z</dcterms:created>
  <dcterms:modified xsi:type="dcterms:W3CDTF">2021-02-15T22:41:00Z</dcterms:modified>
</cp:coreProperties>
</file>