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828C1" w:rsidRDefault="001828C1"/>
    <w:p w14:paraId="00000002" w14:textId="77777777" w:rsidR="001828C1" w:rsidRPr="009C4B22" w:rsidRDefault="000D022A" w:rsidP="009C4B22">
      <w:pPr>
        <w:jc w:val="center"/>
        <w:rPr>
          <w:lang w:val="en-AU"/>
        </w:rPr>
      </w:pPr>
      <w:hyperlink r:id="rId7">
        <w:r w:rsidRPr="009C4B22">
          <w:rPr>
            <w:color w:val="1155CC"/>
            <w:u w:val="single"/>
            <w:lang w:val="en-AU"/>
          </w:rPr>
          <w:t>DRAFT PTI and IANA FY22 Operating Plan and Budgets - ICANN</w:t>
        </w:r>
      </w:hyperlink>
    </w:p>
    <w:p w14:paraId="00000003" w14:textId="77777777" w:rsidR="001828C1" w:rsidRPr="009C4B22" w:rsidRDefault="001828C1">
      <w:pPr>
        <w:rPr>
          <w:lang w:val="en-AU"/>
        </w:rPr>
      </w:pPr>
    </w:p>
    <w:p w14:paraId="00000004" w14:textId="77777777" w:rsidR="001828C1" w:rsidRPr="009C4B22" w:rsidRDefault="001828C1">
      <w:pPr>
        <w:rPr>
          <w:lang w:val="en-AU"/>
        </w:rPr>
      </w:pPr>
    </w:p>
    <w:p w14:paraId="00000005" w14:textId="72FA366B" w:rsidR="001828C1" w:rsidRPr="009C4B22" w:rsidRDefault="000D022A">
      <w:pPr>
        <w:jc w:val="center"/>
        <w:rPr>
          <w:lang w:val="en-AU"/>
        </w:rPr>
      </w:pPr>
      <w:r w:rsidRPr="009C4B22">
        <w:rPr>
          <w:lang w:val="en-AU"/>
        </w:rPr>
        <w:t>27 November 20</w:t>
      </w:r>
      <w:r w:rsidRPr="009C4B22">
        <w:rPr>
          <w:lang w:val="en-AU"/>
        </w:rPr>
        <w:t>20</w:t>
      </w:r>
    </w:p>
    <w:p w14:paraId="00000006" w14:textId="77777777" w:rsidR="001828C1" w:rsidRPr="009C4B22" w:rsidRDefault="001828C1">
      <w:pPr>
        <w:rPr>
          <w:lang w:val="en-AU"/>
        </w:rPr>
      </w:pPr>
    </w:p>
    <w:p w14:paraId="00000007" w14:textId="77777777" w:rsidR="001828C1" w:rsidRPr="009C4B22" w:rsidRDefault="000D022A">
      <w:pPr>
        <w:jc w:val="center"/>
        <w:rPr>
          <w:b/>
          <w:lang w:val="en-AU"/>
        </w:rPr>
      </w:pPr>
      <w:r w:rsidRPr="009C4B22">
        <w:rPr>
          <w:b/>
          <w:lang w:val="en-AU"/>
        </w:rPr>
        <w:t xml:space="preserve">Statement of the Non-Commercial Stakeholders Group </w:t>
      </w:r>
    </w:p>
    <w:p w14:paraId="00000008" w14:textId="0406953F" w:rsidR="001828C1" w:rsidRPr="009C4B22" w:rsidRDefault="000D022A">
      <w:pPr>
        <w:jc w:val="center"/>
        <w:rPr>
          <w:lang w:val="en-AU"/>
        </w:rPr>
      </w:pPr>
      <w:proofErr w:type="gramStart"/>
      <w:r w:rsidRPr="009C4B22">
        <w:rPr>
          <w:b/>
          <w:lang w:val="en-AU"/>
        </w:rPr>
        <w:t>on</w:t>
      </w:r>
      <w:proofErr w:type="gramEnd"/>
      <w:r w:rsidRPr="009C4B22">
        <w:rPr>
          <w:b/>
          <w:lang w:val="en-AU"/>
        </w:rPr>
        <w:t xml:space="preserve"> the Draft PTI and IANA FY2</w:t>
      </w:r>
      <w:r w:rsidRPr="009C4B22">
        <w:rPr>
          <w:b/>
          <w:lang w:val="en-AU"/>
        </w:rPr>
        <w:t>2</w:t>
      </w:r>
      <w:r w:rsidRPr="009C4B22">
        <w:rPr>
          <w:b/>
          <w:lang w:val="en-AU"/>
        </w:rPr>
        <w:t xml:space="preserve"> Operational Plans and Budgets</w:t>
      </w:r>
      <w:r>
        <w:rPr>
          <w:b/>
          <w:vertAlign w:val="superscript"/>
        </w:rPr>
        <w:footnoteReference w:id="1"/>
      </w:r>
    </w:p>
    <w:p w14:paraId="00000009" w14:textId="77777777" w:rsidR="001828C1" w:rsidRPr="009C4B22" w:rsidRDefault="001828C1">
      <w:pPr>
        <w:jc w:val="center"/>
        <w:rPr>
          <w:lang w:val="en-AU"/>
        </w:rPr>
      </w:pPr>
    </w:p>
    <w:p w14:paraId="0000000A" w14:textId="479C4839" w:rsidR="001828C1" w:rsidRPr="009C4B22" w:rsidRDefault="000D022A">
      <w:pPr>
        <w:numPr>
          <w:ilvl w:val="0"/>
          <w:numId w:val="1"/>
        </w:numPr>
        <w:jc w:val="both"/>
        <w:rPr>
          <w:rFonts w:ascii="Times New Roman" w:eastAsia="Times New Roman" w:hAnsi="Times New Roman" w:cs="Times New Roman"/>
          <w:sz w:val="24"/>
          <w:szCs w:val="24"/>
          <w:lang w:val="en-AU"/>
        </w:rPr>
      </w:pPr>
      <w:r w:rsidRPr="009C4B22">
        <w:rPr>
          <w:rFonts w:ascii="Times New Roman" w:eastAsia="Times New Roman" w:hAnsi="Times New Roman" w:cs="Times New Roman"/>
          <w:sz w:val="24"/>
          <w:szCs w:val="24"/>
          <w:lang w:val="en-AU"/>
        </w:rPr>
        <w:t>The Non-Commercial Stakeholders Group (NCSG) welcomes the opportunity to comment on the proposed Public Technical Identifiers (PTI) Operating Plan and Budget, and the proposed IANA Operating P</w:t>
      </w:r>
      <w:r w:rsidRPr="009C4B22">
        <w:rPr>
          <w:rFonts w:ascii="Times New Roman" w:eastAsia="Times New Roman" w:hAnsi="Times New Roman" w:cs="Times New Roman"/>
          <w:sz w:val="24"/>
          <w:szCs w:val="24"/>
          <w:lang w:val="en-AU"/>
        </w:rPr>
        <w:t>lan and Budget, for the coming fiscal year 202</w:t>
      </w:r>
      <w:r w:rsidRPr="009C4B22">
        <w:rPr>
          <w:rFonts w:ascii="Times New Roman" w:eastAsia="Times New Roman" w:hAnsi="Times New Roman" w:cs="Times New Roman"/>
          <w:sz w:val="24"/>
          <w:szCs w:val="24"/>
          <w:lang w:val="en-AU"/>
        </w:rPr>
        <w:t>2</w:t>
      </w:r>
      <w:r w:rsidRPr="009C4B22">
        <w:rPr>
          <w:rFonts w:ascii="Times New Roman" w:eastAsia="Times New Roman" w:hAnsi="Times New Roman" w:cs="Times New Roman"/>
          <w:sz w:val="24"/>
          <w:szCs w:val="24"/>
          <w:lang w:val="en-AU"/>
        </w:rPr>
        <w:t>.</w:t>
      </w:r>
    </w:p>
    <w:p w14:paraId="0000000B" w14:textId="77777777" w:rsidR="001828C1" w:rsidRPr="009C4B22" w:rsidRDefault="001828C1">
      <w:pPr>
        <w:ind w:left="720"/>
        <w:jc w:val="both"/>
        <w:rPr>
          <w:rFonts w:ascii="Times New Roman" w:eastAsia="Times New Roman" w:hAnsi="Times New Roman" w:cs="Times New Roman"/>
          <w:sz w:val="24"/>
          <w:szCs w:val="24"/>
          <w:lang w:val="en-AU"/>
        </w:rPr>
      </w:pPr>
    </w:p>
    <w:p w14:paraId="0000000C" w14:textId="77777777" w:rsidR="001828C1" w:rsidRPr="009C4B22" w:rsidRDefault="000D022A">
      <w:pPr>
        <w:numPr>
          <w:ilvl w:val="0"/>
          <w:numId w:val="1"/>
        </w:numPr>
        <w:jc w:val="both"/>
        <w:rPr>
          <w:rFonts w:ascii="Times New Roman" w:eastAsia="Times New Roman" w:hAnsi="Times New Roman" w:cs="Times New Roman"/>
          <w:sz w:val="24"/>
          <w:szCs w:val="24"/>
          <w:lang w:val="en-AU"/>
        </w:rPr>
      </w:pPr>
      <w:r w:rsidRPr="009C4B22">
        <w:rPr>
          <w:rFonts w:ascii="Times New Roman" w:eastAsia="Times New Roman" w:hAnsi="Times New Roman" w:cs="Times New Roman"/>
          <w:sz w:val="24"/>
          <w:szCs w:val="24"/>
          <w:lang w:val="en-AU"/>
        </w:rPr>
        <w:t>The NCSG is the most diverse body in the Generic Names Supporting Organization, with individual and organisational members from 128 countries. As a network of individual and organisational academics, Inter</w:t>
      </w:r>
      <w:r w:rsidRPr="009C4B22">
        <w:rPr>
          <w:rFonts w:ascii="Times New Roman" w:eastAsia="Times New Roman" w:hAnsi="Times New Roman" w:cs="Times New Roman"/>
          <w:sz w:val="24"/>
          <w:szCs w:val="24"/>
          <w:lang w:val="en-AU"/>
        </w:rPr>
        <w:t xml:space="preserve">net end-users, and civil society actors representing the interests of non-commercial registrants, we represent a broad cross-section of the global Internet community. As a constituency made up of members of the </w:t>
      </w:r>
      <w:proofErr w:type="gramStart"/>
      <w:r w:rsidRPr="009C4B22">
        <w:rPr>
          <w:rFonts w:ascii="Times New Roman" w:eastAsia="Times New Roman" w:hAnsi="Times New Roman" w:cs="Times New Roman"/>
          <w:sz w:val="24"/>
          <w:szCs w:val="24"/>
          <w:lang w:val="en-AU"/>
        </w:rPr>
        <w:t>civil</w:t>
      </w:r>
      <w:proofErr w:type="gramEnd"/>
      <w:r w:rsidRPr="009C4B22">
        <w:rPr>
          <w:rFonts w:ascii="Times New Roman" w:eastAsia="Times New Roman" w:hAnsi="Times New Roman" w:cs="Times New Roman"/>
          <w:sz w:val="24"/>
          <w:szCs w:val="24"/>
          <w:lang w:val="en-AU"/>
        </w:rPr>
        <w:t xml:space="preserve"> society, we are concerned with the righ</w:t>
      </w:r>
      <w:r w:rsidRPr="009C4B22">
        <w:rPr>
          <w:rFonts w:ascii="Times New Roman" w:eastAsia="Times New Roman" w:hAnsi="Times New Roman" w:cs="Times New Roman"/>
          <w:sz w:val="24"/>
          <w:szCs w:val="24"/>
          <w:lang w:val="en-AU"/>
        </w:rPr>
        <w:t xml:space="preserve">ts of non-commercial internet users and the policy development regarding </w:t>
      </w:r>
      <w:proofErr w:type="spellStart"/>
      <w:r w:rsidRPr="009C4B22">
        <w:rPr>
          <w:rFonts w:ascii="Times New Roman" w:eastAsia="Times New Roman" w:hAnsi="Times New Roman" w:cs="Times New Roman"/>
          <w:sz w:val="24"/>
          <w:szCs w:val="24"/>
          <w:lang w:val="en-AU"/>
        </w:rPr>
        <w:t>gTLDs</w:t>
      </w:r>
      <w:proofErr w:type="spellEnd"/>
      <w:r w:rsidRPr="009C4B22">
        <w:rPr>
          <w:rFonts w:ascii="Times New Roman" w:eastAsia="Times New Roman" w:hAnsi="Times New Roman" w:cs="Times New Roman"/>
          <w:sz w:val="24"/>
          <w:szCs w:val="24"/>
          <w:lang w:val="en-AU"/>
        </w:rPr>
        <w:t xml:space="preserve">. </w:t>
      </w:r>
    </w:p>
    <w:p w14:paraId="0000000D" w14:textId="77777777" w:rsidR="001828C1" w:rsidRPr="009C4B22" w:rsidRDefault="001828C1">
      <w:pPr>
        <w:ind w:left="720"/>
        <w:jc w:val="both"/>
        <w:rPr>
          <w:rFonts w:ascii="Times New Roman" w:eastAsia="Times New Roman" w:hAnsi="Times New Roman" w:cs="Times New Roman"/>
          <w:sz w:val="24"/>
          <w:szCs w:val="24"/>
          <w:lang w:val="en-AU"/>
        </w:rPr>
      </w:pPr>
    </w:p>
    <w:p w14:paraId="0000000E" w14:textId="1C6E66A2" w:rsidR="001828C1" w:rsidRPr="009C4B22" w:rsidRDefault="000D022A">
      <w:pPr>
        <w:numPr>
          <w:ilvl w:val="0"/>
          <w:numId w:val="1"/>
        </w:numPr>
        <w:jc w:val="both"/>
        <w:rPr>
          <w:rFonts w:ascii="Times New Roman" w:eastAsia="Times New Roman" w:hAnsi="Times New Roman" w:cs="Times New Roman"/>
          <w:sz w:val="24"/>
          <w:szCs w:val="24"/>
          <w:lang w:val="en-AU"/>
        </w:rPr>
      </w:pPr>
      <w:r w:rsidRPr="009C4B22">
        <w:rPr>
          <w:rFonts w:ascii="Times New Roman" w:eastAsia="Times New Roman" w:hAnsi="Times New Roman" w:cs="Times New Roman"/>
          <w:sz w:val="24"/>
          <w:szCs w:val="24"/>
          <w:lang w:val="en-AU"/>
        </w:rPr>
        <w:t>NCSG strongly supports the continued maintenance of the PTI budget to ensure continuity of service in the IANA functions. The</w:t>
      </w:r>
      <w:r w:rsidRPr="009C4B22">
        <w:rPr>
          <w:rFonts w:ascii="Times New Roman" w:eastAsia="Times New Roman" w:hAnsi="Times New Roman" w:cs="Times New Roman"/>
          <w:sz w:val="24"/>
          <w:szCs w:val="24"/>
          <w:lang w:val="en-AU"/>
        </w:rPr>
        <w:t xml:space="preserve"> relatively</w:t>
      </w:r>
      <w:r w:rsidRPr="009C4B22">
        <w:rPr>
          <w:rFonts w:ascii="Times New Roman" w:eastAsia="Times New Roman" w:hAnsi="Times New Roman" w:cs="Times New Roman"/>
          <w:sz w:val="24"/>
          <w:szCs w:val="24"/>
          <w:lang w:val="en-AU"/>
        </w:rPr>
        <w:t xml:space="preserve"> flat </w:t>
      </w:r>
      <w:proofErr w:type="spellStart"/>
      <w:r w:rsidRPr="009C4B22">
        <w:rPr>
          <w:rFonts w:ascii="Times New Roman" w:eastAsia="Times New Roman" w:hAnsi="Times New Roman" w:cs="Times New Roman"/>
          <w:sz w:val="24"/>
          <w:szCs w:val="24"/>
          <w:lang w:val="en-AU"/>
        </w:rPr>
        <w:t>year</w:t>
      </w:r>
      <w:r w:rsidRPr="009C4B22">
        <w:rPr>
          <w:rFonts w:ascii="Times New Roman" w:eastAsia="Times New Roman" w:hAnsi="Times New Roman" w:cs="Times New Roman"/>
          <w:sz w:val="24"/>
          <w:szCs w:val="24"/>
          <w:lang w:val="en-AU"/>
        </w:rPr>
        <w:t>on</w:t>
      </w:r>
      <w:proofErr w:type="spellEnd"/>
      <w:r w:rsidRPr="009C4B22">
        <w:rPr>
          <w:rFonts w:ascii="Times New Roman" w:eastAsia="Times New Roman" w:hAnsi="Times New Roman" w:cs="Times New Roman"/>
          <w:sz w:val="24"/>
          <w:szCs w:val="24"/>
          <w:lang w:val="en-AU"/>
        </w:rPr>
        <w:t>-</w:t>
      </w:r>
      <w:r w:rsidRPr="009C4B22">
        <w:rPr>
          <w:rFonts w:ascii="Times New Roman" w:eastAsia="Times New Roman" w:hAnsi="Times New Roman" w:cs="Times New Roman"/>
          <w:sz w:val="24"/>
          <w:szCs w:val="24"/>
          <w:lang w:val="en-AU"/>
        </w:rPr>
        <w:t>year approach of the FY</w:t>
      </w:r>
      <w:r w:rsidRPr="009C4B22">
        <w:rPr>
          <w:rFonts w:ascii="Times New Roman" w:eastAsia="Times New Roman" w:hAnsi="Times New Roman" w:cs="Times New Roman"/>
          <w:sz w:val="24"/>
          <w:szCs w:val="24"/>
          <w:lang w:val="en-AU"/>
        </w:rPr>
        <w:t>2</w:t>
      </w:r>
      <w:r w:rsidRPr="009C4B22">
        <w:rPr>
          <w:rFonts w:ascii="Times New Roman" w:eastAsia="Times New Roman" w:hAnsi="Times New Roman" w:cs="Times New Roman"/>
          <w:sz w:val="24"/>
          <w:szCs w:val="24"/>
          <w:lang w:val="en-AU"/>
        </w:rPr>
        <w:t>2</w:t>
      </w:r>
      <w:r w:rsidRPr="009C4B22">
        <w:rPr>
          <w:rFonts w:ascii="Times New Roman" w:eastAsia="Times New Roman" w:hAnsi="Times New Roman" w:cs="Times New Roman"/>
          <w:sz w:val="24"/>
          <w:szCs w:val="24"/>
          <w:lang w:val="en-AU"/>
        </w:rPr>
        <w:t xml:space="preserve"> budget is acceptable to NCSG as long as the IANA customers and the core maintenance of the RZMS and the other IANA functions are sufficiently accounted for in the FY2</w:t>
      </w:r>
      <w:r w:rsidRPr="009C4B22">
        <w:rPr>
          <w:rFonts w:ascii="Times New Roman" w:eastAsia="Times New Roman" w:hAnsi="Times New Roman" w:cs="Times New Roman"/>
          <w:sz w:val="24"/>
          <w:szCs w:val="24"/>
          <w:lang w:val="en-AU"/>
        </w:rPr>
        <w:t>2</w:t>
      </w:r>
      <w:r w:rsidRPr="009C4B22">
        <w:rPr>
          <w:rFonts w:ascii="Times New Roman" w:eastAsia="Times New Roman" w:hAnsi="Times New Roman" w:cs="Times New Roman"/>
          <w:sz w:val="24"/>
          <w:szCs w:val="24"/>
          <w:lang w:val="en-AU"/>
        </w:rPr>
        <w:t xml:space="preserve"> budget.</w:t>
      </w:r>
    </w:p>
    <w:p w14:paraId="0000000F" w14:textId="77777777" w:rsidR="001828C1" w:rsidRPr="009C4B22" w:rsidRDefault="001828C1">
      <w:pPr>
        <w:ind w:left="720"/>
        <w:jc w:val="both"/>
        <w:rPr>
          <w:rFonts w:ascii="Times New Roman" w:eastAsia="Times New Roman" w:hAnsi="Times New Roman" w:cs="Times New Roman"/>
          <w:sz w:val="24"/>
          <w:szCs w:val="24"/>
          <w:lang w:val="en-AU"/>
        </w:rPr>
      </w:pPr>
    </w:p>
    <w:p w14:paraId="00000010" w14:textId="526424B9" w:rsidR="001828C1" w:rsidRPr="009C4B22" w:rsidRDefault="000D022A">
      <w:pPr>
        <w:numPr>
          <w:ilvl w:val="0"/>
          <w:numId w:val="1"/>
        </w:numPr>
        <w:jc w:val="both"/>
        <w:rPr>
          <w:rFonts w:ascii="Times New Roman" w:eastAsia="Times New Roman" w:hAnsi="Times New Roman" w:cs="Times New Roman"/>
          <w:sz w:val="24"/>
          <w:szCs w:val="24"/>
          <w:lang w:val="en-AU"/>
        </w:rPr>
      </w:pPr>
      <w:r w:rsidRPr="009C4B22">
        <w:rPr>
          <w:rFonts w:ascii="Times New Roman" w:eastAsia="Times New Roman" w:hAnsi="Times New Roman" w:cs="Times New Roman"/>
          <w:sz w:val="24"/>
          <w:szCs w:val="24"/>
          <w:lang w:val="en-AU"/>
        </w:rPr>
        <w:t xml:space="preserve">As we stated in our two previous comments on PTI and/or IANA budgets, </w:t>
      </w:r>
      <w:r w:rsidRPr="009C4B22">
        <w:rPr>
          <w:rFonts w:ascii="Times New Roman" w:eastAsia="Times New Roman" w:hAnsi="Times New Roman" w:cs="Times New Roman"/>
          <w:sz w:val="24"/>
          <w:szCs w:val="24"/>
          <w:lang w:val="en-AU"/>
        </w:rPr>
        <w:t xml:space="preserve">NCSG would look favourably on increasing the precision of the numbers presented in future budgetary documents. Indeed, irrespective of accounting standards, a comparatively small budget of 10 </w:t>
      </w:r>
      <w:r w:rsidR="00606932" w:rsidRPr="009C4B22">
        <w:rPr>
          <w:rFonts w:ascii="Times New Roman" w:eastAsia="Times New Roman" w:hAnsi="Times New Roman" w:cs="Times New Roman"/>
          <w:sz w:val="24"/>
          <w:szCs w:val="24"/>
          <w:lang w:val="en-AU"/>
        </w:rPr>
        <w:t>million</w:t>
      </w:r>
      <w:bookmarkStart w:id="0" w:name="_GoBack"/>
      <w:bookmarkEnd w:id="0"/>
      <w:r w:rsidRPr="009C4B22">
        <w:rPr>
          <w:rFonts w:ascii="Times New Roman" w:eastAsia="Times New Roman" w:hAnsi="Times New Roman" w:cs="Times New Roman"/>
          <w:sz w:val="24"/>
          <w:szCs w:val="24"/>
          <w:lang w:val="en-AU"/>
        </w:rPr>
        <w:t xml:space="preserve"> USD </w:t>
      </w:r>
      <w:r w:rsidRPr="009C4B22">
        <w:rPr>
          <w:rFonts w:ascii="Times New Roman" w:eastAsia="Times New Roman" w:hAnsi="Times New Roman" w:cs="Times New Roman"/>
          <w:sz w:val="24"/>
          <w:szCs w:val="24"/>
          <w:lang w:val="en-AU"/>
        </w:rPr>
        <w:t xml:space="preserve">(or 600 000 USD for IANA alone) </w:t>
      </w:r>
      <w:r w:rsidRPr="009C4B22">
        <w:rPr>
          <w:rFonts w:ascii="Times New Roman" w:eastAsia="Times New Roman" w:hAnsi="Times New Roman" w:cs="Times New Roman"/>
          <w:sz w:val="24"/>
          <w:szCs w:val="24"/>
          <w:lang w:val="en-AU"/>
        </w:rPr>
        <w:t>would in our view r</w:t>
      </w:r>
      <w:r w:rsidRPr="009C4B22">
        <w:rPr>
          <w:rFonts w:ascii="Times New Roman" w:eastAsia="Times New Roman" w:hAnsi="Times New Roman" w:cs="Times New Roman"/>
          <w:sz w:val="24"/>
          <w:szCs w:val="24"/>
          <w:lang w:val="en-AU"/>
        </w:rPr>
        <w:t xml:space="preserve">equire rounding up to no more than the closest 10 000. </w:t>
      </w:r>
    </w:p>
    <w:p w14:paraId="00000011" w14:textId="77777777" w:rsidR="001828C1" w:rsidRPr="009C4B22" w:rsidRDefault="001828C1">
      <w:pPr>
        <w:ind w:left="720"/>
        <w:jc w:val="both"/>
        <w:rPr>
          <w:rFonts w:ascii="Times New Roman" w:eastAsia="Times New Roman" w:hAnsi="Times New Roman" w:cs="Times New Roman"/>
          <w:sz w:val="24"/>
          <w:szCs w:val="24"/>
          <w:lang w:val="en-AU"/>
        </w:rPr>
      </w:pPr>
    </w:p>
    <w:p w14:paraId="00000012" w14:textId="07F7C034" w:rsidR="001828C1" w:rsidRPr="009C4B22" w:rsidRDefault="000D022A">
      <w:pPr>
        <w:numPr>
          <w:ilvl w:val="0"/>
          <w:numId w:val="1"/>
        </w:numPr>
        <w:jc w:val="both"/>
        <w:rPr>
          <w:rFonts w:ascii="Times New Roman" w:eastAsia="Times New Roman" w:hAnsi="Times New Roman" w:cs="Times New Roman"/>
          <w:sz w:val="24"/>
          <w:szCs w:val="24"/>
          <w:lang w:val="en-AU"/>
        </w:rPr>
      </w:pPr>
      <w:r w:rsidRPr="009C4B22">
        <w:rPr>
          <w:rFonts w:ascii="Times New Roman" w:eastAsia="Times New Roman" w:hAnsi="Times New Roman" w:cs="Times New Roman"/>
          <w:sz w:val="24"/>
          <w:szCs w:val="24"/>
          <w:lang w:val="en-AU"/>
        </w:rPr>
        <w:t>In addition, several elements of the two documents under comment h</w:t>
      </w:r>
      <w:r w:rsidRPr="009C4B22">
        <w:rPr>
          <w:rFonts w:ascii="Times New Roman" w:eastAsia="Times New Roman" w:hAnsi="Times New Roman" w:cs="Times New Roman"/>
          <w:sz w:val="24"/>
          <w:szCs w:val="24"/>
          <w:lang w:val="en-AU"/>
        </w:rPr>
        <w:t>ere are presented without definitions, explanations or in a generally obtuse way. As a not-for-profit organization accountable to its community, it is paramount that ICANN deploys the required efforts in order to properly enable that community to inform it</w:t>
      </w:r>
      <w:r w:rsidRPr="009C4B22">
        <w:rPr>
          <w:rFonts w:ascii="Times New Roman" w:eastAsia="Times New Roman" w:hAnsi="Times New Roman" w:cs="Times New Roman"/>
          <w:sz w:val="24"/>
          <w:szCs w:val="24"/>
          <w:lang w:val="en-AU"/>
        </w:rPr>
        <w:t>self, produce comments and generally engage the organization on issues it deems important. This is especially important when such information is of a</w:t>
      </w:r>
      <w:r w:rsidRPr="009C4B22">
        <w:rPr>
          <w:rFonts w:ascii="Times New Roman" w:eastAsia="Times New Roman" w:hAnsi="Times New Roman" w:cs="Times New Roman"/>
          <w:sz w:val="24"/>
          <w:szCs w:val="24"/>
          <w:lang w:val="en-AU"/>
        </w:rPr>
        <w:t xml:space="preserve"> quantitative character. Proper communication of quantitative information requires dedicated efforts.</w:t>
      </w:r>
      <w:r w:rsidRPr="009C4B22">
        <w:rPr>
          <w:rFonts w:ascii="Times New Roman" w:eastAsia="Times New Roman" w:hAnsi="Times New Roman" w:cs="Times New Roman"/>
          <w:sz w:val="24"/>
          <w:szCs w:val="24"/>
          <w:lang w:val="en-AU"/>
        </w:rPr>
        <w:t xml:space="preserve"> This is not about simply finding the right amount of details to include in disclosure documents, but also about presentation</w:t>
      </w:r>
      <w:r w:rsidRPr="009C4B22">
        <w:rPr>
          <w:rFonts w:ascii="Times New Roman" w:eastAsia="Times New Roman" w:hAnsi="Times New Roman" w:cs="Times New Roman"/>
          <w:sz w:val="24"/>
          <w:szCs w:val="24"/>
          <w:lang w:val="en-AU"/>
        </w:rPr>
        <w:t xml:space="preserve"> choices.</w:t>
      </w:r>
      <w:r w:rsidRPr="009C4B22">
        <w:rPr>
          <w:rFonts w:ascii="Times New Roman" w:eastAsia="Times New Roman" w:hAnsi="Times New Roman" w:cs="Times New Roman"/>
          <w:sz w:val="24"/>
          <w:szCs w:val="24"/>
          <w:lang w:val="en-AU"/>
        </w:rPr>
        <w:t xml:space="preserve"> </w:t>
      </w:r>
    </w:p>
    <w:p w14:paraId="00000013" w14:textId="77777777" w:rsidR="001828C1" w:rsidRPr="009C4B22" w:rsidRDefault="001828C1">
      <w:pPr>
        <w:ind w:left="720"/>
        <w:jc w:val="both"/>
        <w:rPr>
          <w:rFonts w:ascii="Times New Roman" w:eastAsia="Times New Roman" w:hAnsi="Times New Roman" w:cs="Times New Roman"/>
          <w:sz w:val="24"/>
          <w:szCs w:val="24"/>
          <w:lang w:val="en-AU"/>
        </w:rPr>
      </w:pPr>
    </w:p>
    <w:p w14:paraId="00000016" w14:textId="1D86D3BD" w:rsidR="001828C1" w:rsidRDefault="000D022A">
      <w:pPr>
        <w:numPr>
          <w:ilvl w:val="0"/>
          <w:numId w:val="1"/>
        </w:numPr>
        <w:jc w:val="both"/>
        <w:rPr>
          <w:rFonts w:ascii="Times New Roman" w:eastAsia="Times New Roman" w:hAnsi="Times New Roman" w:cs="Times New Roman"/>
          <w:sz w:val="24"/>
          <w:szCs w:val="24"/>
        </w:rPr>
      </w:pPr>
      <w:r w:rsidRPr="009C4B22">
        <w:rPr>
          <w:rFonts w:ascii="Times New Roman" w:eastAsia="Times New Roman" w:hAnsi="Times New Roman" w:cs="Times New Roman"/>
          <w:sz w:val="24"/>
          <w:szCs w:val="24"/>
          <w:lang w:val="en-AU"/>
        </w:rPr>
        <w:t xml:space="preserve">In our </w:t>
      </w:r>
      <w:r w:rsidRPr="009C4B22">
        <w:rPr>
          <w:rFonts w:ascii="Times New Roman" w:eastAsia="Times New Roman" w:hAnsi="Times New Roman" w:cs="Times New Roman"/>
          <w:sz w:val="24"/>
          <w:szCs w:val="24"/>
          <w:lang w:val="en-AU"/>
        </w:rPr>
        <w:t xml:space="preserve">two previous </w:t>
      </w:r>
      <w:r w:rsidRPr="009C4B22">
        <w:rPr>
          <w:rFonts w:ascii="Times New Roman" w:eastAsia="Times New Roman" w:hAnsi="Times New Roman" w:cs="Times New Roman"/>
          <w:sz w:val="24"/>
          <w:szCs w:val="24"/>
          <w:lang w:val="en-AU"/>
        </w:rPr>
        <w:t>comment</w:t>
      </w:r>
      <w:r w:rsidRPr="009C4B22">
        <w:rPr>
          <w:rFonts w:ascii="Times New Roman" w:eastAsia="Times New Roman" w:hAnsi="Times New Roman" w:cs="Times New Roman"/>
          <w:sz w:val="24"/>
          <w:szCs w:val="24"/>
          <w:lang w:val="en-AU"/>
        </w:rPr>
        <w:t>s</w:t>
      </w:r>
      <w:r w:rsidRPr="009C4B22">
        <w:rPr>
          <w:rFonts w:ascii="Times New Roman" w:eastAsia="Times New Roman" w:hAnsi="Times New Roman" w:cs="Times New Roman"/>
          <w:sz w:val="24"/>
          <w:szCs w:val="24"/>
          <w:lang w:val="en-AU"/>
        </w:rPr>
        <w:t xml:space="preserve">, we made similar </w:t>
      </w:r>
      <w:r w:rsidRPr="009C4B22">
        <w:rPr>
          <w:rFonts w:ascii="Times New Roman" w:eastAsia="Times New Roman" w:hAnsi="Times New Roman" w:cs="Times New Roman"/>
          <w:sz w:val="24"/>
          <w:szCs w:val="24"/>
          <w:lang w:val="en-AU"/>
        </w:rPr>
        <w:t>remarks</w:t>
      </w:r>
      <w:r w:rsidRPr="009C4B22">
        <w:rPr>
          <w:rFonts w:ascii="Times New Roman" w:eastAsia="Times New Roman" w:hAnsi="Times New Roman" w:cs="Times New Roman"/>
          <w:sz w:val="24"/>
          <w:szCs w:val="24"/>
          <w:lang w:val="en-AU"/>
        </w:rPr>
        <w:t xml:space="preserve"> on the importance of presentation and definitions.</w:t>
      </w:r>
      <w:r w:rsidRPr="009C4B22">
        <w:rPr>
          <w:rFonts w:ascii="Times New Roman" w:eastAsia="Times New Roman" w:hAnsi="Times New Roman" w:cs="Times New Roman"/>
          <w:sz w:val="24"/>
          <w:szCs w:val="24"/>
          <w:lang w:val="en-AU"/>
        </w:rPr>
        <w:t xml:space="preserve"> While we observe certain improvements in explaining the roles and relationships between ICANN, IANA and PTI, there remains several lacunae, which we have outlined previously.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below</w:t>
      </w:r>
      <w:proofErr w:type="spellEnd"/>
      <w:r>
        <w:rPr>
          <w:rFonts w:ascii="Times New Roman" w:eastAsia="Times New Roman" w:hAnsi="Times New Roman" w:cs="Times New Roman"/>
          <w:sz w:val="24"/>
          <w:szCs w:val="24"/>
        </w:rPr>
        <w:t xml:space="preserve">. </w:t>
      </w:r>
    </w:p>
    <w:p w14:paraId="00000017" w14:textId="77777777" w:rsidR="001828C1" w:rsidRDefault="001828C1">
      <w:pPr>
        <w:ind w:left="720"/>
        <w:jc w:val="both"/>
        <w:rPr>
          <w:rFonts w:ascii="Times New Roman" w:eastAsia="Times New Roman" w:hAnsi="Times New Roman" w:cs="Times New Roman"/>
          <w:sz w:val="24"/>
          <w:szCs w:val="24"/>
        </w:rPr>
      </w:pPr>
    </w:p>
    <w:p w14:paraId="00000018" w14:textId="5875A9EA" w:rsidR="001828C1" w:rsidRPr="00606932" w:rsidRDefault="001828C1" w:rsidP="00606932">
      <w:pPr>
        <w:ind w:left="720"/>
        <w:jc w:val="both"/>
        <w:rPr>
          <w:color w:val="000000"/>
        </w:rPr>
      </w:pPr>
    </w:p>
    <w:p w14:paraId="00000019" w14:textId="77777777" w:rsidR="001828C1" w:rsidRPr="009C4B22" w:rsidRDefault="000D022A">
      <w:pPr>
        <w:numPr>
          <w:ilvl w:val="1"/>
          <w:numId w:val="1"/>
        </w:numPr>
        <w:jc w:val="both"/>
        <w:rPr>
          <w:rFonts w:ascii="Times New Roman" w:eastAsia="Times New Roman" w:hAnsi="Times New Roman" w:cs="Times New Roman"/>
          <w:sz w:val="24"/>
          <w:szCs w:val="24"/>
          <w:lang w:val="en-AU"/>
        </w:rPr>
      </w:pPr>
      <w:r w:rsidRPr="009C4B22">
        <w:rPr>
          <w:rFonts w:ascii="Times New Roman" w:eastAsia="Times New Roman" w:hAnsi="Times New Roman" w:cs="Times New Roman"/>
          <w:sz w:val="24"/>
          <w:szCs w:val="24"/>
          <w:lang w:val="en-AU"/>
        </w:rPr>
        <w:t xml:space="preserve">Naming conventions - there is </w:t>
      </w:r>
      <w:r w:rsidRPr="009C4B22">
        <w:rPr>
          <w:rFonts w:ascii="Times New Roman" w:eastAsia="Times New Roman" w:hAnsi="Times New Roman" w:cs="Times New Roman"/>
          <w:sz w:val="24"/>
          <w:szCs w:val="24"/>
          <w:lang w:val="en-AU"/>
        </w:rPr>
        <w:t xml:space="preserve">no standard usage of terms, and it appears several terms overlap each other, at least partially or completely (“Core IANA Services”, “IANA Services”, “PTI Services”, </w:t>
      </w:r>
      <w:r w:rsidRPr="009C4B22">
        <w:rPr>
          <w:rFonts w:ascii="Times New Roman" w:eastAsia="Times New Roman" w:hAnsi="Times New Roman" w:cs="Times New Roman"/>
          <w:sz w:val="24"/>
          <w:szCs w:val="24"/>
          <w:lang w:val="en-AU"/>
        </w:rPr>
        <w:t xml:space="preserve">“PTI Operations”, “IANA Operations”, </w:t>
      </w:r>
      <w:r w:rsidRPr="009C4B22">
        <w:rPr>
          <w:rFonts w:ascii="Times New Roman" w:eastAsia="Times New Roman" w:hAnsi="Times New Roman" w:cs="Times New Roman"/>
          <w:sz w:val="24"/>
          <w:szCs w:val="24"/>
          <w:lang w:val="en-AU"/>
        </w:rPr>
        <w:t>“PTI O&amp;B”, “Contract Oversight and Auxiliary Services</w:t>
      </w:r>
      <w:r w:rsidRPr="009C4B22">
        <w:rPr>
          <w:rFonts w:ascii="Times New Roman" w:eastAsia="Times New Roman" w:hAnsi="Times New Roman" w:cs="Times New Roman"/>
          <w:sz w:val="24"/>
          <w:szCs w:val="24"/>
          <w:lang w:val="en-AU"/>
        </w:rPr>
        <w:t xml:space="preserve">”) This makes reading and understanding difficult, if not outright guesswork. NCSG would strongly recommend the usage of defined terms, with one single term per item or concept, as is common practice in the professional services industry, with an appendix </w:t>
      </w:r>
      <w:r w:rsidRPr="009C4B22">
        <w:rPr>
          <w:rFonts w:ascii="Times New Roman" w:eastAsia="Times New Roman" w:hAnsi="Times New Roman" w:cs="Times New Roman"/>
          <w:sz w:val="24"/>
          <w:szCs w:val="24"/>
          <w:lang w:val="en-AU"/>
        </w:rPr>
        <w:t>giving a list of definitions.</w:t>
      </w:r>
    </w:p>
    <w:p w14:paraId="0000001A" w14:textId="01558B0F" w:rsidR="001828C1" w:rsidRPr="009C4B22" w:rsidRDefault="000D022A">
      <w:pPr>
        <w:numPr>
          <w:ilvl w:val="1"/>
          <w:numId w:val="1"/>
        </w:numPr>
        <w:jc w:val="both"/>
        <w:rPr>
          <w:rFonts w:ascii="Times New Roman" w:eastAsia="Times New Roman" w:hAnsi="Times New Roman" w:cs="Times New Roman"/>
          <w:sz w:val="24"/>
          <w:szCs w:val="24"/>
          <w:lang w:val="en-AU"/>
        </w:rPr>
      </w:pPr>
      <w:r w:rsidRPr="009C4B22">
        <w:rPr>
          <w:rFonts w:ascii="Times New Roman" w:eastAsia="Times New Roman" w:hAnsi="Times New Roman" w:cs="Times New Roman"/>
          <w:sz w:val="24"/>
          <w:szCs w:val="24"/>
          <w:lang w:val="en-AU"/>
        </w:rPr>
        <w:t>Relationship between ICANN, IANA and PTI - these are three different entities (or group of “functions,” as far as IANA is concerned) which are easily confused. While the boxes visual is a helpful aid, the variation in language</w:t>
      </w:r>
      <w:r w:rsidRPr="009C4B22">
        <w:rPr>
          <w:rFonts w:ascii="Times New Roman" w:eastAsia="Times New Roman" w:hAnsi="Times New Roman" w:cs="Times New Roman"/>
          <w:sz w:val="24"/>
          <w:szCs w:val="24"/>
          <w:lang w:val="en-AU"/>
        </w:rPr>
        <w:t xml:space="preserve"> across the document undermines the usefulness of that aid. </w:t>
      </w:r>
      <w:r w:rsidRPr="009C4B22">
        <w:rPr>
          <w:rFonts w:ascii="Times New Roman" w:eastAsia="Times New Roman" w:hAnsi="Times New Roman" w:cs="Times New Roman"/>
          <w:sz w:val="24"/>
          <w:szCs w:val="24"/>
          <w:lang w:val="en-AU"/>
        </w:rPr>
        <w:t xml:space="preserve">NCSG would strongly recommend an individual explanatory section, which would contain both a visual and text, both using the standardized vocabulary recommended above. </w:t>
      </w:r>
    </w:p>
    <w:p w14:paraId="0000001B" w14:textId="49C47C91" w:rsidR="001828C1" w:rsidRPr="009C4B22" w:rsidRDefault="000D022A">
      <w:pPr>
        <w:numPr>
          <w:ilvl w:val="1"/>
          <w:numId w:val="1"/>
        </w:numPr>
        <w:jc w:val="both"/>
        <w:rPr>
          <w:rFonts w:ascii="Times New Roman" w:eastAsia="Times New Roman" w:hAnsi="Times New Roman" w:cs="Times New Roman"/>
          <w:sz w:val="24"/>
          <w:szCs w:val="24"/>
          <w:lang w:val="en-AU"/>
        </w:rPr>
      </w:pPr>
      <w:r w:rsidRPr="009C4B22">
        <w:rPr>
          <w:rFonts w:ascii="Times New Roman" w:eastAsia="Times New Roman" w:hAnsi="Times New Roman" w:cs="Times New Roman"/>
          <w:sz w:val="24"/>
          <w:szCs w:val="24"/>
          <w:lang w:val="en-AU"/>
        </w:rPr>
        <w:t>Footnote (a) of Appendix A and B cannot be understood without precise knowledge of the context of the transition of IANA from ICANN to PTI</w:t>
      </w:r>
      <w:r w:rsidRPr="009C4B22">
        <w:rPr>
          <w:rFonts w:ascii="Times New Roman" w:eastAsia="Times New Roman" w:hAnsi="Times New Roman" w:cs="Times New Roman"/>
          <w:sz w:val="24"/>
          <w:szCs w:val="24"/>
          <w:lang w:val="en-AU"/>
        </w:rPr>
        <w:t>.</w:t>
      </w:r>
      <w:r w:rsidRPr="009C4B22">
        <w:rPr>
          <w:rFonts w:ascii="Times New Roman" w:eastAsia="Times New Roman" w:hAnsi="Times New Roman" w:cs="Times New Roman"/>
          <w:sz w:val="24"/>
          <w:szCs w:val="24"/>
          <w:lang w:val="en-AU"/>
        </w:rPr>
        <w:t>NCSG is happy to work further with the relevant persons and departments of ICANN org to find ways to improve the accessibility of future budgetary documents while meeting ICANN org’s objectives of uniform presentation.</w:t>
      </w:r>
    </w:p>
    <w:p w14:paraId="0000001C" w14:textId="77777777" w:rsidR="001828C1" w:rsidRPr="009C4B22" w:rsidRDefault="001828C1">
      <w:pPr>
        <w:ind w:left="1440"/>
        <w:jc w:val="both"/>
        <w:rPr>
          <w:rFonts w:ascii="Times New Roman" w:eastAsia="Times New Roman" w:hAnsi="Times New Roman" w:cs="Times New Roman"/>
          <w:sz w:val="24"/>
          <w:szCs w:val="24"/>
          <w:lang w:val="en-AU"/>
        </w:rPr>
      </w:pPr>
    </w:p>
    <w:p w14:paraId="0000001E" w14:textId="5985909D" w:rsidR="001828C1" w:rsidRPr="009C4B22" w:rsidRDefault="000D022A" w:rsidP="00606932">
      <w:pPr>
        <w:numPr>
          <w:ilvl w:val="0"/>
          <w:numId w:val="1"/>
        </w:numPr>
        <w:jc w:val="both"/>
        <w:rPr>
          <w:rFonts w:ascii="Times New Roman" w:eastAsia="Times New Roman" w:hAnsi="Times New Roman" w:cs="Times New Roman"/>
          <w:sz w:val="24"/>
          <w:szCs w:val="24"/>
          <w:lang w:val="en-AU"/>
        </w:rPr>
      </w:pPr>
      <w:r w:rsidRPr="009C4B22">
        <w:rPr>
          <w:rFonts w:ascii="Times New Roman" w:eastAsia="Times New Roman" w:hAnsi="Times New Roman" w:cs="Times New Roman"/>
          <w:sz w:val="24"/>
          <w:szCs w:val="24"/>
          <w:lang w:val="en-AU"/>
        </w:rPr>
        <w:t xml:space="preserve">Moreover, it also appears that this </w:t>
      </w:r>
      <w:r w:rsidRPr="009C4B22">
        <w:rPr>
          <w:rFonts w:ascii="Times New Roman" w:eastAsia="Times New Roman" w:hAnsi="Times New Roman" w:cs="Times New Roman"/>
          <w:sz w:val="24"/>
          <w:szCs w:val="24"/>
          <w:lang w:val="en-AU"/>
        </w:rPr>
        <w:t xml:space="preserve">year’s draft budget tables (e.g. Appendix A and B of the draft IANA budget) </w:t>
      </w:r>
      <w:r w:rsidRPr="009C4B22">
        <w:rPr>
          <w:rFonts w:ascii="Times New Roman" w:eastAsia="Times New Roman" w:hAnsi="Times New Roman" w:cs="Times New Roman"/>
          <w:sz w:val="24"/>
          <w:szCs w:val="24"/>
          <w:lang w:val="en-AU"/>
        </w:rPr>
        <w:t>still make use of the terms</w:t>
      </w:r>
      <w:r w:rsidRPr="009C4B22">
        <w:rPr>
          <w:rFonts w:ascii="Times New Roman" w:eastAsia="Times New Roman" w:hAnsi="Times New Roman" w:cs="Times New Roman"/>
          <w:sz w:val="24"/>
          <w:szCs w:val="24"/>
          <w:lang w:val="en-AU"/>
        </w:rPr>
        <w:t xml:space="preserve"> “under” and “(over)”</w:t>
      </w:r>
      <w:proofErr w:type="gramStart"/>
      <w:r w:rsidRPr="009C4B22">
        <w:rPr>
          <w:rFonts w:ascii="Times New Roman" w:eastAsia="Times New Roman" w:hAnsi="Times New Roman" w:cs="Times New Roman"/>
          <w:sz w:val="24"/>
          <w:szCs w:val="24"/>
          <w:lang w:val="en-AU"/>
        </w:rPr>
        <w:t>,</w:t>
      </w:r>
      <w:r w:rsidRPr="009C4B22">
        <w:rPr>
          <w:rFonts w:ascii="Times New Roman" w:eastAsia="Times New Roman" w:hAnsi="Times New Roman" w:cs="Times New Roman"/>
          <w:sz w:val="24"/>
          <w:szCs w:val="24"/>
          <w:lang w:val="en-AU"/>
        </w:rPr>
        <w:t xml:space="preserve"> </w:t>
      </w:r>
      <w:r w:rsidRPr="009C4B22">
        <w:rPr>
          <w:rFonts w:ascii="Times New Roman" w:eastAsia="Times New Roman" w:hAnsi="Times New Roman" w:cs="Times New Roman"/>
          <w:sz w:val="24"/>
          <w:szCs w:val="24"/>
          <w:lang w:val="en-AU"/>
        </w:rPr>
        <w:t xml:space="preserve"> as</w:t>
      </w:r>
      <w:proofErr w:type="gramEnd"/>
      <w:r w:rsidRPr="009C4B22">
        <w:rPr>
          <w:rFonts w:ascii="Times New Roman" w:eastAsia="Times New Roman" w:hAnsi="Times New Roman" w:cs="Times New Roman"/>
          <w:sz w:val="24"/>
          <w:szCs w:val="24"/>
          <w:lang w:val="en-AU"/>
        </w:rPr>
        <w:t xml:space="preserve"> well as</w:t>
      </w:r>
      <w:r w:rsidRPr="009C4B22">
        <w:rPr>
          <w:rFonts w:ascii="Times New Roman" w:eastAsia="Times New Roman" w:hAnsi="Times New Roman" w:cs="Times New Roman"/>
          <w:sz w:val="24"/>
          <w:szCs w:val="24"/>
          <w:lang w:val="en-AU"/>
        </w:rPr>
        <w:t xml:space="preserve"> of</w:t>
      </w:r>
      <w:r w:rsidRPr="009C4B22">
        <w:rPr>
          <w:rFonts w:ascii="Times New Roman" w:eastAsia="Times New Roman" w:hAnsi="Times New Roman" w:cs="Times New Roman"/>
          <w:sz w:val="24"/>
          <w:szCs w:val="24"/>
          <w:lang w:val="en-AU"/>
        </w:rPr>
        <w:t xml:space="preserve"> the additi</w:t>
      </w:r>
      <w:r w:rsidRPr="009C4B22">
        <w:rPr>
          <w:rFonts w:ascii="Times New Roman" w:eastAsia="Times New Roman" w:hAnsi="Times New Roman" w:cs="Times New Roman"/>
          <w:sz w:val="24"/>
          <w:szCs w:val="24"/>
          <w:lang w:val="en-AU"/>
        </w:rPr>
        <w:t>on</w:t>
      </w:r>
      <w:r w:rsidRPr="009C4B22">
        <w:rPr>
          <w:rFonts w:ascii="Times New Roman" w:eastAsia="Times New Roman" w:hAnsi="Times New Roman" w:cs="Times New Roman"/>
          <w:sz w:val="24"/>
          <w:szCs w:val="24"/>
          <w:lang w:val="en-AU"/>
        </w:rPr>
        <w:t>al</w:t>
      </w:r>
      <w:r w:rsidRPr="009C4B22">
        <w:rPr>
          <w:rFonts w:ascii="Times New Roman" w:eastAsia="Times New Roman" w:hAnsi="Times New Roman" w:cs="Times New Roman"/>
          <w:sz w:val="24"/>
          <w:szCs w:val="24"/>
          <w:lang w:val="en-AU"/>
        </w:rPr>
        <w:t xml:space="preserve"> </w:t>
      </w:r>
      <w:r w:rsidRPr="009C4B22">
        <w:rPr>
          <w:rFonts w:ascii="Times New Roman" w:eastAsia="Times New Roman" w:hAnsi="Times New Roman" w:cs="Times New Roman"/>
          <w:sz w:val="24"/>
          <w:szCs w:val="24"/>
          <w:lang w:val="en-AU"/>
        </w:rPr>
        <w:t>extra under/over column on the right of FY</w:t>
      </w:r>
      <w:r w:rsidRPr="009C4B22">
        <w:rPr>
          <w:rFonts w:ascii="Times New Roman" w:eastAsia="Times New Roman" w:hAnsi="Times New Roman" w:cs="Times New Roman"/>
          <w:sz w:val="24"/>
          <w:szCs w:val="24"/>
          <w:lang w:val="en-AU"/>
        </w:rPr>
        <w:t>20</w:t>
      </w:r>
      <w:r w:rsidRPr="009C4B22">
        <w:rPr>
          <w:rFonts w:ascii="Times New Roman" w:eastAsia="Times New Roman" w:hAnsi="Times New Roman" w:cs="Times New Roman"/>
          <w:sz w:val="24"/>
          <w:szCs w:val="24"/>
          <w:lang w:val="en-AU"/>
        </w:rPr>
        <w:t xml:space="preserve"> actuals. NCSG </w:t>
      </w:r>
      <w:r w:rsidRPr="009C4B22">
        <w:rPr>
          <w:rFonts w:ascii="Times New Roman" w:eastAsia="Times New Roman" w:hAnsi="Times New Roman" w:cs="Times New Roman"/>
          <w:sz w:val="24"/>
          <w:szCs w:val="24"/>
          <w:lang w:val="en-AU"/>
        </w:rPr>
        <w:t>main</w:t>
      </w:r>
      <w:r w:rsidRPr="009C4B22">
        <w:rPr>
          <w:rFonts w:ascii="Times New Roman" w:eastAsia="Times New Roman" w:hAnsi="Times New Roman" w:cs="Times New Roman"/>
          <w:sz w:val="24"/>
          <w:szCs w:val="24"/>
          <w:lang w:val="en-AU"/>
        </w:rPr>
        <w:t xml:space="preserve">tains the language used in FY20 and prior documents was clearer and continues to believe that reverting to such language would be preferable. </w:t>
      </w:r>
    </w:p>
    <w:p w14:paraId="0000001F" w14:textId="32E77225" w:rsidR="001828C1" w:rsidRPr="00606932" w:rsidRDefault="000D022A" w:rsidP="00606932">
      <w:pPr>
        <w:ind w:left="720"/>
        <w:jc w:val="both"/>
        <w:rPr>
          <w:color w:val="000000"/>
          <w:lang w:val="en-AU"/>
        </w:rPr>
      </w:pPr>
      <w:r w:rsidRPr="009C4B22">
        <w:rPr>
          <w:rFonts w:ascii="Times New Roman" w:eastAsia="Times New Roman" w:hAnsi="Times New Roman" w:cs="Times New Roman"/>
          <w:sz w:val="24"/>
          <w:szCs w:val="24"/>
          <w:lang w:val="en-AU"/>
        </w:rPr>
        <w:t>Irrespective of knowledge of accounting practices,</w:t>
      </w:r>
      <w:r w:rsidRPr="009C4B22">
        <w:rPr>
          <w:rFonts w:ascii="Times New Roman" w:eastAsia="Times New Roman" w:hAnsi="Times New Roman" w:cs="Times New Roman"/>
          <w:sz w:val="24"/>
          <w:szCs w:val="24"/>
          <w:lang w:val="en-AU"/>
        </w:rPr>
        <w:t xml:space="preserve"> one may not understand that it is the budget numbers which are understood to be “over” or “under” either the forecast or actua</w:t>
      </w:r>
      <w:r w:rsidRPr="009C4B22">
        <w:rPr>
          <w:rFonts w:ascii="Times New Roman" w:eastAsia="Times New Roman" w:hAnsi="Times New Roman" w:cs="Times New Roman"/>
          <w:sz w:val="24"/>
          <w:szCs w:val="24"/>
          <w:lang w:val="en-AU"/>
        </w:rPr>
        <w:t>ls. This issue is compounded by the fact that the basis for the over/under comparison for actual is not even given. Usage of “increase” and “decrease</w:t>
      </w:r>
      <w:r w:rsidRPr="009C4B22">
        <w:rPr>
          <w:rFonts w:ascii="Times New Roman" w:eastAsia="Times New Roman" w:hAnsi="Times New Roman" w:cs="Times New Roman"/>
          <w:sz w:val="24"/>
          <w:szCs w:val="24"/>
          <w:lang w:val="en-AU"/>
        </w:rPr>
        <w:t>,</w:t>
      </w:r>
      <w:r w:rsidRPr="009C4B22">
        <w:rPr>
          <w:rFonts w:ascii="Times New Roman" w:eastAsia="Times New Roman" w:hAnsi="Times New Roman" w:cs="Times New Roman"/>
          <w:sz w:val="24"/>
          <w:szCs w:val="24"/>
          <w:lang w:val="en-AU"/>
        </w:rPr>
        <w:t>”</w:t>
      </w:r>
      <w:r w:rsidRPr="009C4B22">
        <w:rPr>
          <w:rFonts w:ascii="Times New Roman" w:eastAsia="Times New Roman" w:hAnsi="Times New Roman" w:cs="Times New Roman"/>
          <w:sz w:val="24"/>
          <w:szCs w:val="24"/>
          <w:lang w:val="en-AU"/>
        </w:rPr>
        <w:t xml:space="preserve"> as was the case in the FY20 documents and before,</w:t>
      </w:r>
      <w:r w:rsidRPr="009C4B22">
        <w:rPr>
          <w:rFonts w:ascii="Times New Roman" w:eastAsia="Times New Roman" w:hAnsi="Times New Roman" w:cs="Times New Roman"/>
          <w:sz w:val="24"/>
          <w:szCs w:val="24"/>
          <w:lang w:val="en-AU"/>
        </w:rPr>
        <w:t xml:space="preserve"> more directly implied that what is planned (next FY bu</w:t>
      </w:r>
      <w:r w:rsidRPr="009C4B22">
        <w:rPr>
          <w:rFonts w:ascii="Times New Roman" w:eastAsia="Times New Roman" w:hAnsi="Times New Roman" w:cs="Times New Roman"/>
          <w:sz w:val="24"/>
          <w:szCs w:val="24"/>
          <w:lang w:val="en-AU"/>
        </w:rPr>
        <w:t>dget) is an increase or a decrease over the more certain numbers (the current FY forecast or the actuals for the previous FY). It does not suffice that one may understand the meaning of “over” and “under” by looking at the numbers and reasoning by inductio</w:t>
      </w:r>
      <w:r w:rsidRPr="009C4B22">
        <w:rPr>
          <w:rFonts w:ascii="Times New Roman" w:eastAsia="Times New Roman" w:hAnsi="Times New Roman" w:cs="Times New Roman"/>
          <w:sz w:val="24"/>
          <w:szCs w:val="24"/>
          <w:lang w:val="en-AU"/>
        </w:rPr>
        <w:t xml:space="preserve">n. The meaning of these two terms should be obvious without looking at the numbers, and for now it is not. </w:t>
      </w:r>
    </w:p>
    <w:p w14:paraId="00000020" w14:textId="77777777" w:rsidR="001828C1" w:rsidRPr="009C4B22" w:rsidRDefault="001828C1">
      <w:pPr>
        <w:rPr>
          <w:lang w:val="en-AU"/>
        </w:rPr>
      </w:pPr>
    </w:p>
    <w:p w14:paraId="00000021" w14:textId="77777777" w:rsidR="001828C1" w:rsidRPr="009C4B22" w:rsidRDefault="001828C1">
      <w:pPr>
        <w:rPr>
          <w:lang w:val="en-AU"/>
        </w:rPr>
      </w:pPr>
    </w:p>
    <w:p w14:paraId="00000022" w14:textId="6BD34502" w:rsidR="001828C1" w:rsidRPr="009C4B22" w:rsidRDefault="000D022A">
      <w:pPr>
        <w:rPr>
          <w:lang w:val="en-AU"/>
        </w:rPr>
      </w:pPr>
      <w:r w:rsidRPr="009C4B22">
        <w:rPr>
          <w:lang w:val="en-AU"/>
        </w:rPr>
        <w:t xml:space="preserve">Generally speaking, there are no statements regarding how </w:t>
      </w:r>
      <w:r w:rsidR="00606932" w:rsidRPr="009C4B22">
        <w:rPr>
          <w:lang w:val="en-AU"/>
        </w:rPr>
        <w:t>the impacts</w:t>
      </w:r>
      <w:r w:rsidRPr="009C4B22">
        <w:rPr>
          <w:lang w:val="en-AU"/>
        </w:rPr>
        <w:t xml:space="preserve"> of the COVID-19 pandemic were factored in the budget, if at all. While we m</w:t>
      </w:r>
      <w:r w:rsidRPr="009C4B22">
        <w:rPr>
          <w:lang w:val="en-AU"/>
        </w:rPr>
        <w:t xml:space="preserve">ay presume that they have, we believe a note to that effect would be in order, providing certain details as to how such impacts were considered. </w:t>
      </w:r>
    </w:p>
    <w:sectPr w:rsidR="001828C1" w:rsidRPr="009C4B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5AE7F" w14:textId="77777777" w:rsidR="000D022A" w:rsidRDefault="000D022A">
      <w:pPr>
        <w:spacing w:line="240" w:lineRule="auto"/>
      </w:pPr>
      <w:r>
        <w:separator/>
      </w:r>
    </w:p>
  </w:endnote>
  <w:endnote w:type="continuationSeparator" w:id="0">
    <w:p w14:paraId="02E7A67D" w14:textId="77777777" w:rsidR="000D022A" w:rsidRDefault="000D02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EBDB1" w14:textId="77777777" w:rsidR="000D022A" w:rsidRDefault="000D022A">
      <w:pPr>
        <w:spacing w:line="240" w:lineRule="auto"/>
      </w:pPr>
      <w:r>
        <w:separator/>
      </w:r>
    </w:p>
  </w:footnote>
  <w:footnote w:type="continuationSeparator" w:id="0">
    <w:p w14:paraId="07D3E180" w14:textId="77777777" w:rsidR="000D022A" w:rsidRDefault="000D022A">
      <w:pPr>
        <w:spacing w:line="240" w:lineRule="auto"/>
      </w:pPr>
      <w:r>
        <w:continuationSeparator/>
      </w:r>
    </w:p>
  </w:footnote>
  <w:footnote w:id="1">
    <w:p w14:paraId="00000023" w14:textId="77777777" w:rsidR="001828C1" w:rsidRDefault="000D022A">
      <w:pPr>
        <w:spacing w:line="240" w:lineRule="auto"/>
        <w:rPr>
          <w:sz w:val="20"/>
          <w:szCs w:val="20"/>
        </w:rPr>
      </w:pPr>
      <w:r>
        <w:rPr>
          <w:vertAlign w:val="superscript"/>
        </w:rPr>
        <w:footnoteRef/>
      </w:r>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51B1"/>
    <w:multiLevelType w:val="multilevel"/>
    <w:tmpl w:val="95382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C1"/>
    <w:rsid w:val="000D022A"/>
    <w:rsid w:val="001828C1"/>
    <w:rsid w:val="00606932"/>
    <w:rsid w:val="009C4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3A580-FCA0-4A8B-B7CC-739D2BCA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ann.org/public-comments/draft-pti-iana-fy22-budgets-2020-10-08-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2020-11-30T12:03:00Z</dcterms:created>
  <dcterms:modified xsi:type="dcterms:W3CDTF">2020-11-30T13:42:00Z</dcterms:modified>
</cp:coreProperties>
</file>