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B" w:rsidRDefault="00BE30DB" w:rsidP="00BE30DB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0DB" w:rsidRPr="00BE30DB" w:rsidRDefault="00BE30DB" w:rsidP="00BE30DB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0DB">
        <w:rPr>
          <w:rFonts w:ascii="Times New Roman" w:hAnsi="Times New Roman" w:cs="Times New Roman"/>
          <w:b/>
          <w:sz w:val="28"/>
          <w:szCs w:val="28"/>
          <w:lang w:val="en-US"/>
        </w:rPr>
        <w:t>Comments of the Ministry of Telecom and Mass Communications of the Russian Federation on the Cross-Community Working Group on Enhancing ICANN Accountability (WS2) draft recommendations on jurisdiction.</w:t>
      </w:r>
    </w:p>
    <w:p w:rsidR="00BE30DB" w:rsidRPr="00970B96" w:rsidRDefault="00BE30DB" w:rsidP="00BE6D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1A2B" w:rsidRPr="00970B96" w:rsidRDefault="0009474E" w:rsidP="00906CD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welcomes the opportunity to comment the </w:t>
      </w:r>
      <w:r w:rsidR="0032797E" w:rsidRPr="00970B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eport </w:t>
      </w:r>
      <w:r w:rsidR="00342F17" w:rsidRPr="00970B96">
        <w:rPr>
          <w:rFonts w:ascii="Times New Roman" w:hAnsi="Times New Roman" w:cs="Times New Roman"/>
          <w:sz w:val="28"/>
          <w:szCs w:val="28"/>
          <w:lang w:val="en-US"/>
        </w:rPr>
        <w:t>“</w:t>
      </w:r>
      <w:hyperlink r:id="rId9" w:history="1">
        <w:r w:rsidR="00342F17" w:rsidRPr="00970B9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Draft Recommendations on Jurisdiction</w:t>
        </w:r>
      </w:hyperlink>
      <w:r w:rsidR="00342F17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EF4B40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would like to thank all participants </w:t>
      </w:r>
      <w:r w:rsidR="0032797E" w:rsidRPr="00970B9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F4B40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the S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ubgroup for their </w:t>
      </w:r>
      <w:r w:rsidR="00255D5D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32797E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F4B40" w:rsidRPr="00970B96">
        <w:rPr>
          <w:rFonts w:ascii="Times New Roman" w:hAnsi="Times New Roman" w:cs="Times New Roman"/>
          <w:sz w:val="28"/>
          <w:szCs w:val="28"/>
          <w:lang w:val="en-US"/>
        </w:rPr>
        <w:t>inputs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32797E" w:rsidRPr="00970B96">
        <w:rPr>
          <w:rFonts w:ascii="Times New Roman" w:hAnsi="Times New Roman" w:cs="Times New Roman"/>
          <w:sz w:val="28"/>
          <w:szCs w:val="28"/>
          <w:lang w:val="en-US"/>
        </w:rPr>
        <w:t>the report</w:t>
      </w:r>
      <w:r w:rsidR="003E18F3" w:rsidRPr="00970B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1A9C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77A8" w:rsidRDefault="00D31A24" w:rsidP="00D31A2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t>First of all</w:t>
      </w:r>
      <w:r w:rsidR="00970B96" w:rsidRPr="00970B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we would like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7660CA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notice 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>support of</w:t>
      </w:r>
      <w:r w:rsidR="00906CD4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recommendations related to the choice </w:t>
      </w:r>
      <w:r w:rsidR="00AD1D17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D1D17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255D5D">
        <w:rPr>
          <w:rFonts w:ascii="Times New Roman" w:hAnsi="Times New Roman" w:cs="Times New Roman"/>
          <w:sz w:val="28"/>
          <w:szCs w:val="28"/>
          <w:lang w:val="en-US"/>
        </w:rPr>
        <w:t xml:space="preserve"> and venues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6CD4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which provide flexibility </w:t>
      </w:r>
      <w:r w:rsidR="00C75A14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of law provisions in registry and registrar contracts. </w:t>
      </w:r>
      <w:r w:rsidR="007660CA" w:rsidRPr="0027259C">
        <w:rPr>
          <w:rFonts w:ascii="Times New Roman" w:hAnsi="Times New Roman" w:cs="Times New Roman"/>
          <w:sz w:val="28"/>
          <w:szCs w:val="28"/>
          <w:lang w:val="en-US"/>
        </w:rPr>
        <w:t>Recommendations that are to make ICANN to take any steps to reduce the effect of OFAC sanctions against foreign governments are noted with appreciation</w:t>
      </w:r>
      <w:r w:rsidR="00FF7B7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as well, but </w:t>
      </w:r>
      <w:r w:rsidR="00906CD4" w:rsidRPr="00970B96">
        <w:rPr>
          <w:rFonts w:ascii="Times New Roman" w:hAnsi="Times New Roman" w:cs="Times New Roman"/>
          <w:sz w:val="28"/>
          <w:szCs w:val="28"/>
          <w:lang w:val="en-US"/>
        </w:rPr>
        <w:t>can be recognized only as a first attempts to handle the multi-layer objective of ICANN jurisdiction challenge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6CD4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4339" w:rsidRPr="00970B96" w:rsidRDefault="001477A8" w:rsidP="00D31A2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the inclusion </w:t>
      </w:r>
      <w:r w:rsidR="00EF4339" w:rsidRPr="00E542B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51B" w:rsidRPr="00970B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nnexes with the dissenting opinion of </w:t>
      </w:r>
      <w:r w:rsidR="00EE651B" w:rsidRPr="00970B96">
        <w:rPr>
          <w:rFonts w:ascii="Times New Roman" w:hAnsi="Times New Roman" w:cs="Times New Roman"/>
          <w:sz w:val="28"/>
          <w:szCs w:val="28"/>
          <w:lang w:val="en-US"/>
        </w:rPr>
        <w:t>Brazil</w:t>
      </w:r>
      <w:r w:rsidR="00CE5C01" w:rsidRPr="00CE5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C0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E5C01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the proposed issues list</w:t>
      </w:r>
      <w:r w:rsidR="00EE651B" w:rsidRPr="00970B96">
        <w:rPr>
          <w:rFonts w:ascii="Times New Roman" w:hAnsi="Times New Roman" w:cs="Times New Roman"/>
          <w:sz w:val="28"/>
          <w:szCs w:val="28"/>
          <w:lang w:val="en-US"/>
        </w:rPr>
        <w:t>, which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was supported by stakeholders</w:t>
      </w:r>
      <w:r w:rsidR="00EE651B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during ICANN 60</w:t>
      </w:r>
      <w:r w:rsidR="00CE5C0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F4339" w:rsidRPr="00970B96">
        <w:rPr>
          <w:rFonts w:ascii="Times New Roman" w:hAnsi="Times New Roman" w:cs="Times New Roman"/>
          <w:sz w:val="28"/>
          <w:szCs w:val="28"/>
          <w:lang w:val="en-US"/>
        </w:rPr>
        <w:t>provide rich food for further work.</w:t>
      </w:r>
    </w:p>
    <w:p w:rsidR="00334F1A" w:rsidRPr="00970B96" w:rsidRDefault="00931023" w:rsidP="006D2163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D726C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the same time </w:t>
      </w:r>
      <w:r w:rsidR="00AB7EB2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our major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concerns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="001529A0" w:rsidRPr="0027259C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presented </w:t>
      </w:r>
      <w:r w:rsidR="009D726C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>broad discussion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5B5FC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>ICANN jurisdiction</w:t>
      </w:r>
      <w:r w:rsidR="00EE651B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="002C3688" w:rsidRPr="0027259C">
        <w:rPr>
          <w:rFonts w:ascii="Times New Roman" w:hAnsi="Times New Roman" w:cs="Times New Roman"/>
          <w:sz w:val="28"/>
          <w:szCs w:val="28"/>
          <w:lang w:val="en-US"/>
        </w:rPr>
        <w:t>, including public session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EE651B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ICANN </w:t>
      </w:r>
      <w:r w:rsidR="00F41A9C" w:rsidRPr="0027259C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C1697F" w:rsidRPr="00272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D726C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We believe that r</w:t>
      </w:r>
      <w:r w:rsidR="00CE29C9" w:rsidRPr="0027259C">
        <w:rPr>
          <w:rFonts w:ascii="Times New Roman" w:hAnsi="Times New Roman" w:cs="Times New Roman"/>
          <w:sz w:val="28"/>
          <w:szCs w:val="28"/>
          <w:lang w:val="en-US"/>
        </w:rPr>
        <w:t>eport</w:t>
      </w:r>
      <w:r w:rsidR="0052577A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4AB" w:rsidRPr="0027259C">
        <w:rPr>
          <w:rFonts w:ascii="Times New Roman" w:hAnsi="Times New Roman" w:cs="Times New Roman"/>
          <w:sz w:val="28"/>
          <w:szCs w:val="28"/>
          <w:lang w:val="en-US"/>
        </w:rPr>
        <w:t>falls short of the objectives envisaged for Work Stream 2, and that its recommendations only partly mitigate the risks associated with ICANN’s subjection to U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4AB" w:rsidRPr="002725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4AB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jurisdiction, which makes the adoption of the report unacceptable</w:t>
      </w:r>
      <w:r w:rsidR="005C1CEC" w:rsidRPr="00272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13EC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7A8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This is the position of several governments 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reflected </w:t>
      </w:r>
      <w:r w:rsidR="006D2163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hyperlink r:id="rId10" w:history="1">
        <w:r w:rsidR="006D2163" w:rsidRPr="00970B9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 xml:space="preserve">GAC Communique (ICANN 60, </w:t>
        </w:r>
        <w:r w:rsidR="008313EC" w:rsidRPr="00970B9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Abu-Dhabi</w:t>
        </w:r>
        <w:r w:rsidR="006D2163" w:rsidRPr="00970B9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)</w:t>
        </w:r>
      </w:hyperlink>
      <w:r w:rsidR="00191A2B" w:rsidRPr="00970B96">
        <w:rPr>
          <w:rStyle w:val="af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A2B" w:rsidRPr="00970B96">
        <w:rPr>
          <w:rStyle w:val="af3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="00E30474" w:rsidRPr="00970B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4F1A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5A78" w:rsidRPr="0027259C" w:rsidRDefault="00330F68" w:rsidP="006D2163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Taking in account the high risk </w:t>
      </w:r>
      <w:r w:rsidRPr="0027259C">
        <w:rPr>
          <w:rFonts w:ascii="Times New Roman" w:hAnsi="Times New Roman" w:cs="Times New Roman"/>
          <w:sz w:val="28"/>
          <w:lang w:val="en-US"/>
        </w:rPr>
        <w:t>that OFAC sanctions against foreign governments would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AD3" w:rsidRPr="0027259C">
        <w:rPr>
          <w:rFonts w:ascii="Times New Roman" w:hAnsi="Times New Roman" w:cs="Times New Roman"/>
          <w:sz w:val="28"/>
          <w:lang w:val="en-US"/>
        </w:rPr>
        <w:t>harm</w:t>
      </w:r>
      <w:r w:rsidRPr="0027259C">
        <w:rPr>
          <w:rFonts w:ascii="Times New Roman" w:hAnsi="Times New Roman" w:cs="Times New Roman"/>
          <w:sz w:val="28"/>
          <w:lang w:val="en-US"/>
        </w:rPr>
        <w:t xml:space="preserve"> large number of ordinary Internet users and businesses in sanctioned countries, we</w:t>
      </w:r>
      <w:r w:rsidR="009D726C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0474" w:rsidRPr="0027259C">
        <w:rPr>
          <w:rFonts w:ascii="Times New Roman" w:hAnsi="Times New Roman" w:cs="Times New Roman"/>
          <w:sz w:val="28"/>
          <w:szCs w:val="28"/>
          <w:lang w:val="en-US"/>
        </w:rPr>
        <w:t>consider</w:t>
      </w:r>
      <w:r w:rsidR="007171E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E30474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ecommendations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proposed by the Subgroup for the corresponding ICANN actions 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are limited in the ability to tackle possible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>negative effects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1E9" w:rsidRPr="0027259C">
        <w:rPr>
          <w:rFonts w:ascii="Times New Roman" w:hAnsi="Times New Roman" w:cs="Times New Roman"/>
          <w:sz w:val="28"/>
          <w:szCs w:val="28"/>
          <w:lang w:val="en-US"/>
        </w:rPr>
        <w:t>since t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>he principle of «best efforts» provides no guarantee that ICANN w</w:t>
      </w:r>
      <w:r w:rsidR="005A2C72" w:rsidRPr="0027259C">
        <w:rPr>
          <w:rFonts w:ascii="Times New Roman" w:hAnsi="Times New Roman" w:cs="Times New Roman"/>
          <w:sz w:val="28"/>
          <w:szCs w:val="28"/>
          <w:lang w:val="en-US"/>
        </w:rPr>
        <w:t>ould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be able to </w:t>
      </w:r>
      <w:r w:rsidR="006B4AD3" w:rsidRPr="0027259C">
        <w:rPr>
          <w:rFonts w:ascii="Times New Roman" w:hAnsi="Times New Roman" w:cs="Times New Roman"/>
          <w:sz w:val="28"/>
          <w:szCs w:val="28"/>
          <w:lang w:val="en-US"/>
        </w:rPr>
        <w:t>adequately address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the problem.</w:t>
      </w:r>
    </w:p>
    <w:p w:rsidR="008A3654" w:rsidRDefault="00F81025" w:rsidP="00A7128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  <w:r w:rsidR="00083207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would like to suggest the Subgroup to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continue to engage with development of relevant recommendations including </w:t>
      </w:r>
      <w:r w:rsidRPr="0027259C">
        <w:rPr>
          <w:rFonts w:ascii="Times New Roman" w:hAnsi="Times New Roman" w:cs="Times New Roman"/>
          <w:sz w:val="28"/>
          <w:lang w:val="en-US"/>
        </w:rPr>
        <w:t>broader types of immunity from US jurisdiction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Pr="0027259C">
        <w:rPr>
          <w:rFonts w:ascii="Times New Roman" w:hAnsi="Times New Roman" w:cs="Times New Roman"/>
          <w:sz w:val="28"/>
          <w:lang w:val="en-US"/>
        </w:rPr>
        <w:t>could prevent ICANN from being subject to unilateral political or regulatory interference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7259C" w:rsidRPr="00A71285" w:rsidRDefault="00083207" w:rsidP="00A7128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6D2163" w:rsidRPr="0027259C">
        <w:rPr>
          <w:rFonts w:ascii="Times New Roman" w:hAnsi="Times New Roman" w:cs="Times New Roman"/>
          <w:sz w:val="28"/>
          <w:szCs w:val="28"/>
          <w:lang w:val="en-US"/>
        </w:rPr>
        <w:t>consider the option of withdrawing ICANN from US jurisdiction</w:t>
      </w:r>
      <w:r w:rsidR="00C52CD2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either partially or completely, </w:t>
      </w:r>
      <w:r w:rsidR="00933690" w:rsidRPr="0027259C">
        <w:rPr>
          <w:rFonts w:ascii="Times New Roman" w:hAnsi="Times New Roman" w:cs="Times New Roman"/>
          <w:sz w:val="28"/>
          <w:szCs w:val="28"/>
          <w:lang w:val="en-US"/>
        </w:rPr>
        <w:t>including Brazil proposals on the issue of partial immunity as a solution</w:t>
      </w:r>
      <w:r w:rsidR="00A712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259C" w:rsidRPr="00A71285">
        <w:rPr>
          <w:rFonts w:ascii="Times New Roman" w:hAnsi="Times New Roman" w:cs="Times New Roman"/>
          <w:sz w:val="28"/>
          <w:szCs w:val="28"/>
          <w:lang w:val="en-US"/>
        </w:rPr>
        <w:t xml:space="preserve"> when all issues relating to the national interests of States and interstate issues are addressed in the event of a conflict in international jurisdiction.</w:t>
      </w:r>
    </w:p>
    <w:p w:rsidR="00381B0A" w:rsidRDefault="00D74443" w:rsidP="008821E3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believe that if the Subgroup </w:t>
      </w:r>
      <w:r w:rsidRPr="00A657FE">
        <w:rPr>
          <w:rFonts w:ascii="Times New Roman" w:hAnsi="Times New Roman" w:cs="Times New Roman"/>
          <w:sz w:val="28"/>
          <w:szCs w:val="28"/>
          <w:lang w:val="en-US"/>
        </w:rPr>
        <w:t xml:space="preserve">did 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E542BB" w:rsidRPr="00E542BB">
        <w:rPr>
          <w:rFonts w:ascii="Times New Roman" w:hAnsi="Times New Roman" w:cs="Times New Roman"/>
          <w:sz w:val="28"/>
          <w:szCs w:val="28"/>
          <w:lang w:val="en-US"/>
        </w:rPr>
        <w:t xml:space="preserve">constrain 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the proposed recommendations due to </w:t>
      </w:r>
      <w:r w:rsidR="00A657FE" w:rsidRPr="00A657FE">
        <w:rPr>
          <w:rFonts w:ascii="Times New Roman" w:hAnsi="Times New Roman" w:cs="Times New Roman"/>
          <w:sz w:val="28"/>
          <w:szCs w:val="28"/>
          <w:lang w:val="en-US"/>
        </w:rPr>
        <w:t>restrictions</w:t>
      </w:r>
      <w:r w:rsidR="00A657FE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of US jurisdiction as a </w:t>
      </w:r>
      <w:r w:rsidR="00A657FE" w:rsidRPr="0027259C">
        <w:rPr>
          <w:rFonts w:ascii="Times New Roman" w:hAnsi="Times New Roman" w:cs="Times New Roman"/>
          <w:sz w:val="28"/>
          <w:szCs w:val="28"/>
          <w:lang w:val="en-US"/>
        </w:rPr>
        <w:t>basic condition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657FE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would allow </w:t>
      </w:r>
      <w:r w:rsidR="00A657FE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to work out a more comprehensive solution for jurisdiction issues based on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>more options</w:t>
      </w:r>
      <w:r w:rsidR="004F6085" w:rsidRPr="002725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which can possibly find wide</w:t>
      </w:r>
      <w:r w:rsidR="004F6085" w:rsidRPr="002725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choice of solutions</w:t>
      </w:r>
      <w:r w:rsidR="00E542BB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, taking into consideration that </w:t>
      </w:r>
      <w:r w:rsidR="00970B96" w:rsidRPr="0027259C">
        <w:rPr>
          <w:rFonts w:ascii="Times New Roman" w:hAnsi="Times New Roman" w:cs="Times New Roman"/>
          <w:sz w:val="28"/>
          <w:szCs w:val="28"/>
          <w:lang w:val="en-US"/>
        </w:rPr>
        <w:t>larger</w:t>
      </w:r>
      <w:r w:rsidR="00D939E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number of issues </w:t>
      </w:r>
      <w:r w:rsidR="00E542BB" w:rsidRPr="0027259C">
        <w:rPr>
          <w:rFonts w:ascii="Times New Roman" w:hAnsi="Times New Roman" w:cs="Times New Roman"/>
          <w:sz w:val="28"/>
          <w:szCs w:val="28"/>
          <w:lang w:val="en-US"/>
        </w:rPr>
        <w:t>been identified by</w:t>
      </w:r>
      <w:r w:rsidR="00D939E9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the Sub-group </w:t>
      </w:r>
      <w:r w:rsidR="00FC4752" w:rsidRPr="002725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B1F8C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C4752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anchor="gid=0" w:history="1">
        <w:r w:rsidR="00FC4752" w:rsidRPr="00970B9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List of Proposed Issues for Jurisdiction Subgroup Consideration</w:t>
        </w:r>
      </w:hyperlink>
      <w:r w:rsidR="00FC4752" w:rsidRPr="00AD1D17">
        <w:rPr>
          <w:rStyle w:val="af3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="00E153A1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42BB" w:rsidRPr="00E542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681" w:rsidRPr="00970B96">
        <w:rPr>
          <w:rFonts w:ascii="Times New Roman" w:hAnsi="Times New Roman" w:cs="Times New Roman"/>
          <w:sz w:val="28"/>
          <w:szCs w:val="28"/>
          <w:lang w:val="en-US"/>
        </w:rPr>
        <w:t>t would be useful to continue the work of the Subgroup</w:t>
      </w:r>
      <w:r w:rsidR="004674D2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D20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or other appropriate group or process that should be established for continuation of this work </w:t>
      </w:r>
      <w:r w:rsidR="004674D2" w:rsidRPr="00970B96">
        <w:rPr>
          <w:rFonts w:ascii="Times New Roman" w:hAnsi="Times New Roman" w:cs="Times New Roman"/>
          <w:sz w:val="28"/>
          <w:szCs w:val="28"/>
          <w:lang w:val="en-US"/>
        </w:rPr>
        <w:t>with analysis of these issues</w:t>
      </w:r>
      <w:r w:rsidR="00D939E9" w:rsidRPr="00970B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01B2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75A9" w:rsidRDefault="006F75A9" w:rsidP="006F75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t>Besides issues, referenced in this list, we recommend to examine the issue of sustainability of PTI being based in the same jurisdiction as ICANN, as a critical point for stability of Internet technical and operation system.</w:t>
      </w:r>
    </w:p>
    <w:p w:rsidR="00D51445" w:rsidRPr="0027259C" w:rsidRDefault="009638BA" w:rsidP="009638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  <w:r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proposes to ICANN leadership and broader ICANN communities to support and encourage a wider participation of </w:t>
      </w:r>
      <w:r w:rsidR="00233535">
        <w:rPr>
          <w:rFonts w:ascii="Times New Roman" w:hAnsi="Times New Roman" w:cs="Times New Roman"/>
          <w:sz w:val="28"/>
          <w:szCs w:val="28"/>
          <w:lang w:val="en-US"/>
        </w:rPr>
        <w:t>international legal teams</w:t>
      </w:r>
      <w:r w:rsidR="00D51445" w:rsidRPr="0027259C">
        <w:rPr>
          <w:rFonts w:ascii="Times New Roman" w:hAnsi="Times New Roman" w:cs="Times New Roman"/>
          <w:sz w:val="28"/>
          <w:szCs w:val="28"/>
          <w:lang w:val="en-US"/>
        </w:rPr>
        <w:t xml:space="preserve"> balancing the formed majority of US-based expertise.</w:t>
      </w:r>
    </w:p>
    <w:p w:rsidR="00D434DC" w:rsidRPr="00970B96" w:rsidRDefault="00B37CE3" w:rsidP="00046E4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We believe that it would be useful if </w:t>
      </w:r>
      <w:r w:rsidR="00AA1AFA" w:rsidRPr="00970B96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 recommendations will based on </w:t>
      </w:r>
      <w:r w:rsidR="00D434DC" w:rsidRPr="00970B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434DC" w:rsidRPr="00970B96">
        <w:rPr>
          <w:lang w:val="en-US"/>
        </w:rPr>
        <w:t xml:space="preserve"> </w:t>
      </w:r>
      <w:r w:rsidR="009D61EC" w:rsidRPr="00970B96">
        <w:rPr>
          <w:rFonts w:ascii="Times New Roman" w:hAnsi="Times New Roman" w:cs="Times New Roman"/>
          <w:sz w:val="28"/>
          <w:szCs w:val="28"/>
          <w:lang w:val="en-US"/>
        </w:rPr>
        <w:t xml:space="preserve">following </w:t>
      </w:r>
      <w:r w:rsidR="00D434DC" w:rsidRPr="00970B96">
        <w:rPr>
          <w:rFonts w:ascii="Times New Roman" w:hAnsi="Times New Roman" w:cs="Times New Roman"/>
          <w:sz w:val="28"/>
          <w:szCs w:val="28"/>
          <w:lang w:val="en-US"/>
        </w:rPr>
        <w:t>principles:</w:t>
      </w:r>
    </w:p>
    <w:p w:rsidR="00D434DC" w:rsidRPr="00C75A14" w:rsidRDefault="00D434DC" w:rsidP="00C75A14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5A14">
        <w:rPr>
          <w:rFonts w:ascii="Times New Roman" w:hAnsi="Times New Roman" w:cs="Times New Roman"/>
          <w:b/>
          <w:sz w:val="28"/>
          <w:szCs w:val="28"/>
          <w:lang w:val="en-US"/>
        </w:rPr>
        <w:t>Independence: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1EC" w:rsidRPr="00C75A14">
        <w:rPr>
          <w:rFonts w:ascii="Times New Roman" w:hAnsi="Times New Roman" w:cs="Times New Roman"/>
          <w:sz w:val="28"/>
          <w:szCs w:val="28"/>
          <w:lang w:val="en-US"/>
        </w:rPr>
        <w:t>to exclude any unilateral interference with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the functioning of the Internet critical infrastructure and/or the operating activity of ICANN</w:t>
      </w:r>
      <w:r w:rsidR="005B7D9E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and to prevent erosion of the rights and obligations defined by the mandate</w:t>
      </w:r>
      <w:r w:rsidR="009D61EC" w:rsidRPr="00C75A1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34DC" w:rsidRPr="00C75A14" w:rsidRDefault="00D434DC" w:rsidP="00C75A14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5A14">
        <w:rPr>
          <w:rFonts w:ascii="Times New Roman" w:hAnsi="Times New Roman" w:cs="Times New Roman"/>
          <w:b/>
          <w:sz w:val="28"/>
          <w:szCs w:val="28"/>
          <w:lang w:val="en-US"/>
        </w:rPr>
        <w:t>Sustainability: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46E45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have a high degree of stability and to 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>eliminate the possibility of the impact by short-term international or national factors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34DC" w:rsidRPr="00C75A14" w:rsidRDefault="00D434DC" w:rsidP="00C75A14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5A14">
        <w:rPr>
          <w:rFonts w:ascii="Times New Roman" w:hAnsi="Times New Roman" w:cs="Times New Roman"/>
          <w:b/>
          <w:sz w:val="28"/>
          <w:szCs w:val="28"/>
          <w:lang w:val="en-US"/>
        </w:rPr>
        <w:t>Trust: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legitimacy of any legal governance and dispute resolution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systems 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depends on the degree of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trust 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of the participants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the process, decisions and outcomes, therefore,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recommendations 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transparency, accountability, subsidiarity and impartiality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of solutions 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>suggested for ICANN jurisdiction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should be ensured;</w:t>
      </w:r>
    </w:p>
    <w:p w:rsidR="00D434DC" w:rsidRPr="00C75A14" w:rsidRDefault="00D434DC" w:rsidP="00C75A14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75A14">
        <w:rPr>
          <w:rFonts w:ascii="Times New Roman" w:hAnsi="Times New Roman" w:cs="Times New Roman"/>
          <w:b/>
          <w:sz w:val="28"/>
          <w:szCs w:val="28"/>
          <w:lang w:val="en-US"/>
        </w:rPr>
        <w:t>Universality: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to incorporate </w:t>
      </w:r>
      <w:r w:rsidR="001F78CF" w:rsidRPr="00C75A1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experience of regulation and enforcement in </w:t>
      </w:r>
      <w:r w:rsidR="00046BF3" w:rsidRPr="00C75A14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251541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level </w:t>
      </w:r>
      <w:r w:rsidR="00046BF3" w:rsidRPr="00C75A14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251541" w:rsidRPr="00C75A14">
        <w:rPr>
          <w:rFonts w:ascii="Times New Roman" w:hAnsi="Times New Roman" w:cs="Times New Roman"/>
          <w:sz w:val="28"/>
          <w:szCs w:val="28"/>
          <w:lang w:val="en-US"/>
        </w:rPr>
        <w:t xml:space="preserve"> and management of Internet</w:t>
      </w:r>
      <w:r w:rsidRPr="00C75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259C" w:rsidRDefault="00314550" w:rsidP="006F75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4550">
        <w:rPr>
          <w:rFonts w:ascii="Times New Roman" w:hAnsi="Times New Roman" w:cs="Times New Roman"/>
          <w:sz w:val="28"/>
          <w:szCs w:val="28"/>
          <w:lang w:val="en-US"/>
        </w:rPr>
        <w:t xml:space="preserve">First of all, </w:t>
      </w:r>
      <w:r w:rsidR="0027259C">
        <w:rPr>
          <w:rFonts w:ascii="Times New Roman" w:hAnsi="Times New Roman" w:cs="Times New Roman"/>
          <w:sz w:val="28"/>
          <w:szCs w:val="28"/>
          <w:lang w:val="en-US"/>
        </w:rPr>
        <w:t>adequate</w:t>
      </w:r>
      <w:r w:rsidRPr="00314550">
        <w:rPr>
          <w:rFonts w:ascii="Times New Roman" w:hAnsi="Times New Roman" w:cs="Times New Roman"/>
          <w:sz w:val="28"/>
          <w:szCs w:val="28"/>
          <w:lang w:val="en-US"/>
        </w:rPr>
        <w:t xml:space="preserve"> mechanisms should be proposed to protect the interests of Internet </w:t>
      </w:r>
      <w:r w:rsidR="00413777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314550">
        <w:rPr>
          <w:rFonts w:ascii="Times New Roman" w:hAnsi="Times New Roman" w:cs="Times New Roman"/>
          <w:sz w:val="28"/>
          <w:szCs w:val="28"/>
          <w:lang w:val="en-US"/>
        </w:rPr>
        <w:t xml:space="preserve">rs </w:t>
      </w:r>
      <w:r w:rsidR="00B24AAE">
        <w:rPr>
          <w:rFonts w:ascii="Times New Roman" w:hAnsi="Times New Roman" w:cs="Times New Roman"/>
          <w:sz w:val="28"/>
          <w:szCs w:val="28"/>
          <w:lang w:val="en-US"/>
        </w:rPr>
        <w:t>in case of</w:t>
      </w:r>
      <w:r w:rsidRPr="00314550">
        <w:rPr>
          <w:rFonts w:ascii="Times New Roman" w:hAnsi="Times New Roman" w:cs="Times New Roman"/>
          <w:sz w:val="28"/>
          <w:szCs w:val="28"/>
          <w:lang w:val="en-US"/>
        </w:rPr>
        <w:t xml:space="preserve"> sanctions. </w:t>
      </w:r>
    </w:p>
    <w:p w:rsidR="0027259C" w:rsidRPr="008A3654" w:rsidRDefault="0027259C" w:rsidP="002725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654">
        <w:rPr>
          <w:rFonts w:ascii="Times New Roman" w:hAnsi="Times New Roman" w:cs="Times New Roman"/>
          <w:sz w:val="28"/>
          <w:szCs w:val="28"/>
          <w:lang w:val="en-US"/>
        </w:rPr>
        <w:t>Russian Federation realizes that the ability of ICANN to fulfill its mission as a global DNS coordinator and policy maker of the Internet potentially contradicts the need to follow the requirements of the national legislation of a single state.</w:t>
      </w:r>
    </w:p>
    <w:p w:rsidR="0027259C" w:rsidRDefault="0027259C" w:rsidP="002725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We also see contradictions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major international consensus like for example </w:t>
      </w:r>
      <w:r w:rsidRPr="003B4A50">
        <w:rPr>
          <w:rFonts w:ascii="Times New Roman" w:hAnsi="Times New Roman" w:cs="Times New Roman"/>
          <w:sz w:val="28"/>
          <w:szCs w:val="28"/>
          <w:lang w:val="en-US"/>
        </w:rPr>
        <w:t>Tunis Agenda for the Information Society</w:t>
      </w:r>
      <w:r>
        <w:rPr>
          <w:rFonts w:ascii="Times New Roman" w:hAnsi="Times New Roman" w:cs="Times New Roman"/>
          <w:sz w:val="28"/>
          <w:szCs w:val="28"/>
          <w:lang w:val="en-US"/>
        </w:rPr>
        <w:t>, which have stated</w:t>
      </w:r>
      <w:r w:rsidRPr="00314550">
        <w:rPr>
          <w:rFonts w:ascii="Times New Roman" w:hAnsi="Times New Roman" w:cs="Times New Roman"/>
          <w:sz w:val="28"/>
          <w:szCs w:val="28"/>
          <w:lang w:val="en-US"/>
        </w:rPr>
        <w:t xml:space="preserve"> that countries should not be involved in decisions regarding another country’s country-c</w:t>
      </w:r>
      <w:r>
        <w:rPr>
          <w:rFonts w:ascii="Times New Roman" w:hAnsi="Times New Roman" w:cs="Times New Roman"/>
          <w:sz w:val="28"/>
          <w:szCs w:val="28"/>
          <w:lang w:val="en-US"/>
        </w:rPr>
        <w:t>ode Top-Level Domain</w:t>
      </w:r>
      <w:r w:rsidRPr="003145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259C" w:rsidRPr="008A3654" w:rsidRDefault="003E48A2" w:rsidP="002725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259C" w:rsidRPr="008A3654">
        <w:rPr>
          <w:rFonts w:ascii="Times New Roman" w:hAnsi="Times New Roman" w:cs="Times New Roman"/>
          <w:sz w:val="28"/>
          <w:szCs w:val="28"/>
          <w:lang w:val="en-US"/>
        </w:rPr>
        <w:t>ollision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259C"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3A3A64">
        <w:rPr>
          <w:rFonts w:ascii="Times New Roman" w:hAnsi="Times New Roman" w:cs="Times New Roman"/>
          <w:sz w:val="28"/>
          <w:szCs w:val="28"/>
          <w:lang w:val="en-US"/>
        </w:rPr>
        <w:t>ould</w:t>
      </w:r>
      <w:bookmarkStart w:id="0" w:name="_GoBack"/>
      <w:bookmarkEnd w:id="0"/>
      <w:r w:rsidR="0027259C"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 negatively affect the atmosphere of trust for DNS services as well as the security and connectivity of the global Internet.</w:t>
      </w:r>
    </w:p>
    <w:p w:rsidR="002149E4" w:rsidRPr="008A3654" w:rsidRDefault="002149E4" w:rsidP="002149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654">
        <w:rPr>
          <w:rFonts w:ascii="Times New Roman" w:hAnsi="Times New Roman" w:cs="Times New Roman"/>
          <w:sz w:val="28"/>
          <w:szCs w:val="28"/>
          <w:lang w:val="en-US"/>
        </w:rPr>
        <w:lastRenderedPageBreak/>
        <w:t>Having a unique status, protecting public interests, ICANN can offer more acceptable mechanisms of immunity as a solution to this problem, more effective than working on the principle of "best efforts" in case of sanctions</w:t>
      </w:r>
    </w:p>
    <w:p w:rsidR="0027259C" w:rsidRPr="008A3654" w:rsidRDefault="0027259C" w:rsidP="002725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654">
        <w:rPr>
          <w:rFonts w:ascii="Times New Roman" w:hAnsi="Times New Roman" w:cs="Times New Roman"/>
          <w:sz w:val="28"/>
          <w:szCs w:val="28"/>
          <w:lang w:val="en-US"/>
        </w:rPr>
        <w:t>Any participants of the ICANN work processes should not be obliged to follow OFAC sanctions only because they have a contract with ICANN.</w:t>
      </w:r>
    </w:p>
    <w:p w:rsidR="002149E4" w:rsidRPr="008A3654" w:rsidRDefault="002149E4" w:rsidP="002149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ICANN </w:t>
      </w:r>
      <w:r w:rsidR="008A3654" w:rsidRPr="008A3654">
        <w:rPr>
          <w:rFonts w:ascii="Times New Roman" w:hAnsi="Times New Roman" w:cs="Times New Roman"/>
          <w:sz w:val="28"/>
          <w:szCs w:val="28"/>
          <w:lang w:val="en-US"/>
        </w:rPr>
        <w:t>should always commit</w:t>
      </w:r>
      <w:r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6F078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3654">
        <w:rPr>
          <w:rFonts w:ascii="Times New Roman" w:hAnsi="Times New Roman" w:cs="Times New Roman"/>
          <w:sz w:val="28"/>
          <w:szCs w:val="28"/>
          <w:lang w:val="en-US"/>
        </w:rPr>
        <w:t xml:space="preserve"> policy of non-discriminatory attitude to all parties involve</w:t>
      </w:r>
      <w:r w:rsidR="00037718">
        <w:rPr>
          <w:rFonts w:ascii="Times New Roman" w:hAnsi="Times New Roman" w:cs="Times New Roman"/>
          <w:sz w:val="28"/>
          <w:szCs w:val="28"/>
          <w:lang w:val="en-US"/>
        </w:rPr>
        <w:t xml:space="preserve">d in the process of coordination and </w:t>
      </w:r>
      <w:r w:rsidRPr="008A3654">
        <w:rPr>
          <w:rFonts w:ascii="Times New Roman" w:hAnsi="Times New Roman" w:cs="Times New Roman"/>
          <w:sz w:val="28"/>
          <w:szCs w:val="28"/>
          <w:lang w:val="en-US"/>
        </w:rPr>
        <w:t>development of the world</w:t>
      </w:r>
      <w:r w:rsidR="000377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A3654">
        <w:rPr>
          <w:rFonts w:ascii="Times New Roman" w:hAnsi="Times New Roman" w:cs="Times New Roman"/>
          <w:sz w:val="28"/>
          <w:szCs w:val="28"/>
          <w:lang w:val="en-US"/>
        </w:rPr>
        <w:t>wide Internet.</w:t>
      </w:r>
    </w:p>
    <w:sectPr w:rsidR="002149E4" w:rsidRPr="008A3654" w:rsidSect="00D551A3">
      <w:headerReference w:type="default" r:id="rId12"/>
      <w:footerReference w:type="default" r:id="rId13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9C160" w15:done="0"/>
  <w15:commentEx w15:paraId="7C2A0637" w15:done="0"/>
  <w15:commentEx w15:paraId="733D759F" w15:done="0"/>
  <w15:commentEx w15:paraId="17D648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57" w:rsidRDefault="00C47A57">
      <w:pPr>
        <w:spacing w:after="0"/>
      </w:pPr>
      <w:r>
        <w:separator/>
      </w:r>
    </w:p>
  </w:endnote>
  <w:endnote w:type="continuationSeparator" w:id="0">
    <w:p w:rsidR="00C47A57" w:rsidRDefault="00C47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0242"/>
      <w:docPartObj>
        <w:docPartGallery w:val="Page Numbers (Bottom of Page)"/>
        <w:docPartUnique/>
      </w:docPartObj>
    </w:sdtPr>
    <w:sdtEndPr/>
    <w:sdtContent>
      <w:p w:rsidR="00A2292B" w:rsidRDefault="00981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64">
          <w:rPr>
            <w:noProof/>
          </w:rPr>
          <w:t>2</w:t>
        </w:r>
        <w:r>
          <w:fldChar w:fldCharType="end"/>
        </w:r>
      </w:p>
    </w:sdtContent>
  </w:sdt>
  <w:p w:rsidR="00A2292B" w:rsidRDefault="00C47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57" w:rsidRDefault="00C47A57">
      <w:pPr>
        <w:spacing w:after="0"/>
      </w:pPr>
      <w:r>
        <w:separator/>
      </w:r>
    </w:p>
  </w:footnote>
  <w:footnote w:type="continuationSeparator" w:id="0">
    <w:p w:rsidR="00C47A57" w:rsidRDefault="00C47A57">
      <w:pPr>
        <w:spacing w:after="0"/>
      </w:pPr>
      <w:r>
        <w:continuationSeparator/>
      </w:r>
    </w:p>
  </w:footnote>
  <w:footnote w:id="1">
    <w:p w:rsidR="00191A2B" w:rsidRPr="00C75A14" w:rsidRDefault="00191A2B" w:rsidP="00191A2B">
      <w:pPr>
        <w:pStyle w:val="af1"/>
        <w:rPr>
          <w:rFonts w:ascii="Times New Roman" w:hAnsi="Times New Roman" w:cs="Times New Roman"/>
          <w:lang w:val="en-US"/>
        </w:rPr>
      </w:pPr>
      <w:r w:rsidRPr="00C75A14">
        <w:rPr>
          <w:rStyle w:val="af3"/>
          <w:rFonts w:ascii="Times New Roman" w:hAnsi="Times New Roman" w:cs="Times New Roman"/>
        </w:rPr>
        <w:footnoteRef/>
      </w:r>
      <w:r w:rsidRPr="00C75A14">
        <w:rPr>
          <w:rFonts w:ascii="Times New Roman" w:hAnsi="Times New Roman" w:cs="Times New Roman"/>
        </w:rPr>
        <w:t>https://gacweb.icann.org/download/attachments/27132037/GAC%20ICANN60%20Communique_Final.pdf?version=5&amp;modificationDate=1511302067000&amp;api=v2</w:t>
      </w:r>
    </w:p>
  </w:footnote>
  <w:footnote w:id="2">
    <w:p w:rsidR="00FC4752" w:rsidRPr="00C75A14" w:rsidRDefault="00FC4752">
      <w:pPr>
        <w:pStyle w:val="af1"/>
        <w:rPr>
          <w:rFonts w:ascii="Times New Roman" w:hAnsi="Times New Roman" w:cs="Times New Roman"/>
          <w:lang w:val="en-US"/>
        </w:rPr>
      </w:pPr>
      <w:r w:rsidRPr="00C75A14">
        <w:rPr>
          <w:rStyle w:val="af3"/>
          <w:rFonts w:ascii="Times New Roman" w:hAnsi="Times New Roman" w:cs="Times New Roman"/>
        </w:rPr>
        <w:footnoteRef/>
      </w:r>
      <w:r w:rsidRPr="00C75A14">
        <w:rPr>
          <w:rFonts w:ascii="Times New Roman" w:hAnsi="Times New Roman" w:cs="Times New Roman"/>
          <w:lang w:val="en-US"/>
        </w:rPr>
        <w:t>https://docs.google.com/spreadsheets/d/1zAMj3Oz8TEqbjauOyqt09Ef-1ada9TrC7i60Mk-7al4/edit#gid=0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B" w:rsidRDefault="00C47A57">
    <w:pPr>
      <w:pStyle w:val="a3"/>
      <w:jc w:val="center"/>
    </w:pPr>
  </w:p>
  <w:p w:rsidR="00A2292B" w:rsidRDefault="00C47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D6F"/>
    <w:multiLevelType w:val="hybridMultilevel"/>
    <w:tmpl w:val="75DCE49C"/>
    <w:lvl w:ilvl="0" w:tplc="85A693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7B03"/>
    <w:multiLevelType w:val="hybridMultilevel"/>
    <w:tmpl w:val="F942113A"/>
    <w:lvl w:ilvl="0" w:tplc="B21C7C16">
      <w:numFmt w:val="bullet"/>
      <w:lvlText w:val="•"/>
      <w:lvlJc w:val="left"/>
      <w:pPr>
        <w:ind w:left="3300" w:hanging="25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625E5"/>
    <w:multiLevelType w:val="hybridMultilevel"/>
    <w:tmpl w:val="047C8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A2E1D"/>
    <w:multiLevelType w:val="hybridMultilevel"/>
    <w:tmpl w:val="9A121F3C"/>
    <w:lvl w:ilvl="0" w:tplc="B21C7C16">
      <w:numFmt w:val="bullet"/>
      <w:lvlText w:val="•"/>
      <w:lvlJc w:val="left"/>
      <w:pPr>
        <w:ind w:left="2580" w:hanging="25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6A55AE0"/>
    <w:multiLevelType w:val="hybridMultilevel"/>
    <w:tmpl w:val="7BB2D9BE"/>
    <w:lvl w:ilvl="0" w:tplc="BF78D7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7E42D5"/>
    <w:multiLevelType w:val="hybridMultilevel"/>
    <w:tmpl w:val="D4CE5B9C"/>
    <w:lvl w:ilvl="0" w:tplc="85A693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CE7D09"/>
    <w:multiLevelType w:val="hybridMultilevel"/>
    <w:tmpl w:val="288A9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E68A4"/>
    <w:multiLevelType w:val="hybridMultilevel"/>
    <w:tmpl w:val="633E9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A7BEE"/>
    <w:multiLevelType w:val="hybridMultilevel"/>
    <w:tmpl w:val="6226B9B4"/>
    <w:lvl w:ilvl="0" w:tplc="85A6932E">
      <w:numFmt w:val="bullet"/>
      <w:lvlText w:val="•"/>
      <w:lvlJc w:val="left"/>
      <w:pPr>
        <w:ind w:left="4410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С">
    <w15:presenceInfo w15:providerId="None" w15:userId="Р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EF"/>
    <w:rsid w:val="00036A14"/>
    <w:rsid w:val="00037718"/>
    <w:rsid w:val="00042680"/>
    <w:rsid w:val="00046BF3"/>
    <w:rsid w:val="00046E45"/>
    <w:rsid w:val="00066301"/>
    <w:rsid w:val="00083207"/>
    <w:rsid w:val="000845C9"/>
    <w:rsid w:val="00090EE1"/>
    <w:rsid w:val="0009474E"/>
    <w:rsid w:val="000947EC"/>
    <w:rsid w:val="000B593E"/>
    <w:rsid w:val="000B6E8B"/>
    <w:rsid w:val="000C535D"/>
    <w:rsid w:val="000F166A"/>
    <w:rsid w:val="000F2543"/>
    <w:rsid w:val="0011772C"/>
    <w:rsid w:val="0013613D"/>
    <w:rsid w:val="00137A37"/>
    <w:rsid w:val="00143A4C"/>
    <w:rsid w:val="001477A8"/>
    <w:rsid w:val="001529A0"/>
    <w:rsid w:val="00163194"/>
    <w:rsid w:val="00182C76"/>
    <w:rsid w:val="00187120"/>
    <w:rsid w:val="00191A2B"/>
    <w:rsid w:val="001B3181"/>
    <w:rsid w:val="001D2E5D"/>
    <w:rsid w:val="001D3D32"/>
    <w:rsid w:val="001E22D4"/>
    <w:rsid w:val="001F78CF"/>
    <w:rsid w:val="002107B0"/>
    <w:rsid w:val="002149E4"/>
    <w:rsid w:val="00233535"/>
    <w:rsid w:val="00244CE8"/>
    <w:rsid w:val="00246ABB"/>
    <w:rsid w:val="00247A0D"/>
    <w:rsid w:val="00251541"/>
    <w:rsid w:val="00255D5D"/>
    <w:rsid w:val="0025654D"/>
    <w:rsid w:val="002630BF"/>
    <w:rsid w:val="002656FC"/>
    <w:rsid w:val="00266275"/>
    <w:rsid w:val="0027259C"/>
    <w:rsid w:val="002A1986"/>
    <w:rsid w:val="002A3401"/>
    <w:rsid w:val="002B1F8C"/>
    <w:rsid w:val="002C3688"/>
    <w:rsid w:val="002C575C"/>
    <w:rsid w:val="002C7DEE"/>
    <w:rsid w:val="002D0A21"/>
    <w:rsid w:val="002E5F11"/>
    <w:rsid w:val="00303BB8"/>
    <w:rsid w:val="00314550"/>
    <w:rsid w:val="0032797E"/>
    <w:rsid w:val="00330F68"/>
    <w:rsid w:val="00334624"/>
    <w:rsid w:val="00334F1A"/>
    <w:rsid w:val="00342F17"/>
    <w:rsid w:val="0035002A"/>
    <w:rsid w:val="0035020B"/>
    <w:rsid w:val="00364EE1"/>
    <w:rsid w:val="00381B0A"/>
    <w:rsid w:val="00392E7C"/>
    <w:rsid w:val="003A2F92"/>
    <w:rsid w:val="003A3A64"/>
    <w:rsid w:val="003B4A50"/>
    <w:rsid w:val="003D0D15"/>
    <w:rsid w:val="003E18F3"/>
    <w:rsid w:val="003E2EDA"/>
    <w:rsid w:val="003E48A2"/>
    <w:rsid w:val="003F7960"/>
    <w:rsid w:val="00407C56"/>
    <w:rsid w:val="00411C8E"/>
    <w:rsid w:val="00413777"/>
    <w:rsid w:val="00416D0B"/>
    <w:rsid w:val="00444979"/>
    <w:rsid w:val="004467D3"/>
    <w:rsid w:val="004521AB"/>
    <w:rsid w:val="00456AA7"/>
    <w:rsid w:val="004674D2"/>
    <w:rsid w:val="0048141B"/>
    <w:rsid w:val="004A01B2"/>
    <w:rsid w:val="004D787D"/>
    <w:rsid w:val="004F6085"/>
    <w:rsid w:val="00502609"/>
    <w:rsid w:val="00525083"/>
    <w:rsid w:val="0052577A"/>
    <w:rsid w:val="00541D31"/>
    <w:rsid w:val="00546995"/>
    <w:rsid w:val="005848B0"/>
    <w:rsid w:val="00596B28"/>
    <w:rsid w:val="005A0AC6"/>
    <w:rsid w:val="005A2C72"/>
    <w:rsid w:val="005B5FC9"/>
    <w:rsid w:val="005B7D9E"/>
    <w:rsid w:val="005C1CEC"/>
    <w:rsid w:val="005D0FCF"/>
    <w:rsid w:val="005F6F1E"/>
    <w:rsid w:val="005F6F8C"/>
    <w:rsid w:val="00617DCE"/>
    <w:rsid w:val="006621B0"/>
    <w:rsid w:val="006754F4"/>
    <w:rsid w:val="00675817"/>
    <w:rsid w:val="0068361E"/>
    <w:rsid w:val="00694394"/>
    <w:rsid w:val="006A2621"/>
    <w:rsid w:val="006B4AD3"/>
    <w:rsid w:val="006D2163"/>
    <w:rsid w:val="006D7558"/>
    <w:rsid w:val="006D7C74"/>
    <w:rsid w:val="006E1205"/>
    <w:rsid w:val="006E2A58"/>
    <w:rsid w:val="006E7197"/>
    <w:rsid w:val="006F0785"/>
    <w:rsid w:val="006F5323"/>
    <w:rsid w:val="006F75A9"/>
    <w:rsid w:val="00714AC0"/>
    <w:rsid w:val="00715D20"/>
    <w:rsid w:val="007171E9"/>
    <w:rsid w:val="00733E9E"/>
    <w:rsid w:val="007341A5"/>
    <w:rsid w:val="00735ABA"/>
    <w:rsid w:val="00745BE0"/>
    <w:rsid w:val="00753CB6"/>
    <w:rsid w:val="0076410E"/>
    <w:rsid w:val="007660CA"/>
    <w:rsid w:val="00777771"/>
    <w:rsid w:val="00783AA3"/>
    <w:rsid w:val="00786441"/>
    <w:rsid w:val="007A095A"/>
    <w:rsid w:val="007B6B69"/>
    <w:rsid w:val="007D101E"/>
    <w:rsid w:val="008313EC"/>
    <w:rsid w:val="00837DCA"/>
    <w:rsid w:val="00842047"/>
    <w:rsid w:val="00862F6A"/>
    <w:rsid w:val="00873521"/>
    <w:rsid w:val="008821E3"/>
    <w:rsid w:val="00894B3D"/>
    <w:rsid w:val="00895A78"/>
    <w:rsid w:val="008974AB"/>
    <w:rsid w:val="008A3654"/>
    <w:rsid w:val="008F1261"/>
    <w:rsid w:val="00906CD4"/>
    <w:rsid w:val="00910E67"/>
    <w:rsid w:val="009239C9"/>
    <w:rsid w:val="00931023"/>
    <w:rsid w:val="00933690"/>
    <w:rsid w:val="00941E36"/>
    <w:rsid w:val="00941FF3"/>
    <w:rsid w:val="009528D2"/>
    <w:rsid w:val="009638BA"/>
    <w:rsid w:val="00970B96"/>
    <w:rsid w:val="0097450E"/>
    <w:rsid w:val="009817EA"/>
    <w:rsid w:val="00982DC9"/>
    <w:rsid w:val="00991850"/>
    <w:rsid w:val="00994871"/>
    <w:rsid w:val="009B6417"/>
    <w:rsid w:val="009C08FD"/>
    <w:rsid w:val="009D61EC"/>
    <w:rsid w:val="009D726C"/>
    <w:rsid w:val="009E5508"/>
    <w:rsid w:val="009E7B52"/>
    <w:rsid w:val="009F6460"/>
    <w:rsid w:val="00A30678"/>
    <w:rsid w:val="00A47012"/>
    <w:rsid w:val="00A51CD3"/>
    <w:rsid w:val="00A54024"/>
    <w:rsid w:val="00A61E11"/>
    <w:rsid w:val="00A657FE"/>
    <w:rsid w:val="00A71285"/>
    <w:rsid w:val="00A87697"/>
    <w:rsid w:val="00A9061A"/>
    <w:rsid w:val="00AA056B"/>
    <w:rsid w:val="00AA1AFA"/>
    <w:rsid w:val="00AA4943"/>
    <w:rsid w:val="00AB27EF"/>
    <w:rsid w:val="00AB7EB2"/>
    <w:rsid w:val="00AC4FB2"/>
    <w:rsid w:val="00AD1D17"/>
    <w:rsid w:val="00AD3C8B"/>
    <w:rsid w:val="00AE08B5"/>
    <w:rsid w:val="00B05B7F"/>
    <w:rsid w:val="00B24AAE"/>
    <w:rsid w:val="00B35312"/>
    <w:rsid w:val="00B37CE3"/>
    <w:rsid w:val="00B45F04"/>
    <w:rsid w:val="00B616E2"/>
    <w:rsid w:val="00B64BE5"/>
    <w:rsid w:val="00B67D99"/>
    <w:rsid w:val="00B72F37"/>
    <w:rsid w:val="00B769F0"/>
    <w:rsid w:val="00B95367"/>
    <w:rsid w:val="00B976E5"/>
    <w:rsid w:val="00BB6930"/>
    <w:rsid w:val="00BB7ECF"/>
    <w:rsid w:val="00BC5933"/>
    <w:rsid w:val="00BC750F"/>
    <w:rsid w:val="00BD5027"/>
    <w:rsid w:val="00BE1043"/>
    <w:rsid w:val="00BE30DB"/>
    <w:rsid w:val="00BE5C57"/>
    <w:rsid w:val="00BE6D1C"/>
    <w:rsid w:val="00C00E18"/>
    <w:rsid w:val="00C10EBB"/>
    <w:rsid w:val="00C15316"/>
    <w:rsid w:val="00C1697F"/>
    <w:rsid w:val="00C35681"/>
    <w:rsid w:val="00C44DB9"/>
    <w:rsid w:val="00C45719"/>
    <w:rsid w:val="00C474FA"/>
    <w:rsid w:val="00C47A57"/>
    <w:rsid w:val="00C51960"/>
    <w:rsid w:val="00C52CD2"/>
    <w:rsid w:val="00C73443"/>
    <w:rsid w:val="00C75A14"/>
    <w:rsid w:val="00C77CED"/>
    <w:rsid w:val="00CA78BE"/>
    <w:rsid w:val="00CC3829"/>
    <w:rsid w:val="00CE29C9"/>
    <w:rsid w:val="00CE5986"/>
    <w:rsid w:val="00CE5C01"/>
    <w:rsid w:val="00D31A24"/>
    <w:rsid w:val="00D34A2B"/>
    <w:rsid w:val="00D434DC"/>
    <w:rsid w:val="00D51445"/>
    <w:rsid w:val="00D551A3"/>
    <w:rsid w:val="00D576E3"/>
    <w:rsid w:val="00D6281F"/>
    <w:rsid w:val="00D74443"/>
    <w:rsid w:val="00D846CE"/>
    <w:rsid w:val="00D84ACF"/>
    <w:rsid w:val="00D939E9"/>
    <w:rsid w:val="00DE49BF"/>
    <w:rsid w:val="00E153A1"/>
    <w:rsid w:val="00E24517"/>
    <w:rsid w:val="00E30474"/>
    <w:rsid w:val="00E33BCC"/>
    <w:rsid w:val="00E340CB"/>
    <w:rsid w:val="00E44546"/>
    <w:rsid w:val="00E449CE"/>
    <w:rsid w:val="00E50BA8"/>
    <w:rsid w:val="00E542BB"/>
    <w:rsid w:val="00E668A9"/>
    <w:rsid w:val="00E745C7"/>
    <w:rsid w:val="00E84ED4"/>
    <w:rsid w:val="00EA590D"/>
    <w:rsid w:val="00EB18CE"/>
    <w:rsid w:val="00ED3060"/>
    <w:rsid w:val="00EE651B"/>
    <w:rsid w:val="00EF4339"/>
    <w:rsid w:val="00EF4B40"/>
    <w:rsid w:val="00EF53A2"/>
    <w:rsid w:val="00F12CDC"/>
    <w:rsid w:val="00F1650E"/>
    <w:rsid w:val="00F327CD"/>
    <w:rsid w:val="00F34D22"/>
    <w:rsid w:val="00F36E75"/>
    <w:rsid w:val="00F41A9C"/>
    <w:rsid w:val="00F565CA"/>
    <w:rsid w:val="00F648ED"/>
    <w:rsid w:val="00F81025"/>
    <w:rsid w:val="00F87E0B"/>
    <w:rsid w:val="00F935EC"/>
    <w:rsid w:val="00FA311E"/>
    <w:rsid w:val="00FB0662"/>
    <w:rsid w:val="00FC19E8"/>
    <w:rsid w:val="00FC4752"/>
    <w:rsid w:val="00FD1AEE"/>
    <w:rsid w:val="00FD56BC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F"/>
    <w:pPr>
      <w:spacing w:after="12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9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E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27EF"/>
  </w:style>
  <w:style w:type="paragraph" w:styleId="a5">
    <w:name w:val="footer"/>
    <w:basedOn w:val="a"/>
    <w:link w:val="a6"/>
    <w:uiPriority w:val="99"/>
    <w:unhideWhenUsed/>
    <w:rsid w:val="00AB27E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27EF"/>
  </w:style>
  <w:style w:type="paragraph" w:styleId="a7">
    <w:name w:val="List Paragraph"/>
    <w:basedOn w:val="a"/>
    <w:uiPriority w:val="34"/>
    <w:qFormat/>
    <w:rsid w:val="00C44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6E8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E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755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48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48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48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48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48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648ED"/>
    <w:pPr>
      <w:spacing w:after="0" w:line="240" w:lineRule="auto"/>
    </w:pPr>
  </w:style>
  <w:style w:type="character" w:customStyle="1" w:styleId="shorttext">
    <w:name w:val="short_text"/>
    <w:basedOn w:val="a0"/>
    <w:rsid w:val="00A30678"/>
  </w:style>
  <w:style w:type="paragraph" w:styleId="af1">
    <w:name w:val="footnote text"/>
    <w:basedOn w:val="a"/>
    <w:link w:val="af2"/>
    <w:uiPriority w:val="99"/>
    <w:semiHidden/>
    <w:unhideWhenUsed/>
    <w:rsid w:val="00C52CD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52C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52CD2"/>
    <w:rPr>
      <w:vertAlign w:val="superscript"/>
    </w:rPr>
  </w:style>
  <w:style w:type="character" w:customStyle="1" w:styleId="gt-baf-word-clickable">
    <w:name w:val="gt-baf-word-clickable"/>
    <w:basedOn w:val="a0"/>
    <w:rsid w:val="00EE651B"/>
  </w:style>
  <w:style w:type="character" w:customStyle="1" w:styleId="20">
    <w:name w:val="Заголовок 2 Знак"/>
    <w:basedOn w:val="a0"/>
    <w:link w:val="2"/>
    <w:uiPriority w:val="9"/>
    <w:rsid w:val="00B9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F"/>
    <w:pPr>
      <w:spacing w:after="12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9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E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27EF"/>
  </w:style>
  <w:style w:type="paragraph" w:styleId="a5">
    <w:name w:val="footer"/>
    <w:basedOn w:val="a"/>
    <w:link w:val="a6"/>
    <w:uiPriority w:val="99"/>
    <w:unhideWhenUsed/>
    <w:rsid w:val="00AB27E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27EF"/>
  </w:style>
  <w:style w:type="paragraph" w:styleId="a7">
    <w:name w:val="List Paragraph"/>
    <w:basedOn w:val="a"/>
    <w:uiPriority w:val="34"/>
    <w:qFormat/>
    <w:rsid w:val="00C44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6E8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E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755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48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48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48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48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48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648ED"/>
    <w:pPr>
      <w:spacing w:after="0" w:line="240" w:lineRule="auto"/>
    </w:pPr>
  </w:style>
  <w:style w:type="character" w:customStyle="1" w:styleId="shorttext">
    <w:name w:val="short_text"/>
    <w:basedOn w:val="a0"/>
    <w:rsid w:val="00A30678"/>
  </w:style>
  <w:style w:type="paragraph" w:styleId="af1">
    <w:name w:val="footnote text"/>
    <w:basedOn w:val="a"/>
    <w:link w:val="af2"/>
    <w:uiPriority w:val="99"/>
    <w:semiHidden/>
    <w:unhideWhenUsed/>
    <w:rsid w:val="00C52CD2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52C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52CD2"/>
    <w:rPr>
      <w:vertAlign w:val="superscript"/>
    </w:rPr>
  </w:style>
  <w:style w:type="character" w:customStyle="1" w:styleId="gt-baf-word-clickable">
    <w:name w:val="gt-baf-word-clickable"/>
    <w:basedOn w:val="a0"/>
    <w:rsid w:val="00EE651B"/>
  </w:style>
  <w:style w:type="character" w:customStyle="1" w:styleId="20">
    <w:name w:val="Заголовок 2 Знак"/>
    <w:basedOn w:val="a0"/>
    <w:link w:val="2"/>
    <w:uiPriority w:val="9"/>
    <w:rsid w:val="00B9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zAMj3Oz8TEqbjauOyqt09Ef-1ada9TrC7i60Mk-7al4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acweb.icann.org/download/attachments/27132037/GAC%20ICANN60%20Communique_Final.pdf?version=5&amp;modificationDate=1511302067000&amp;api=v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nn.org/en/system/files/files/ccwg-accountability-ws2-jurisdiction-14nov17-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4949-03C1-4266-B9E8-D0D8286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NIIR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Вячеслав Владимирович</dc:creator>
  <cp:lastModifiedBy>Юлия Ш. Еланская</cp:lastModifiedBy>
  <cp:revision>6</cp:revision>
  <cp:lastPrinted>2018-01-12T10:39:00Z</cp:lastPrinted>
  <dcterms:created xsi:type="dcterms:W3CDTF">2018-01-12T11:47:00Z</dcterms:created>
  <dcterms:modified xsi:type="dcterms:W3CDTF">2018-01-12T12:25:00Z</dcterms:modified>
</cp:coreProperties>
</file>