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Agenda for GNSO Council Meeting 21 April 2010.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This agenda was established according to the GNSO Council Operating Procedures approved 28 October 2009 for the GNSO Council.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</w:r>
      <w:hyperlink r:id="rId4" w:tgtFrame="_blank" w:tooltip="(external link)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http://gnso.icann.org/meetings/operating-procedures-revised-draft-clean-09oct09-en.pdf</w:t>
        </w:r>
      </w:hyperlink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For convenience: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• An excerpt of the ICANN Bylaws defining the voting thresholds is provided in Appendix 1 at the end of this agenda.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• An excerpt from the Council Operating Procedures defining the absentee voting procedures is provided in Appendix 2 at the end of this agenda.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Meeting Time 11:00 UTC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See the following and </w:t>
      </w:r>
      <w:hyperlink r:id="rId5" w:tgtFrame="_blank" w:tooltip="(external link)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http://www.timeanddate.com/</w:t>
        </w:r>
      </w:hyperlink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 for other times: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04:00 PDT; 06:00 CDT; 07:00 EDT; 08:00 Buenos Aires; 08:00 Brazil; 13:00 CEST; 15:00 Moscow; 16:00 Pakistan; 19:00 Hong Kong; 20:00 Tokyo, 21:00 Melbourne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Dial-in numbers will be sent individually to Council members. Councilors should notify the GNSO Secretariat in advance if a dial out call is needed.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Please click on the link to join the GNSO Council Adobe Connect room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</w:r>
      <w:hyperlink r:id="rId6" w:tgtFrame="_blank" w:tooltip="(external link)" w:history="1">
        <w:r w:rsidRPr="00644FA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fr-FR"/>
          </w:rPr>
          <w:t>http://icann.na3.acrobat.com/gnsocouncil/</w:t>
        </w:r>
      </w:hyperlink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Please enter as a 'guest'.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Item 1: Administrative matters (10 minutes)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1.1 Roll call of Council members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1.2 Update any statements of interest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1.3 Review/amend agenda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1.4. Note the status of minutes for the previous Council meeting per the GNSO Operating Procedures: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• 1 April 2010 meeting – Approved 16 April </w:t>
      </w:r>
      <w:proofErr w:type="gram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2010 :</w:t>
      </w:r>
      <w:proofErr w:type="gramEnd"/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 (insert URL)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Item 2: GNSO Improvements (20 Minutes</w:t>
      </w:r>
      <w:proofErr w:type="gramStart"/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)</w:t>
      </w:r>
      <w:proofErr w:type="gramEnd"/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2.1 OSC Communication &amp; Coordination (CCT) WT Recommendations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2.1.1 Refer to CCT WT Report Part 1: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7" w:tgtFrame="_blank" w:tooltip="(external link)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http://gnso.icann.org/drafts/cct-consolidated-report-final-09apr10-en.pdf</w:t>
        </w:r>
      </w:hyperlink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2.1.2 Overview of recommendations (Julie Hedlund)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2.1.3 Discussion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2.1.4 Motion</w:t>
      </w:r>
      <w:proofErr w:type="gram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End"/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</w:r>
      <w:hyperlink r:id="rId8" w:tooltip="...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 xml:space="preserve">21 </w:t>
        </w:r>
        <w:proofErr w:type="spellStart"/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april</w:t>
        </w:r>
        <w:proofErr w:type="spellEnd"/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 xml:space="preserve"> motions</w:t>
        </w:r>
      </w:hyperlink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2.1.5 Vote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2.2 OCS GNSO Council Operations WT Recommendations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2.2.1 Overview of recommendations (Julie Hedlund)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2.2.2 Discussion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2.2.3 Motion</w:t>
      </w:r>
      <w:proofErr w:type="gram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End"/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</w:r>
      <w:hyperlink r:id="rId9" w:tooltip="...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 xml:space="preserve">21 </w:t>
        </w:r>
        <w:proofErr w:type="spellStart"/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april</w:t>
        </w:r>
        <w:proofErr w:type="spellEnd"/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 xml:space="preserve"> motions</w:t>
        </w:r>
      </w:hyperlink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2.2.4 Vote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(Note that absentee voting will not be allowed on these motions.)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Item 3: </w:t>
      </w:r>
      <w:proofErr w:type="spellStart"/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Whois</w:t>
      </w:r>
      <w:proofErr w:type="spellEnd"/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Studies (30 minutes)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3.1 Refer to: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• </w:t>
      </w:r>
      <w:proofErr w:type="spell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Whois</w:t>
      </w:r>
      <w:proofErr w:type="spellEnd"/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 Studies Report: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</w:r>
      <w:hyperlink r:id="rId10" w:tooltip="GNSO Council Discussion Space on WHOIS Studies ICANN Policy Staff has just released an initial paper on WHOIS Studies for GNSO Council discussion - 23 March 2010 and a WHOIS Service Requirements Initial Report - 26 March 2010: Initial Report to the GNSO Council on WHOIS Studies Whois Service Requirements Initial Report to GNSO - 26 March 2010 [Whoi...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https://st.icann.org/gnso-council/index.cgi?whois_discussion#</w:t>
        </w:r>
      </w:hyperlink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</w:r>
      <w:hyperlink r:id="rId11" w:tgtFrame="_blank" w:tooltip="(external link)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http://gnso.icann.org/issues/whois/whois-studies-report-for-gnso-23mar10-en.pdf</w:t>
        </w:r>
      </w:hyperlink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• Public comment site for the Framework for ICANN's FY11 Operating Plan and Budget</w:t>
      </w:r>
      <w:proofErr w:type="gram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End"/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</w:r>
      <w:hyperlink r:id="rId12" w:anchor="op-budget-fy2011" w:tgtFrame="_blank" w:tooltip="(external link)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http://www.icann.org/en/public-comment/public-comment-201004-en.htm#op-budget-fy2011</w:t>
        </w:r>
      </w:hyperlink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(Note that the comment period ended 1 April 2010.)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• Public comment: Draft NORC Report on </w:t>
      </w:r>
      <w:proofErr w:type="spell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Whois</w:t>
      </w:r>
      <w:proofErr w:type="spellEnd"/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 Accuracy, (comment period ends 15 April 2010)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Presentation Slides from 1 April 2010 Council meeting</w:t>
      </w:r>
      <w:proofErr w:type="gram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End"/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</w:r>
      <w:hyperlink r:id="rId13" w:tgtFrame="_blank" w:tooltip="(external link)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http://gnso.icann.org/correspondence/whois-studies-presentation-01apr10-en.pdf</w:t>
        </w:r>
      </w:hyperlink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Follow-up to WHOIS Studies discussion on 1 April 2010 prepared by Liz Gasster, 5 April 2010: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14" w:tgtFrame="_blank" w:tooltip="(external link)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http://gnso.icann.org/issues/whois/whois-follow-up-discussion-05apr10-en.pdf</w:t>
        </w:r>
      </w:hyperlink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3.2 Summary of proposals for </w:t>
      </w:r>
      <w:proofErr w:type="spell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Whois</w:t>
      </w:r>
      <w:proofErr w:type="spellEnd"/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 Study budget requests from the GNSO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3.3 Discussion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3.4 Next steps?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• Note that a final budget has to be finished by 17 May and there are currently no funds budgeted for </w:t>
      </w:r>
      <w:proofErr w:type="spell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Whois</w:t>
      </w:r>
      <w:proofErr w:type="spellEnd"/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 Studies.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Item 4: Prioritization of GNSO work (30 minutes)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4.1 Refer to Recommendations by the Work Prioritization Model Drafting Team (WPM-DT):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15" w:tgtFrame="_blank" w:tooltip="(external link)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http://gnso.icann.org/drafts/wpmg-section-6-and-annex-09apr10-en.pdf</w:t>
        </w:r>
      </w:hyperlink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4.2 Overview of Recommendations (Olga Cavalli/Ken Bour)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4.3 Discussion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4.4 Next steps?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4.4.1 Motion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16" w:tooltip="...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 xml:space="preserve">21 </w:t>
        </w:r>
        <w:proofErr w:type="spellStart"/>
        <w:proofErr w:type="gramStart"/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april</w:t>
        </w:r>
        <w:proofErr w:type="spellEnd"/>
        <w:proofErr w:type="gramEnd"/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 xml:space="preserve"> motions</w:t>
        </w:r>
      </w:hyperlink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4.4.2 Vote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(Note that absentee voting will not be allowed on this motion.)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Item 5: Joint SO/AC WG to develop a sustainable approach to providing support to applicants requiring assistance in applying for and operating new </w:t>
      </w:r>
      <w:proofErr w:type="spellStart"/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gTLDs</w:t>
      </w:r>
      <w:proofErr w:type="spellEnd"/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(5 Minutes)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5.1 Status </w:t>
      </w:r>
      <w:proofErr w:type="gram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update</w:t>
      </w:r>
      <w:proofErr w:type="gramEnd"/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 (Chuck)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 So far, GAC and ALAC plan to participate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Olof Nordling will be the lead </w:t>
      </w:r>
      <w:proofErr w:type="gram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New</w:t>
      </w:r>
      <w:proofErr w:type="gramEnd"/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gTLD</w:t>
      </w:r>
      <w:proofErr w:type="spellEnd"/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 Implementation Team Staff person supporting this WG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5.2 Request for GNSO participants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Item 6: Other Business (15 minutes)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6.1 GNSO Comments regarding the FY11 Operating Plan and Budget?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6.2 AGP Policy overview of Staff report (Craig Schwartz)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6.2.1 Brief overview of Staff report (Craig Schwartz)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• Should the Council consider modifying the AGP Limits Policy to no longer require semi-annual updates?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• Should the Council consider modifying the AGP Limits Policy by defining the terms “extraordinary circumstances” or “reoccur regularly? For example: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o</w:t>
      </w:r>
      <w:proofErr w:type="gramEnd"/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 Should instances of consumer fraud automatically be a legitimate use of AGP deletes?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o</w:t>
      </w:r>
      <w:proofErr w:type="gramEnd"/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 If a registrar proactively takes down (i.e., deletes) domains that are known to propagate a fraudulent activity such as phishing, should the registrar bear the cost if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the deletions cause the registrar to exceed the threshold defined in the Policy?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6.2.2 Follow-up actions?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6.3 Mike Rodenbaugh motion regarding the VeriSign .net Registry Services proposal for a Domain Name Exchange service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6.3.1 Refer to the motion at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17" w:tooltip="...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 xml:space="preserve">21 </w:t>
        </w:r>
        <w:proofErr w:type="spellStart"/>
        <w:proofErr w:type="gramStart"/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april</w:t>
        </w:r>
        <w:proofErr w:type="spellEnd"/>
        <w:proofErr w:type="gramEnd"/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 xml:space="preserve"> motions</w:t>
        </w:r>
      </w:hyperlink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6.3.2 Discussion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6.3.3 Vote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Note that absentee voting will not apply.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6.4 Any other business?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Item 7 Status updates (5 minutes)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7.1 Questions/comments on written status updates sent in advance by leaders of Working Groups, Work Teams, staff projects, etc.?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Status updates: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18" w:tgtFrame="_blank" w:tooltip="(external link)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http://gnso.icann.org/meetings/notes-council-21april10-en.htm</w:t>
        </w:r>
      </w:hyperlink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Item 8: The updated GNSO Project Status List (5 minutes)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19" w:tgtFrame="_blank" w:tooltip="(external link)" w:history="1">
        <w:r w:rsidRPr="00644F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http://gnso.icann.org/meetings/pending-projects-list.pdf</w:t>
        </w:r>
      </w:hyperlink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7.1 Questions/comments?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Appendix 1: GNSO Council Voting Thresholds (ICANN Bylaws, Article X, Section 3)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9. </w:t>
      </w:r>
      <w:proofErr w:type="gram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Except</w:t>
      </w:r>
      <w:proofErr w:type="gramEnd"/>
      <w:r w:rsidRPr="00644FAB">
        <w:rPr>
          <w:rFonts w:ascii="Arial" w:eastAsia="Times New Roman" w:hAnsi="Arial" w:cs="Arial"/>
          <w:sz w:val="24"/>
          <w:szCs w:val="24"/>
          <w:lang w:eastAsia="fr-FR"/>
        </w:rPr>
        <w:t xml:space="preserve"> as otherwise specified in these Bylaws, Annex A hereto, or the GNSO Operating Procedures, the default threshold to pass a GNSO Council motion or other voting action requires a simple majority vote of each House. The voting thresholds described below shall apply to the following GNSO actions: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1. Create an Issues Report: requires an affirmative vote of more than 25% vote of each House or majority of one House;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2. Initiate a Policy Development Process (“PDP”) Within Scope (as described in Annex A): requires an affirmative vote of more than 33% of each House or more than 66% of one House;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3. Initiate a PDP Not Within Scope: requires an affirmative vote of more than 75% of one House and a majority of the other House (“GNSO Supermajority”);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4. Approve a PDP Recommendation Without a GNSO Supermajority: requires an affirmative vote of a majority of each House and further requires that one GNSO Council member representative of at least 3 of the 4 Stakeholder Groups supports the Recommendation;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5. Approve a PDP Recommendation With a GNSO Supermajority: requires an affirmative vote of a GNSO Supermajority; and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6. Approve a PDP Recommendation Imposing New Obligations on Certain Contracting Parties: where an ICANN contract provision specifies that “a two-thirds vote of the council” demonstrates the presence of a consensus, the GNSO Supermajority vote threshold will have to be met or exceeded with respect to any contracting party affected by such contract provision.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Appendix 2: Absentee Voting Procedures (Council Operating Procedures 4.4)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Members that are absent from a meeting at the time of a vote on the following items may vote by absentee ballot</w:t>
      </w:r>
      <w:proofErr w:type="gramStart"/>
      <w:r w:rsidRPr="00644FAB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End"/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1. Initiate a policy development process;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2. Forward a policy recommendation to the Board;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3. Recommend amendments to the ICANN Bylaws;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4. Fill a position open for election.</w:t>
      </w:r>
    </w:p>
    <w:p w:rsidR="00644FAB" w:rsidRPr="00644FAB" w:rsidRDefault="00644FAB" w:rsidP="00644F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44FAB">
        <w:rPr>
          <w:rFonts w:ascii="Arial" w:eastAsia="Times New Roman" w:hAnsi="Arial" w:cs="Arial"/>
          <w:sz w:val="24"/>
          <w:szCs w:val="24"/>
          <w:lang w:eastAsia="fr-FR"/>
        </w:rPr>
        <w:t>The GNSO Secretariat will provide reasonable means for transmitting and authenticating absentee ballots, which could include voting by telephone, e- mail, or web-based interface. Absentee ballots must be submitted within 72 hours following the start of the meeting in which a vote is initiated, except that, in exceptional circumstances announced at the time of the vote, the Chair may reduce this time to 24 hours or extend the time to 7 days. There must be a quorum for the meeting in which the vote is initiated.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________________________________________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Local time between March and October, Summer in the NORTHERN hemisphere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________________________________________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Reference (Coordinated Universal Time) 11:00UTC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________________________________________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California, USA (PST) UTC-8+1DST 04:00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Cedar Rapids, USA (CDT) UTC-6+1DST 06:00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New York/Washington DC, USA (EDT) UTC-5+1DST 07:00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Buenos Aires, Argentina UTC-3+0DST 08:00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Rio de Janeiro/Sao Paulo Brazil UTC-3+0DST 08:00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Dublin, Ireland (GMT) UTC+1DST 12:00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Darmstadt, Germany (CET) UTC+1+1DST 13:00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Paris, France (CET) UTC+1+1DST 13:00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Moscow, Russian Federation (MSK) UTC+3+1DST 15:00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Karachi, Pakistan UTC+5+0DST 16:00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Hong Kong, China UTC+8+0DST 19:00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Tokyo, Japan UTC+9+0DST 20:00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Melbourne/Sydney Australia (EDT) UTC+10+0DST 21:00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  <w:t>________________________________________</w:t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44FA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The DST starts/ends on last Sunday of October 2010, 2:00 or 3:00 local time (with exceptions)</w:t>
      </w:r>
    </w:p>
    <w:p w:rsidR="00644FAB" w:rsidRPr="00644FAB" w:rsidRDefault="00644FAB" w:rsidP="00644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E0D26" w:rsidRPr="00644FAB" w:rsidRDefault="00AE0D26" w:rsidP="00644FAB">
      <w:pPr>
        <w:rPr>
          <w:rFonts w:ascii="Arial" w:hAnsi="Arial" w:cs="Arial"/>
          <w:lang/>
        </w:rPr>
      </w:pPr>
    </w:p>
    <w:p w:rsidR="00644FAB" w:rsidRPr="00644FAB" w:rsidRDefault="00644FAB">
      <w:pPr>
        <w:rPr>
          <w:rFonts w:ascii="Arial" w:hAnsi="Arial" w:cs="Arial"/>
          <w:lang/>
        </w:rPr>
      </w:pPr>
    </w:p>
    <w:sectPr w:rsidR="00644FAB" w:rsidRPr="00644FAB" w:rsidSect="00AE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FAB"/>
    <w:rsid w:val="00644FAB"/>
    <w:rsid w:val="00AE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F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644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.icann.org/gnso-council/index.cgi?21_april_motions" TargetMode="External"/><Relationship Id="rId13" Type="http://schemas.openxmlformats.org/officeDocument/2006/relationships/hyperlink" Target="http://gnso.icann.org/correspondence/whois-studies-presentation-01apr10-en.pdf" TargetMode="External"/><Relationship Id="rId18" Type="http://schemas.openxmlformats.org/officeDocument/2006/relationships/hyperlink" Target="http://gnso.icann.org/meetings/notes-council-21april10-en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nso.icann.org/drafts/cct-consolidated-report-final-09apr10-en.pdf" TargetMode="External"/><Relationship Id="rId12" Type="http://schemas.openxmlformats.org/officeDocument/2006/relationships/hyperlink" Target="http://www.icann.org/en/public-comment/public-comment-201004-en.htm" TargetMode="External"/><Relationship Id="rId17" Type="http://schemas.openxmlformats.org/officeDocument/2006/relationships/hyperlink" Target="https://st.icann.org/gnso-council/index.cgi?21_april_mo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.icann.org/gnso-council/index.cgi?21_april_motion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cann.na3.acrobat.com/gnsocouncil/" TargetMode="External"/><Relationship Id="rId11" Type="http://schemas.openxmlformats.org/officeDocument/2006/relationships/hyperlink" Target="http://gnso.icann.org/issues/whois/whois-studies-report-for-gnso-23mar10-en.pdf" TargetMode="External"/><Relationship Id="rId5" Type="http://schemas.openxmlformats.org/officeDocument/2006/relationships/hyperlink" Target="http://www.timeanddate.com/" TargetMode="External"/><Relationship Id="rId15" Type="http://schemas.openxmlformats.org/officeDocument/2006/relationships/hyperlink" Target="http://gnso.icann.org/drafts/wpmg-section-6-and-annex-09apr10-en.pdf" TargetMode="External"/><Relationship Id="rId10" Type="http://schemas.openxmlformats.org/officeDocument/2006/relationships/hyperlink" Target="https://st.icann.org/gnso-council/index.cgi?whois_discussion" TargetMode="External"/><Relationship Id="rId19" Type="http://schemas.openxmlformats.org/officeDocument/2006/relationships/hyperlink" Target="http://gnso.icann.org/meetings/pending-projects-list.pdf" TargetMode="External"/><Relationship Id="rId4" Type="http://schemas.openxmlformats.org/officeDocument/2006/relationships/hyperlink" Target="http://gnso.icann.org/meetings/operating-procedures-revised-draft-clean-09oct09-en.pdf" TargetMode="External"/><Relationship Id="rId9" Type="http://schemas.openxmlformats.org/officeDocument/2006/relationships/hyperlink" Target="https://st.icann.org/gnso-council/index.cgi?21_april_motions" TargetMode="External"/><Relationship Id="rId14" Type="http://schemas.openxmlformats.org/officeDocument/2006/relationships/hyperlink" Target="http://gnso.icann.org/issues/whois/whois-follow-up-discussion-05apr10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1632</Words>
  <Characters>8981</Characters>
  <Application>Microsoft Office Word</Application>
  <DocSecurity>0</DocSecurity>
  <Lines>74</Lines>
  <Paragraphs>21</Paragraphs>
  <ScaleCrop>false</ScaleCrop>
  <Company>Microsoft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</cp:lastModifiedBy>
  <cp:revision>1</cp:revision>
  <dcterms:created xsi:type="dcterms:W3CDTF">2010-04-13T16:03:00Z</dcterms:created>
  <dcterms:modified xsi:type="dcterms:W3CDTF">2010-04-13T16:04:00Z</dcterms:modified>
</cp:coreProperties>
</file>