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3C" w:rsidRDefault="00023B3C" w:rsidP="00023B3C">
      <w:pPr>
        <w:widowControl w:val="0"/>
        <w:autoSpaceDE w:val="0"/>
        <w:autoSpaceDN w:val="0"/>
        <w:adjustRightInd w:val="0"/>
        <w:spacing w:after="240"/>
        <w:jc w:val="center"/>
        <w:rPr>
          <w:rFonts w:ascii="Times" w:hAnsi="Times" w:cs="Times"/>
          <w:b/>
          <w:bCs/>
          <w:sz w:val="30"/>
          <w:szCs w:val="30"/>
        </w:rPr>
      </w:pPr>
      <w:r>
        <w:rPr>
          <w:rFonts w:ascii="Times" w:hAnsi="Times" w:cs="Times"/>
          <w:b/>
          <w:bCs/>
          <w:sz w:val="30"/>
          <w:szCs w:val="30"/>
        </w:rPr>
        <w:t xml:space="preserve">Brian A. Cute </w:t>
      </w:r>
      <w:bookmarkStart w:id="0" w:name="_GoBack"/>
      <w:bookmarkEnd w:id="0"/>
    </w:p>
    <w:p w:rsidR="002D7DF8" w:rsidRDefault="00023B3C" w:rsidP="00023B3C">
      <w:pPr>
        <w:widowControl w:val="0"/>
        <w:autoSpaceDE w:val="0"/>
        <w:autoSpaceDN w:val="0"/>
        <w:adjustRightInd w:val="0"/>
        <w:spacing w:after="240"/>
        <w:jc w:val="center"/>
        <w:rPr>
          <w:rFonts w:ascii="Times" w:hAnsi="Times" w:cs="Times"/>
          <w:b/>
          <w:bCs/>
          <w:sz w:val="30"/>
          <w:szCs w:val="30"/>
        </w:rPr>
      </w:pPr>
      <w:r>
        <w:rPr>
          <w:rFonts w:ascii="Times" w:hAnsi="Times" w:cs="Times"/>
          <w:b/>
          <w:bCs/>
          <w:sz w:val="30"/>
          <w:szCs w:val="30"/>
        </w:rPr>
        <w:t xml:space="preserve">10507 Cedar Avenue </w:t>
      </w:r>
    </w:p>
    <w:p w:rsidR="00023B3C" w:rsidRDefault="00023B3C" w:rsidP="00023B3C">
      <w:pPr>
        <w:widowControl w:val="0"/>
        <w:autoSpaceDE w:val="0"/>
        <w:autoSpaceDN w:val="0"/>
        <w:adjustRightInd w:val="0"/>
        <w:spacing w:after="240"/>
        <w:jc w:val="center"/>
        <w:rPr>
          <w:rFonts w:ascii="Times" w:hAnsi="Times" w:cs="Times"/>
          <w:b/>
          <w:bCs/>
          <w:sz w:val="30"/>
          <w:szCs w:val="30"/>
        </w:rPr>
      </w:pPr>
      <w:r>
        <w:rPr>
          <w:rFonts w:ascii="Times" w:hAnsi="Times" w:cs="Times"/>
          <w:b/>
          <w:bCs/>
          <w:sz w:val="30"/>
          <w:szCs w:val="30"/>
        </w:rPr>
        <w:t xml:space="preserve">Fairfax, Virginia 22030 </w:t>
      </w:r>
    </w:p>
    <w:p w:rsidR="00023B3C" w:rsidRDefault="00023B3C" w:rsidP="00023B3C">
      <w:pPr>
        <w:widowControl w:val="0"/>
        <w:autoSpaceDE w:val="0"/>
        <w:autoSpaceDN w:val="0"/>
        <w:adjustRightInd w:val="0"/>
        <w:spacing w:after="240"/>
        <w:jc w:val="center"/>
        <w:rPr>
          <w:rFonts w:ascii="Times" w:hAnsi="Times" w:cs="Times"/>
        </w:rPr>
      </w:pPr>
      <w:r>
        <w:rPr>
          <w:rFonts w:ascii="Times" w:hAnsi="Times" w:cs="Times"/>
          <w:b/>
          <w:bCs/>
          <w:sz w:val="30"/>
          <w:szCs w:val="30"/>
        </w:rPr>
        <w:t>(703) 591-6320</w:t>
      </w:r>
    </w:p>
    <w:p w:rsidR="00023B3C" w:rsidRDefault="00023B3C" w:rsidP="00FA3733">
      <w:pPr>
        <w:widowControl w:val="0"/>
        <w:autoSpaceDE w:val="0"/>
        <w:autoSpaceDN w:val="0"/>
        <w:adjustRightInd w:val="0"/>
        <w:spacing w:after="240"/>
        <w:rPr>
          <w:rFonts w:ascii="Times" w:hAnsi="Times" w:cs="Times"/>
          <w:b/>
          <w:bCs/>
          <w:sz w:val="30"/>
          <w:szCs w:val="30"/>
        </w:rPr>
      </w:pPr>
    </w:p>
    <w:p w:rsidR="00023B3C" w:rsidRDefault="00FA3733" w:rsidP="00FA3733">
      <w:pPr>
        <w:widowControl w:val="0"/>
        <w:autoSpaceDE w:val="0"/>
        <w:autoSpaceDN w:val="0"/>
        <w:adjustRightInd w:val="0"/>
        <w:spacing w:after="240"/>
        <w:rPr>
          <w:rFonts w:ascii="Times" w:hAnsi="Times" w:cs="Times"/>
          <w:b/>
          <w:bCs/>
          <w:sz w:val="30"/>
          <w:szCs w:val="30"/>
        </w:rPr>
      </w:pPr>
      <w:r>
        <w:rPr>
          <w:rFonts w:ascii="Times" w:hAnsi="Times" w:cs="Times"/>
          <w:b/>
          <w:bCs/>
          <w:sz w:val="30"/>
          <w:szCs w:val="30"/>
        </w:rPr>
        <w:t xml:space="preserve">EXPERIENCE </w:t>
      </w:r>
    </w:p>
    <w:p w:rsidR="00023B3C" w:rsidRDefault="00023B3C" w:rsidP="00FA3733">
      <w:pPr>
        <w:widowControl w:val="0"/>
        <w:autoSpaceDE w:val="0"/>
        <w:autoSpaceDN w:val="0"/>
        <w:adjustRightInd w:val="0"/>
        <w:spacing w:after="240"/>
        <w:rPr>
          <w:rFonts w:ascii="Times" w:hAnsi="Times" w:cs="Times"/>
          <w:b/>
          <w:bCs/>
          <w:sz w:val="26"/>
          <w:szCs w:val="26"/>
        </w:rPr>
      </w:pPr>
      <w:r>
        <w:rPr>
          <w:rFonts w:ascii="Times" w:hAnsi="Times" w:cs="Times"/>
          <w:b/>
          <w:bCs/>
          <w:sz w:val="26"/>
          <w:szCs w:val="26"/>
        </w:rPr>
        <w:t>PUBLIC INTEREST REGISTRY, February 2011 to Present</w:t>
      </w:r>
    </w:p>
    <w:p w:rsidR="00023B3C" w:rsidRDefault="00023B3C" w:rsidP="00023B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32"/>
          <w:szCs w:val="32"/>
        </w:rPr>
        <w:t xml:space="preserve">● </w:t>
      </w:r>
      <w:r>
        <w:rPr>
          <w:rFonts w:ascii="Times New Roman" w:hAnsi="Times New Roman" w:cs="Times New Roman"/>
          <w:sz w:val="26"/>
          <w:szCs w:val="26"/>
        </w:rPr>
        <w:t xml:space="preserve">Not-for-Profit Registry Operator </w:t>
      </w:r>
    </w:p>
    <w:p w:rsidR="00023B3C" w:rsidRDefault="002D7DF8" w:rsidP="00023B3C">
      <w:pPr>
        <w:widowControl w:val="0"/>
        <w:autoSpaceDE w:val="0"/>
        <w:autoSpaceDN w:val="0"/>
        <w:adjustRightInd w:val="0"/>
        <w:spacing w:after="240"/>
        <w:rPr>
          <w:rFonts w:ascii="Times" w:hAnsi="Times" w:cs="Times"/>
          <w:b/>
          <w:bCs/>
          <w:sz w:val="26"/>
          <w:szCs w:val="26"/>
        </w:rPr>
      </w:pPr>
      <w:r>
        <w:rPr>
          <w:rFonts w:ascii="Times" w:hAnsi="Times" w:cs="Times"/>
          <w:b/>
          <w:bCs/>
          <w:sz w:val="26"/>
          <w:szCs w:val="26"/>
        </w:rPr>
        <w:t>Chief Executive</w:t>
      </w:r>
      <w:r w:rsidR="00023B3C">
        <w:rPr>
          <w:rFonts w:ascii="Times" w:hAnsi="Times" w:cs="Times"/>
          <w:b/>
          <w:bCs/>
          <w:sz w:val="26"/>
          <w:szCs w:val="26"/>
        </w:rPr>
        <w:t xml:space="preserve"> Officer and President</w:t>
      </w:r>
    </w:p>
    <w:p w:rsidR="00023B3C" w:rsidRPr="00023B3C" w:rsidRDefault="00B369F6" w:rsidP="00023B3C">
      <w:pPr>
        <w:widowControl w:val="0"/>
        <w:autoSpaceDE w:val="0"/>
        <w:autoSpaceDN w:val="0"/>
        <w:adjustRightInd w:val="0"/>
        <w:spacing w:after="240"/>
        <w:rPr>
          <w:rFonts w:ascii="Times" w:hAnsi="Times" w:cs="Times"/>
        </w:rPr>
      </w:pPr>
      <w:r>
        <w:rPr>
          <w:rFonts w:ascii="Times" w:hAnsi="Times" w:cs="Times"/>
        </w:rPr>
        <w:t>Responsible to lead PIR as an exemplary registry operator and a</w:t>
      </w:r>
      <w:r w:rsidR="002D7DF8">
        <w:rPr>
          <w:rFonts w:ascii="Times" w:hAnsi="Times" w:cs="Times"/>
        </w:rPr>
        <w:t>s a</w:t>
      </w:r>
      <w:r>
        <w:rPr>
          <w:rFonts w:ascii="Times" w:hAnsi="Times" w:cs="Times"/>
        </w:rPr>
        <w:t xml:space="preserve"> supporting organization to the Internet Society.  Responsible for .ORG growth strategy, introduction of new services and d</w:t>
      </w:r>
      <w:r w:rsidR="002D7DF8">
        <w:rPr>
          <w:rFonts w:ascii="Times" w:hAnsi="Times" w:cs="Times"/>
        </w:rPr>
        <w:t>evelopment of a high performance PIR staff.  Drive</w:t>
      </w:r>
      <w:r>
        <w:rPr>
          <w:rFonts w:ascii="Times" w:hAnsi="Times" w:cs="Times"/>
        </w:rPr>
        <w:t xml:space="preserve"> stra</w:t>
      </w:r>
      <w:r w:rsidR="002D7DF8">
        <w:rPr>
          <w:rFonts w:ascii="Times" w:hAnsi="Times" w:cs="Times"/>
        </w:rPr>
        <w:t>tegy for introduction of newTLDs</w:t>
      </w:r>
      <w:r>
        <w:rPr>
          <w:rFonts w:ascii="Times" w:hAnsi="Times" w:cs="Times"/>
        </w:rPr>
        <w:t xml:space="preserve"> and IDNs and internationalization of .ORG sales.  Responsible for promoting domain name policies and practices that are in the public interest and that advance good governance. </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AFILIAS, U.S.A.</w:t>
      </w:r>
      <w:r w:rsidR="00023B3C">
        <w:rPr>
          <w:rFonts w:ascii="Times" w:hAnsi="Times" w:cs="Times"/>
        </w:rPr>
        <w:t xml:space="preserve">, </w:t>
      </w:r>
      <w:r w:rsidR="00023B3C">
        <w:rPr>
          <w:rFonts w:ascii="Times" w:hAnsi="Times" w:cs="Times"/>
          <w:b/>
          <w:bCs/>
          <w:sz w:val="26"/>
          <w:szCs w:val="26"/>
        </w:rPr>
        <w:t>May 2007 to February 2011</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r>
        <w:rPr>
          <w:rFonts w:ascii="Times New Roman" w:hAnsi="Times New Roman" w:cs="Times New Roman"/>
          <w:sz w:val="26"/>
          <w:szCs w:val="26"/>
        </w:rPr>
        <w:t>Internet Infrastructure Solutions Provider</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Vice President</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Responsible for policy development and government relations coordination. Develop newTLD opportunities for Afilias backend registry services. Develop strategy for ICANN newTLD policy and implementation processes. Represent Afilias in the Vertical Integration, High Security Zone TLD and Centralized Zone File Access working groups. Represent Afilias before the U.S. Department of Commerce and other government bodies concerning ICANN and Internet Governance issues. Develop strategy for Internet Governance in a variety of </w:t>
      </w:r>
      <w:r>
        <w:rPr>
          <w:rFonts w:ascii="Times" w:hAnsi="Times" w:cs="Times"/>
          <w:i/>
          <w:iCs/>
          <w:sz w:val="26"/>
          <w:szCs w:val="26"/>
        </w:rPr>
        <w:t xml:space="preserve">fora </w:t>
      </w:r>
      <w:r>
        <w:rPr>
          <w:rFonts w:ascii="Times New Roman" w:hAnsi="Times New Roman" w:cs="Times New Roman"/>
          <w:sz w:val="26"/>
          <w:szCs w:val="26"/>
        </w:rPr>
        <w:t>including the ITU.</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Responsible for Afilias’ Discovery Services line of business offering supply chain visibility and “track and trace” service. Develop and execute Afilias’ Discovery Service market entry strategy and marketing campaign for various industry verticals. Manage relationship with GS1organization and oversee Afilias Discovery Services standards development activities. Work with industry and </w:t>
      </w:r>
      <w:r>
        <w:rPr>
          <w:rFonts w:ascii="Times New Roman" w:hAnsi="Times New Roman" w:cs="Times New Roman"/>
          <w:sz w:val="26"/>
          <w:szCs w:val="26"/>
        </w:rPr>
        <w:lastRenderedPageBreak/>
        <w:t>governments to develop policy frameworks relating to governance, privacy and security for the Internet of Things</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VERISIGN, INC.</w:t>
      </w:r>
      <w:r w:rsidR="00023B3C">
        <w:rPr>
          <w:rFonts w:ascii="Times" w:hAnsi="Times" w:cs="Times"/>
          <w:b/>
          <w:bCs/>
          <w:sz w:val="26"/>
          <w:szCs w:val="26"/>
        </w:rPr>
        <w:t>,</w:t>
      </w:r>
      <w:r>
        <w:rPr>
          <w:rFonts w:ascii="Times" w:hAnsi="Times" w:cs="Times"/>
          <w:b/>
          <w:bCs/>
          <w:sz w:val="26"/>
          <w:szCs w:val="26"/>
        </w:rPr>
        <w:t xml:space="preserve"> May 2004 to March 2007</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r>
        <w:rPr>
          <w:rFonts w:ascii="Times New Roman" w:hAnsi="Times New Roman" w:cs="Times New Roman"/>
          <w:sz w:val="26"/>
          <w:szCs w:val="26"/>
        </w:rPr>
        <w:t>Internet Infrastructure Provider</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Vice President, -- Government Relations</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Responsible for VeriSign global government relations and policy supporting Internet, communications and security lines of business. Successfully managed $4 million annual budget and 6 government relations professionals in Washington, D.C. and Berlin, Germany. Directed government relations and public relations support of .com and .net infrastructure expansion program in China, Egypt and Bulgaria. Managed mobile content and mobile payments policy issues for Jamba! mobile ring tone business. Developed industry best practices and marketing guidelines to promote safe youth mobile environment.</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Developed and executed strategy for VeriSign participation in the United Nations World Summit on the Information Society and lobbied numerous governments concerning Internet Governance and ICANN issues. Represented VeriSign in international </w:t>
      </w:r>
      <w:r>
        <w:rPr>
          <w:rFonts w:ascii="Times" w:hAnsi="Times" w:cs="Times"/>
          <w:i/>
          <w:iCs/>
          <w:sz w:val="26"/>
          <w:szCs w:val="26"/>
        </w:rPr>
        <w:t xml:space="preserve">fora </w:t>
      </w:r>
      <w:r>
        <w:rPr>
          <w:rFonts w:ascii="Times New Roman" w:hAnsi="Times New Roman" w:cs="Times New Roman"/>
          <w:sz w:val="26"/>
          <w:szCs w:val="26"/>
        </w:rPr>
        <w:t>including the inaugural Internet Governance Forum (IGF) in Athens, Greece. Conceived and organized IGF Critical Infrastructure Security Workshop and participated in DNS Root Zone File Management Workshop. Participated in European Union Commission RFID Consultation and U.S. Senate RFID Caucus.</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NETWORK SOLUTIONS, LLC</w:t>
      </w:r>
      <w:r w:rsidR="00023B3C">
        <w:rPr>
          <w:rFonts w:ascii="Times" w:hAnsi="Times" w:cs="Times"/>
          <w:b/>
          <w:bCs/>
          <w:sz w:val="26"/>
          <w:szCs w:val="26"/>
        </w:rPr>
        <w:t>,</w:t>
      </w:r>
      <w:r>
        <w:rPr>
          <w:rFonts w:ascii="Times" w:hAnsi="Times" w:cs="Times"/>
          <w:b/>
          <w:bCs/>
          <w:sz w:val="26"/>
          <w:szCs w:val="26"/>
        </w:rPr>
        <w:t xml:space="preserve"> January 2003 to May 2004</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r>
        <w:rPr>
          <w:rFonts w:ascii="Times New Roman" w:hAnsi="Times New Roman" w:cs="Times New Roman"/>
          <w:sz w:val="26"/>
          <w:szCs w:val="26"/>
        </w:rPr>
        <w:t>Domain Name Registrar and Web Services Provider</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Director of Policy</w:t>
      </w:r>
    </w:p>
    <w:p w:rsidR="00FA3733" w:rsidRDefault="00FA3733" w:rsidP="00023B3C">
      <w:pPr>
        <w:widowControl w:val="0"/>
        <w:autoSpaceDE w:val="0"/>
        <w:autoSpaceDN w:val="0"/>
        <w:adjustRightInd w:val="0"/>
        <w:spacing w:after="240"/>
        <w:rPr>
          <w:rFonts w:ascii="Times" w:hAnsi="Times" w:cs="Times"/>
        </w:rPr>
      </w:pPr>
      <w:r>
        <w:rPr>
          <w:rFonts w:ascii="Times New Roman" w:hAnsi="Times New Roman" w:cs="Times New Roman"/>
          <w:sz w:val="26"/>
          <w:szCs w:val="26"/>
        </w:rPr>
        <w:t>Responsible for global public policy matters affecting all company lines of business and operations. Advise CEO and business units on impact of regulations, rules and contractual obligations on revenue, expenses and operations. Responsible for managing company relationship with the Internet Corporation for Assigned Names and Numbers (ICANN) and for influencing ICANN policies and practices.</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Advise business units on the development of new registrar and registry services including private registrations and Wait List Service. Develop corporate public policy web site concerning online privacy issues. Work with law enforcement to address to address cybercrime issues and notice and takedown procedures. Review international privacy law regimes to address ICANN contractual obligations concerning provision of customer personal data to third parties. Advocate corporate positions in ICANN po</w:t>
      </w:r>
      <w:r w:rsidR="00B369F6">
        <w:rPr>
          <w:rFonts w:ascii="Times New Roman" w:hAnsi="Times New Roman" w:cs="Times New Roman"/>
          <w:sz w:val="26"/>
          <w:szCs w:val="26"/>
        </w:rPr>
        <w:t>licy development process</w:t>
      </w:r>
      <w:r>
        <w:rPr>
          <w:rFonts w:ascii="Times New Roman" w:hAnsi="Times New Roman" w:cs="Times New Roman"/>
          <w:sz w:val="26"/>
          <w:szCs w:val="26"/>
        </w:rPr>
        <w:t>.</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EDUCATION</w:t>
      </w:r>
    </w:p>
    <w:p w:rsidR="00FA3733" w:rsidRPr="002D7DF8" w:rsidRDefault="00FA3733" w:rsidP="00023B3C">
      <w:pPr>
        <w:widowControl w:val="0"/>
        <w:autoSpaceDE w:val="0"/>
        <w:autoSpaceDN w:val="0"/>
        <w:adjustRightInd w:val="0"/>
        <w:spacing w:after="240"/>
        <w:rPr>
          <w:rFonts w:ascii="Times" w:hAnsi="Times" w:cs="Times"/>
          <w:i/>
          <w:iCs/>
          <w:sz w:val="26"/>
          <w:szCs w:val="26"/>
        </w:rPr>
      </w:pPr>
      <w:r>
        <w:rPr>
          <w:rFonts w:ascii="Times" w:hAnsi="Times" w:cs="Times"/>
          <w:b/>
          <w:bCs/>
          <w:i/>
          <w:iCs/>
          <w:sz w:val="26"/>
          <w:szCs w:val="26"/>
        </w:rPr>
        <w:t xml:space="preserve">Licence spéciale en droit européen, </w:t>
      </w:r>
      <w:r>
        <w:rPr>
          <w:rFonts w:ascii="Times New Roman" w:hAnsi="Times New Roman" w:cs="Times New Roman"/>
          <w:sz w:val="26"/>
          <w:szCs w:val="26"/>
        </w:rPr>
        <w:t xml:space="preserve">L’Université Libre de Bruxelles, Belgium, 1994 Honors: </w:t>
      </w:r>
      <w:r>
        <w:rPr>
          <w:rFonts w:ascii="Times" w:hAnsi="Times" w:cs="Times"/>
          <w:i/>
          <w:iCs/>
          <w:sz w:val="26"/>
          <w:szCs w:val="26"/>
        </w:rPr>
        <w:t>Avec Distinction </w:t>
      </w:r>
      <w:r w:rsidR="002D7DF8">
        <w:rPr>
          <w:rFonts w:ascii="Times" w:hAnsi="Times" w:cs="Times"/>
          <w:i/>
          <w:iCs/>
          <w:sz w:val="26"/>
          <w:szCs w:val="26"/>
        </w:rPr>
        <w:t xml:space="preserve">                                                                           </w:t>
      </w:r>
      <w:r>
        <w:rPr>
          <w:rFonts w:ascii="Times New Roman" w:hAnsi="Times New Roman" w:cs="Times New Roman"/>
          <w:sz w:val="26"/>
          <w:szCs w:val="26"/>
        </w:rPr>
        <w:t>L.L.M. in European Union law with a focus on E.U. institutions, the founding treaties and the creation of a single European market; two-year program; curriculum in French.</w:t>
      </w:r>
    </w:p>
    <w:p w:rsidR="00FA3733" w:rsidRPr="002D7DF8" w:rsidRDefault="00FA3733" w:rsidP="00FA3733">
      <w:pPr>
        <w:widowControl w:val="0"/>
        <w:autoSpaceDE w:val="0"/>
        <w:autoSpaceDN w:val="0"/>
        <w:adjustRightInd w:val="0"/>
        <w:spacing w:after="240"/>
        <w:rPr>
          <w:rFonts w:ascii="Times New Roman" w:hAnsi="Times New Roman" w:cs="Times New Roman"/>
          <w:sz w:val="26"/>
          <w:szCs w:val="26"/>
        </w:rPr>
      </w:pPr>
      <w:r>
        <w:rPr>
          <w:rFonts w:ascii="Times" w:hAnsi="Times" w:cs="Times"/>
          <w:b/>
          <w:bCs/>
          <w:i/>
          <w:iCs/>
          <w:sz w:val="26"/>
          <w:szCs w:val="26"/>
        </w:rPr>
        <w:t xml:space="preserve">Juris Doctor, </w:t>
      </w:r>
      <w:r>
        <w:rPr>
          <w:rFonts w:ascii="Times New Roman" w:hAnsi="Times New Roman" w:cs="Times New Roman"/>
          <w:sz w:val="26"/>
          <w:szCs w:val="26"/>
        </w:rPr>
        <w:t>University of Bridgeport, Bridgeport, Connecticut, 1991 </w:t>
      </w:r>
      <w:r w:rsidR="002D7DF8">
        <w:rPr>
          <w:rFonts w:ascii="Times New Roman" w:hAnsi="Times New Roman" w:cs="Times New Roman"/>
          <w:sz w:val="26"/>
          <w:szCs w:val="26"/>
        </w:rPr>
        <w:t xml:space="preserve">              </w:t>
      </w:r>
      <w:r>
        <w:rPr>
          <w:rFonts w:ascii="Times New Roman" w:hAnsi="Times New Roman" w:cs="Times New Roman"/>
          <w:sz w:val="26"/>
          <w:szCs w:val="26"/>
        </w:rPr>
        <w:t>Class Rank: Top 25% </w:t>
      </w:r>
      <w:r w:rsidR="002D7DF8">
        <w:rPr>
          <w:rFonts w:ascii="Times New Roman" w:hAnsi="Times New Roman" w:cs="Times New Roman"/>
          <w:sz w:val="26"/>
          <w:szCs w:val="26"/>
        </w:rPr>
        <w:t xml:space="preserve">                                                                                      </w:t>
      </w:r>
      <w:r>
        <w:rPr>
          <w:rFonts w:ascii="Times New Roman" w:hAnsi="Times New Roman" w:cs="Times New Roman"/>
          <w:sz w:val="26"/>
          <w:szCs w:val="26"/>
        </w:rPr>
        <w:t xml:space="preserve">Honors: </w:t>
      </w:r>
      <w:r>
        <w:rPr>
          <w:rFonts w:ascii="Times" w:hAnsi="Times" w:cs="Times"/>
          <w:i/>
          <w:iCs/>
          <w:sz w:val="26"/>
          <w:szCs w:val="26"/>
        </w:rPr>
        <w:t xml:space="preserve">Outstanding Legal Scholarship, </w:t>
      </w:r>
      <w:r>
        <w:rPr>
          <w:rFonts w:ascii="Times New Roman" w:hAnsi="Times New Roman" w:cs="Times New Roman"/>
          <w:sz w:val="26"/>
          <w:szCs w:val="26"/>
        </w:rPr>
        <w:t>Faculty Award, 1991 </w:t>
      </w:r>
      <w:r w:rsidR="002D7DF8">
        <w:rPr>
          <w:rFonts w:ascii="Times New Roman" w:hAnsi="Times New Roman" w:cs="Times New Roman"/>
          <w:sz w:val="26"/>
          <w:szCs w:val="26"/>
        </w:rPr>
        <w:t xml:space="preserve">                          </w:t>
      </w:r>
      <w:r>
        <w:rPr>
          <w:rFonts w:ascii="Times New Roman" w:hAnsi="Times New Roman" w:cs="Times New Roman"/>
          <w:sz w:val="26"/>
          <w:szCs w:val="26"/>
        </w:rPr>
        <w:t xml:space="preserve">Notes and Comments Editor, </w:t>
      </w:r>
      <w:r>
        <w:rPr>
          <w:rFonts w:ascii="Times" w:hAnsi="Times" w:cs="Times"/>
          <w:i/>
          <w:iCs/>
          <w:sz w:val="26"/>
          <w:szCs w:val="26"/>
        </w:rPr>
        <w:t xml:space="preserve">Connecticut Probate Law Journal, </w:t>
      </w:r>
      <w:r>
        <w:rPr>
          <w:rFonts w:ascii="Times New Roman" w:hAnsi="Times New Roman" w:cs="Times New Roman"/>
          <w:sz w:val="26"/>
          <w:szCs w:val="26"/>
        </w:rPr>
        <w:t>1989 to 1991 </w:t>
      </w:r>
      <w:r w:rsidR="002D7DF8">
        <w:rPr>
          <w:rFonts w:ascii="Times New Roman" w:hAnsi="Times New Roman" w:cs="Times New Roman"/>
          <w:sz w:val="26"/>
          <w:szCs w:val="26"/>
        </w:rPr>
        <w:t xml:space="preserve">            </w:t>
      </w:r>
      <w:r>
        <w:rPr>
          <w:rFonts w:ascii="Times New Roman" w:hAnsi="Times New Roman" w:cs="Times New Roman"/>
          <w:sz w:val="26"/>
          <w:szCs w:val="26"/>
        </w:rPr>
        <w:t>Internship: United States Court of Appeals for the Second Circuit, Fall 1989 Chambers of Judge J. Daniel Mahoney. Drafted bench memoranda and assisted judge in preparation for oral argument; wrote draft opinions.</w:t>
      </w:r>
    </w:p>
    <w:p w:rsidR="00B369F6" w:rsidRDefault="00FA3733" w:rsidP="00FA3733">
      <w:pPr>
        <w:widowControl w:val="0"/>
        <w:autoSpaceDE w:val="0"/>
        <w:autoSpaceDN w:val="0"/>
        <w:adjustRightInd w:val="0"/>
        <w:spacing w:after="240"/>
        <w:rPr>
          <w:rFonts w:ascii="Times New Roman" w:hAnsi="Times New Roman" w:cs="Times New Roman"/>
          <w:sz w:val="26"/>
          <w:szCs w:val="26"/>
        </w:rPr>
      </w:pPr>
      <w:r>
        <w:rPr>
          <w:rFonts w:ascii="Times" w:hAnsi="Times" w:cs="Times"/>
          <w:b/>
          <w:bCs/>
          <w:i/>
          <w:iCs/>
          <w:sz w:val="26"/>
          <w:szCs w:val="26"/>
        </w:rPr>
        <w:t xml:space="preserve">Bachelor of Arts, </w:t>
      </w:r>
      <w:r>
        <w:rPr>
          <w:rFonts w:ascii="Times New Roman" w:hAnsi="Times New Roman" w:cs="Times New Roman"/>
          <w:sz w:val="26"/>
          <w:szCs w:val="26"/>
        </w:rPr>
        <w:t xml:space="preserve">University of Vermont, Burlington, Vermont, 1986 </w:t>
      </w:r>
    </w:p>
    <w:p w:rsidR="00FA3733" w:rsidRDefault="00FA3733" w:rsidP="00FA3733">
      <w:pPr>
        <w:widowControl w:val="0"/>
        <w:autoSpaceDE w:val="0"/>
        <w:autoSpaceDN w:val="0"/>
        <w:adjustRightInd w:val="0"/>
        <w:spacing w:after="240"/>
        <w:rPr>
          <w:rFonts w:ascii="Times" w:hAnsi="Times" w:cs="Times"/>
        </w:rPr>
      </w:pPr>
      <w:r>
        <w:rPr>
          <w:rFonts w:ascii="Times" w:hAnsi="Times" w:cs="Times"/>
          <w:b/>
          <w:bCs/>
          <w:sz w:val="26"/>
          <w:szCs w:val="26"/>
        </w:rPr>
        <w:t>LANGUAGES</w:t>
      </w:r>
    </w:p>
    <w:p w:rsidR="00FA3733" w:rsidRDefault="00FA3733" w:rsidP="00FA3733">
      <w:pPr>
        <w:widowControl w:val="0"/>
        <w:autoSpaceDE w:val="0"/>
        <w:autoSpaceDN w:val="0"/>
        <w:adjustRightInd w:val="0"/>
        <w:spacing w:after="240"/>
        <w:rPr>
          <w:rFonts w:ascii="Times" w:hAnsi="Times" w:cs="Times"/>
        </w:rPr>
      </w:pPr>
      <w:r>
        <w:rPr>
          <w:rFonts w:ascii="Times New Roman" w:hAnsi="Times New Roman" w:cs="Times New Roman"/>
          <w:sz w:val="26"/>
          <w:szCs w:val="26"/>
        </w:rPr>
        <w:t>French: Fluent</w:t>
      </w:r>
    </w:p>
    <w:p w:rsidR="00720F12" w:rsidRDefault="00720F12"/>
    <w:sectPr w:rsidR="00720F12" w:rsidSect="00023B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33"/>
    <w:rsid w:val="00023B3C"/>
    <w:rsid w:val="002D7DF8"/>
    <w:rsid w:val="00720F12"/>
    <w:rsid w:val="00AD2E1F"/>
    <w:rsid w:val="00B369F6"/>
    <w:rsid w:val="00FA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8373-72E4-4F4E-976D-072EEC44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Macintosh Word</Application>
  <DocSecurity>0</DocSecurity>
  <Lines>36</Lines>
  <Paragraphs>10</Paragraphs>
  <ScaleCrop>false</ScaleCrop>
  <Company>PIR</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2012-12-02T13:59:00Z</dcterms:created>
  <dcterms:modified xsi:type="dcterms:W3CDTF">2012-12-02T13:59:00Z</dcterms:modified>
</cp:coreProperties>
</file>