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PDP Working Group (</w:t>
      </w:r>
      <w:proofErr w:type="spellStart"/>
      <w:r>
        <w:rPr>
          <w:rFonts w:ascii="Helvetica" w:hAnsi="Helvetica" w:cs="Helvetica"/>
        </w:rPr>
        <w:t>called</w:t>
      </w:r>
      <w:proofErr w:type="spellEnd"/>
      <w:r>
        <w:rPr>
          <w:rFonts w:ascii="Helvetica" w:hAnsi="Helvetica" w:cs="Helvetica"/>
        </w:rPr>
        <w:t xml:space="preserve"> WG hereinafter)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dealing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multitude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questions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issues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an </w:t>
      </w:r>
      <w:proofErr w:type="spellStart"/>
      <w:r>
        <w:rPr>
          <w:rFonts w:ascii="Helvetica" w:hAnsi="Helvetica" w:cs="Helvetica"/>
        </w:rPr>
        <w:t>impact</w:t>
      </w:r>
      <w:proofErr w:type="spellEnd"/>
      <w:r>
        <w:rPr>
          <w:rFonts w:ascii="Helvetica" w:hAnsi="Helvetica" w:cs="Helvetica"/>
        </w:rPr>
        <w:t xml:space="preserve"> on </w:t>
      </w:r>
      <w:proofErr w:type="spellStart"/>
      <w:r>
        <w:rPr>
          <w:rFonts w:ascii="Helvetica" w:hAnsi="Helvetica" w:cs="Helvetica"/>
        </w:rPr>
        <w:t>both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question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whether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granted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what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qualification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place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fulfilled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eligibility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how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protections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operationalized</w:t>
      </w:r>
      <w:proofErr w:type="spellEnd"/>
      <w:r>
        <w:rPr>
          <w:rFonts w:ascii="Helvetica" w:hAnsi="Helvetica" w:cs="Helvetica"/>
        </w:rPr>
        <w:t xml:space="preserve">. Below, </w:t>
      </w:r>
      <w:proofErr w:type="spellStart"/>
      <w:r>
        <w:rPr>
          <w:rFonts w:ascii="Helvetica" w:hAnsi="Helvetica" w:cs="Helvetica"/>
        </w:rPr>
        <w:t>two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examples</w:t>
      </w:r>
      <w:bookmarkStart w:id="0" w:name="_GoBack"/>
      <w:bookmarkEnd w:id="0"/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found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shall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illustrate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complexity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matter: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I. 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Several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requesting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special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certain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designations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reserved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list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same time </w:t>
      </w:r>
      <w:proofErr w:type="spellStart"/>
      <w:r>
        <w:rPr>
          <w:rFonts w:ascii="Helvetica" w:hAnsi="Helvetica" w:cs="Helvetica"/>
        </w:rPr>
        <w:t>they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use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designations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case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wish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them</w:t>
      </w:r>
      <w:proofErr w:type="spellEnd"/>
      <w:r>
        <w:rPr>
          <w:rFonts w:ascii="Helvetica" w:hAnsi="Helvetica" w:cs="Helvetica"/>
        </w:rPr>
        <w:t xml:space="preserve">. 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present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there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mechanism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prevent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third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registrations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certain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designations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taking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place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same time </w:t>
      </w:r>
      <w:proofErr w:type="spellStart"/>
      <w:r>
        <w:rPr>
          <w:rFonts w:ascii="Helvetica" w:hAnsi="Helvetica" w:cs="Helvetica"/>
        </w:rPr>
        <w:t>allowing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easy </w:t>
      </w:r>
      <w:proofErr w:type="spellStart"/>
      <w:r>
        <w:rPr>
          <w:rFonts w:ascii="Helvetica" w:hAnsi="Helvetica" w:cs="Helvetica"/>
        </w:rPr>
        <w:t>access</w:t>
      </w:r>
      <w:proofErr w:type="spellEnd"/>
      <w:r>
        <w:rPr>
          <w:rFonts w:ascii="Helvetica" w:hAnsi="Helvetica" w:cs="Helvetica"/>
        </w:rPr>
        <w:t xml:space="preserve"> upon </w:t>
      </w:r>
      <w:proofErr w:type="spellStart"/>
      <w:r>
        <w:rPr>
          <w:rFonts w:ascii="Helvetica" w:hAnsi="Helvetica" w:cs="Helvetica"/>
        </w:rPr>
        <w:t>request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Hence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types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mechanisms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considered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deliberations</w:t>
      </w:r>
      <w:proofErr w:type="spellEnd"/>
      <w:r>
        <w:rPr>
          <w:rFonts w:ascii="Helvetica" w:hAnsi="Helvetica" w:cs="Helvetica"/>
        </w:rPr>
        <w:t xml:space="preserve"> oft he WG.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II.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 Cross/</w:t>
      </w: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 Crescent Movement,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IOC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IGOs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stated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organization's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international </w:t>
      </w:r>
      <w:proofErr w:type="spellStart"/>
      <w:r>
        <w:rPr>
          <w:rFonts w:ascii="Helvetica" w:hAnsi="Helvetica" w:cs="Helvetica"/>
        </w:rPr>
        <w:t>treaties</w:t>
      </w:r>
      <w:proofErr w:type="spellEnd"/>
      <w:r>
        <w:rPr>
          <w:rFonts w:ascii="Helvetica" w:hAnsi="Helvetica" w:cs="Helvetica"/>
        </w:rPr>
        <w:t>,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specifically</w:t>
      </w:r>
      <w:proofErr w:type="spellEnd"/>
      <w:r>
        <w:rPr>
          <w:rFonts w:ascii="Helvetica" w:hAnsi="Helvetica" w:cs="Helvetica"/>
        </w:rPr>
        <w:t xml:space="preserve">: The </w:t>
      </w:r>
      <w:proofErr w:type="spellStart"/>
      <w:r>
        <w:rPr>
          <w:rFonts w:ascii="Helvetica" w:hAnsi="Helvetica" w:cs="Helvetica"/>
        </w:rPr>
        <w:t>Treaties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Geneva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Conventions</w:t>
      </w:r>
      <w:proofErr w:type="spellEnd"/>
      <w:r>
        <w:rPr>
          <w:rFonts w:ascii="Helvetica" w:hAnsi="Helvetica" w:cs="Helvetica"/>
        </w:rPr>
        <w:t xml:space="preserve">, The Nairobi Treaty </w:t>
      </w:r>
      <w:proofErr w:type="spellStart"/>
      <w:r>
        <w:rPr>
          <w:rFonts w:ascii="Helvetica" w:hAnsi="Helvetica" w:cs="Helvetica"/>
        </w:rPr>
        <w:t>and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Article</w:t>
      </w:r>
      <w:proofErr w:type="spellEnd"/>
      <w:r>
        <w:rPr>
          <w:rFonts w:ascii="Helvetica" w:hAnsi="Helvetica" w:cs="Helvetica"/>
        </w:rPr>
        <w:t xml:space="preserve"> 6ter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Paris </w:t>
      </w:r>
      <w:proofErr w:type="spellStart"/>
      <w:r>
        <w:rPr>
          <w:rFonts w:ascii="Helvetica" w:hAnsi="Helvetica" w:cs="Helvetica"/>
        </w:rPr>
        <w:t>Convention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respectively</w:t>
      </w:r>
      <w:proofErr w:type="spellEnd"/>
      <w:r>
        <w:rPr>
          <w:rFonts w:ascii="Helvetica" w:hAnsi="Helvetica" w:cs="Helvetica"/>
        </w:rPr>
        <w:t xml:space="preserve">. The PDP WG </w:t>
      </w:r>
      <w:proofErr w:type="spellStart"/>
      <w:r>
        <w:rPr>
          <w:rFonts w:ascii="Helvetica" w:hAnsi="Helvetica" w:cs="Helvetica"/>
        </w:rPr>
        <w:t>members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have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noted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Final </w:t>
      </w:r>
      <w:proofErr w:type="spellStart"/>
      <w:r>
        <w:rPr>
          <w:rFonts w:ascii="Helvetica" w:hAnsi="Helvetica" w:cs="Helvetica"/>
        </w:rPr>
        <w:t>Issue</w:t>
      </w:r>
      <w:proofErr w:type="spellEnd"/>
      <w:r>
        <w:rPr>
          <w:rFonts w:ascii="Helvetica" w:hAnsi="Helvetica" w:cs="Helvetica"/>
        </w:rPr>
        <w:t xml:space="preserve"> Report (</w:t>
      </w:r>
      <w:proofErr w:type="spellStart"/>
      <w:r>
        <w:rPr>
          <w:rFonts w:ascii="Helvetica" w:hAnsi="Helvetica" w:cs="Helvetica"/>
        </w:rPr>
        <w:t>see</w:t>
      </w:r>
      <w:proofErr w:type="spellEnd"/>
      <w:r>
        <w:rPr>
          <w:rFonts w:ascii="Helvetica" w:hAnsi="Helvetica" w:cs="Helvetica"/>
        </w:rPr>
        <w:t xml:space="preserve"> pp.35-42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 w:rsidRPr="007F0C3F">
          <w:rPr>
            <w:rFonts w:ascii="Helvetica" w:hAnsi="Helvetica" w:cs="Helvetica"/>
          </w:rPr>
          <w:t>http://gnso.icann.org/en/issues/protection-igo-names-final-issue-report-01oc</w:t>
        </w:r>
      </w:hyperlink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t12-en.pdf) </w:t>
      </w:r>
      <w:proofErr w:type="spellStart"/>
      <w:r>
        <w:rPr>
          <w:rFonts w:ascii="Helvetica" w:hAnsi="Helvetica" w:cs="Helvetica"/>
        </w:rPr>
        <w:t>points</w:t>
      </w:r>
      <w:proofErr w:type="spellEnd"/>
      <w:r>
        <w:rPr>
          <w:rFonts w:ascii="Helvetica" w:hAnsi="Helvetica" w:cs="Helvetica"/>
        </w:rPr>
        <w:t xml:space="preserve"> out </w:t>
      </w:r>
      <w:proofErr w:type="spellStart"/>
      <w:r>
        <w:rPr>
          <w:rFonts w:ascii="Helvetica" w:hAnsi="Helvetica" w:cs="Helvetica"/>
        </w:rPr>
        <w:t>however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disagreements</w:t>
      </w:r>
      <w:proofErr w:type="spellEnd"/>
      <w:r>
        <w:rPr>
          <w:rFonts w:ascii="Helvetica" w:hAnsi="Helvetica" w:cs="Helvetica"/>
        </w:rPr>
        <w:t xml:space="preserve"> in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construing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scope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provided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organization's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well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limitations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treaties</w:t>
      </w:r>
      <w:proofErr w:type="spellEnd"/>
      <w:r>
        <w:rPr>
          <w:rFonts w:ascii="Helvetica" w:hAnsi="Helvetica" w:cs="Helvetica"/>
        </w:rPr>
        <w:t>.  </w:t>
      </w:r>
      <w:proofErr w:type="spellStart"/>
      <w:r>
        <w:rPr>
          <w:rFonts w:ascii="Helvetica" w:hAnsi="Helvetica" w:cs="Helvetica"/>
        </w:rPr>
        <w:t>For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example</w:t>
      </w:r>
      <w:proofErr w:type="spellEnd"/>
      <w:r>
        <w:rPr>
          <w:rFonts w:ascii="Helvetica" w:hAnsi="Helvetica" w:cs="Helvetica"/>
        </w:rPr>
        <w:t xml:space="preserve">: 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1) The Nairobi Treaty </w:t>
      </w:r>
      <w:proofErr w:type="spellStart"/>
      <w:r>
        <w:rPr>
          <w:rFonts w:ascii="Helvetica" w:hAnsi="Helvetica" w:cs="Helvetica"/>
        </w:rPr>
        <w:t>specifically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extends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Olympic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emblem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but not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Olympic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>.  </w:t>
      </w:r>
      <w:proofErr w:type="spellStart"/>
      <w:r>
        <w:rPr>
          <w:rFonts w:ascii="Helvetica" w:hAnsi="Helvetica" w:cs="Helvetica"/>
        </w:rPr>
        <w:t>While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GAC </w:t>
      </w:r>
      <w:proofErr w:type="spellStart"/>
      <w:r>
        <w:rPr>
          <w:rFonts w:ascii="Helvetica" w:hAnsi="Helvetica" w:cs="Helvetica"/>
        </w:rPr>
        <w:t>has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acknowledged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this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treaty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Olympic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emblem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extends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Olympic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some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members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PDP WG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provided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submissions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disagreeing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this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interpretation</w:t>
      </w:r>
      <w:proofErr w:type="spellEnd"/>
      <w:r>
        <w:rPr>
          <w:rFonts w:ascii="Helvetica" w:hAnsi="Helvetica" w:cs="Helvetica"/>
        </w:rPr>
        <w:t>.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2) </w:t>
      </w:r>
      <w:proofErr w:type="spellStart"/>
      <w:r>
        <w:rPr>
          <w:rFonts w:ascii="Helvetica" w:hAnsi="Helvetica" w:cs="Helvetica"/>
        </w:rPr>
        <w:t>Although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 Cross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widely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accepted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under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Treaties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Geneva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Conventions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Crescent,"</w:t>
      </w:r>
      <w:proofErr w:type="gram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Red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Crystal"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 Lion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Sun"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not </w:t>
      </w:r>
      <w:proofErr w:type="spellStart"/>
      <w:r>
        <w:rPr>
          <w:rFonts w:ascii="Helvetica" w:hAnsi="Helvetica" w:cs="Helvetica"/>
        </w:rPr>
        <w:t>universally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under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Geneva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Conventions</w:t>
      </w:r>
      <w:proofErr w:type="spellEnd"/>
      <w:r>
        <w:rPr>
          <w:rFonts w:ascii="Helvetica" w:hAnsi="Helvetica" w:cs="Helvetica"/>
        </w:rPr>
        <w:t>.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3)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regard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scope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which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Article</w:t>
      </w:r>
      <w:proofErr w:type="spellEnd"/>
      <w:r>
        <w:rPr>
          <w:rFonts w:ascii="Helvetica" w:hAnsi="Helvetica" w:cs="Helvetica"/>
        </w:rPr>
        <w:t xml:space="preserve"> 6ter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Paris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Convention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provides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IGO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acronyms</w:t>
      </w:r>
      <w:proofErr w:type="spellEnd"/>
      <w:r>
        <w:rPr>
          <w:rFonts w:ascii="Helvetica" w:hAnsi="Helvetica" w:cs="Helvetica"/>
        </w:rPr>
        <w:t xml:space="preserve">, not all countries </w:t>
      </w:r>
      <w:proofErr w:type="spellStart"/>
      <w:r>
        <w:rPr>
          <w:rFonts w:ascii="Helvetica" w:hAnsi="Helvetica" w:cs="Helvetica"/>
        </w:rPr>
        <w:t>agree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Article</w:t>
      </w:r>
      <w:proofErr w:type="spellEnd"/>
      <w:r>
        <w:rPr>
          <w:rFonts w:ascii="Helvetica" w:hAnsi="Helvetica" w:cs="Helvetica"/>
        </w:rPr>
        <w:t xml:space="preserve"> 6ter </w:t>
      </w:r>
      <w:proofErr w:type="spellStart"/>
      <w:r>
        <w:rPr>
          <w:rFonts w:ascii="Helvetica" w:hAnsi="Helvetica" w:cs="Helvetica"/>
        </w:rPr>
        <w:t>provides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automatic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IGO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least in </w:t>
      </w:r>
      <w:proofErr w:type="spellStart"/>
      <w:r>
        <w:rPr>
          <w:rFonts w:ascii="Helvetica" w:hAnsi="Helvetica" w:cs="Helvetica"/>
        </w:rPr>
        <w:t>respect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protecting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third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domain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registration</w:t>
      </w:r>
      <w:proofErr w:type="spellEnd"/>
      <w:r>
        <w:rPr>
          <w:rFonts w:ascii="Helvetica" w:hAnsi="Helvetica" w:cs="Helvetica"/>
        </w:rPr>
        <w:t>.  The PDP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WG </w:t>
      </w:r>
      <w:proofErr w:type="spellStart"/>
      <w:r>
        <w:rPr>
          <w:rFonts w:ascii="Helvetica" w:hAnsi="Helvetica" w:cs="Helvetica"/>
        </w:rPr>
        <w:t>has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GAC's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advice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protect</w:t>
      </w:r>
      <w:proofErr w:type="spellEnd"/>
      <w:r>
        <w:rPr>
          <w:rFonts w:ascii="Helvetica" w:hAnsi="Helvetica" w:cs="Helvetica"/>
        </w:rPr>
        <w:t xml:space="preserve"> IGO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second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level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first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round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gTLDs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include</w:t>
      </w:r>
      <w:proofErr w:type="spellEnd"/>
      <w:r>
        <w:rPr>
          <w:rFonts w:ascii="Helvetica" w:hAnsi="Helvetica" w:cs="Helvetica"/>
        </w:rPr>
        <w:t xml:space="preserve"> IGOs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qualify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  <w:proofErr w:type="spellStart"/>
      <w:r>
        <w:rPr>
          <w:rFonts w:ascii="Helvetica" w:hAnsi="Helvetica" w:cs="Helvetica"/>
        </w:rPr>
        <w:t>int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domain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rather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Article</w:t>
      </w:r>
      <w:proofErr w:type="spellEnd"/>
      <w:r>
        <w:rPr>
          <w:rFonts w:ascii="Helvetica" w:hAnsi="Helvetica" w:cs="Helvetica"/>
        </w:rPr>
        <w:t xml:space="preserve"> 6ter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.  In </w:t>
      </w:r>
      <w:proofErr w:type="spellStart"/>
      <w:r>
        <w:rPr>
          <w:rFonts w:ascii="Helvetica" w:hAnsi="Helvetica" w:cs="Helvetica"/>
        </w:rPr>
        <w:t>addition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Article</w:t>
      </w:r>
      <w:proofErr w:type="spellEnd"/>
      <w:r>
        <w:rPr>
          <w:rFonts w:ascii="Helvetica" w:hAnsi="Helvetica" w:cs="Helvetica"/>
        </w:rPr>
        <w:t xml:space="preserve"> 6ter </w:t>
      </w:r>
      <w:proofErr w:type="spellStart"/>
      <w:r>
        <w:rPr>
          <w:rFonts w:ascii="Helvetica" w:hAnsi="Helvetica" w:cs="Helvetica"/>
        </w:rPr>
        <w:t>has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limitations</w:t>
      </w:r>
      <w:proofErr w:type="spellEnd"/>
      <w:r>
        <w:rPr>
          <w:rFonts w:ascii="Helvetica" w:hAnsi="Helvetica" w:cs="Helvetica"/>
        </w:rPr>
        <w:t xml:space="preserve"> on such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>.</w:t>
      </w:r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example,</w:t>
      </w:r>
      <w:proofErr w:type="gramStart"/>
      <w:r>
        <w:rPr>
          <w:rFonts w:ascii="Helvetica" w:hAnsi="Helvetica" w:cs="Helvetica"/>
        </w:rPr>
        <w:t>under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Article</w:t>
      </w:r>
      <w:proofErr w:type="spellEnd"/>
      <w:r>
        <w:rPr>
          <w:rFonts w:ascii="Helvetica" w:hAnsi="Helvetica" w:cs="Helvetica"/>
        </w:rPr>
        <w:t xml:space="preserve"> 6ter 1(c) </w:t>
      </w:r>
      <w:proofErr w:type="spellStart"/>
      <w:r>
        <w:rPr>
          <w:rFonts w:ascii="Helvetica" w:hAnsi="Helvetica" w:cs="Helvetica"/>
        </w:rPr>
        <w:t>protection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IGO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not </w:t>
      </w:r>
      <w:proofErr w:type="spellStart"/>
      <w:r>
        <w:rPr>
          <w:rFonts w:ascii="Helvetica" w:hAnsi="Helvetica" w:cs="Helvetica"/>
        </w:rPr>
        <w:t>required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"</w:t>
      </w:r>
      <w:proofErr w:type="spellStart"/>
      <w:r>
        <w:rPr>
          <w:rFonts w:ascii="Helvetica" w:hAnsi="Helvetica" w:cs="Helvetica"/>
        </w:rPr>
        <w:t>when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registration</w:t>
      </w:r>
      <w:proofErr w:type="spellEnd"/>
      <w:r>
        <w:rPr>
          <w:rFonts w:ascii="Helvetica" w:hAnsi="Helvetica" w:cs="Helvetica"/>
        </w:rPr>
        <w:t>...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not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such a </w:t>
      </w:r>
      <w:proofErr w:type="spellStart"/>
      <w:r>
        <w:rPr>
          <w:rFonts w:ascii="Helvetica" w:hAnsi="Helvetica" w:cs="Helvetica"/>
        </w:rPr>
        <w:t>nature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suggest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public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connection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exists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between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concerned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armorial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bearings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flags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emblems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abbreviations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names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if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use</w:t>
      </w:r>
      <w:proofErr w:type="spellEnd"/>
    </w:p>
    <w:p w:rsidR="00A042AF" w:rsidRDefault="00A042AF" w:rsidP="00A04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probably</w:t>
      </w:r>
      <w:proofErr w:type="spellEnd"/>
      <w:r>
        <w:rPr>
          <w:rFonts w:ascii="Helvetica" w:hAnsi="Helvetica" w:cs="Helvetica"/>
        </w:rPr>
        <w:t xml:space="preserve"> not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such a </w:t>
      </w:r>
      <w:proofErr w:type="spellStart"/>
      <w:r>
        <w:rPr>
          <w:rFonts w:ascii="Helvetica" w:hAnsi="Helvetica" w:cs="Helvetica"/>
        </w:rPr>
        <w:t>nature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mislead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public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</w:p>
    <w:p w:rsidR="00380094" w:rsidRDefault="00A042AF" w:rsidP="007F0C3F">
      <w:pPr>
        <w:widowControl w:val="0"/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existence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connection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between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organization</w:t>
      </w:r>
      <w:proofErr w:type="spellEnd"/>
      <w:r>
        <w:rPr>
          <w:rFonts w:ascii="Helvetica" w:hAnsi="Helvetica" w:cs="Helvetica"/>
        </w:rPr>
        <w:t>."</w:t>
      </w:r>
    </w:p>
    <w:sectPr w:rsidR="00380094" w:rsidSect="003800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F"/>
    <w:rsid w:val="00380094"/>
    <w:rsid w:val="007F0C3F"/>
    <w:rsid w:val="00A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6F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nso.icann.org/en/issues/protection-igo-names-final-issue-report-01o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2840</Characters>
  <Application>Microsoft Macintosh Word</Application>
  <DocSecurity>0</DocSecurity>
  <Lines>23</Lines>
  <Paragraphs>6</Paragraphs>
  <ScaleCrop>false</ScaleCrop>
  <Company>Schollmeyer &amp; Rickert RA-GmbH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Rickert</dc:creator>
  <cp:keywords/>
  <dc:description/>
  <cp:lastModifiedBy>Thomas Rickert</cp:lastModifiedBy>
  <cp:revision>1</cp:revision>
  <dcterms:created xsi:type="dcterms:W3CDTF">2013-01-27T16:07:00Z</dcterms:created>
  <dcterms:modified xsi:type="dcterms:W3CDTF">2013-01-27T16:26:00Z</dcterms:modified>
</cp:coreProperties>
</file>