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3B" w:rsidRDefault="003D5623" w:rsidP="00C10255">
      <w:pPr>
        <w:jc w:val="center"/>
        <w:rPr>
          <w:rFonts w:asciiTheme="majorHAnsi" w:hAnsiTheme="majorHAnsi"/>
          <w:b/>
        </w:rPr>
      </w:pPr>
      <w:r w:rsidRPr="00C10255">
        <w:rPr>
          <w:rFonts w:asciiTheme="majorHAnsi" w:hAnsiTheme="majorHAnsi"/>
          <w:b/>
        </w:rPr>
        <w:t>Proposed Timeline for Board-GAC Consultation Process</w:t>
      </w:r>
    </w:p>
    <w:p w:rsidR="00DA59D0" w:rsidRPr="00C10255" w:rsidRDefault="00DA59D0" w:rsidP="00C10255">
      <w:pPr>
        <w:jc w:val="center"/>
        <w:rPr>
          <w:rFonts w:asciiTheme="majorHAnsi" w:hAnsiTheme="majorHAnsi"/>
          <w:b/>
        </w:rPr>
      </w:pPr>
    </w:p>
    <w:p w:rsidR="00DA59D0" w:rsidRPr="00DA59D0" w:rsidRDefault="003D5623">
      <w:pPr>
        <w:rPr>
          <w:rFonts w:asciiTheme="majorHAnsi" w:hAnsiTheme="majorHAnsi"/>
          <w:b/>
          <w:bCs/>
        </w:rPr>
      </w:pPr>
      <w:r w:rsidRPr="00737A81">
        <w:rPr>
          <w:rFonts w:asciiTheme="majorHAnsi" w:hAnsiTheme="majorHAnsi"/>
        </w:rPr>
        <w:t xml:space="preserve">To be read in conjunction with </w:t>
      </w:r>
      <w:r w:rsidR="00362182" w:rsidRPr="00737A81">
        <w:rPr>
          <w:rFonts w:asciiTheme="majorHAnsi" w:hAnsiTheme="majorHAnsi"/>
        </w:rPr>
        <w:t>“</w:t>
      </w:r>
      <w:r w:rsidR="00362182" w:rsidRPr="00737A81">
        <w:rPr>
          <w:rFonts w:asciiTheme="majorHAnsi" w:hAnsiTheme="majorHAnsi"/>
          <w:b/>
          <w:bCs/>
        </w:rPr>
        <w:t>Process for Consultations between the ICANN Board of Directors (“Board”) and the Governmental Advisory Committee (“GAC”), including those required pursuant to Article XI Section 2.1.j of the ICANN Bylaws”</w:t>
      </w:r>
    </w:p>
    <w:p w:rsidR="00362182" w:rsidRPr="00737A81" w:rsidRDefault="00362182">
      <w:pPr>
        <w:rPr>
          <w:rFonts w:asciiTheme="majorHAnsi" w:hAnsiTheme="majorHAnsi"/>
          <w:b/>
          <w:bCs/>
        </w:rPr>
      </w:pPr>
    </w:p>
    <w:p w:rsidR="00343533" w:rsidRDefault="00117C36">
      <w:pPr>
        <w:rPr>
          <w:rFonts w:asciiTheme="majorHAnsi" w:hAnsiTheme="majorHAnsi"/>
        </w:rPr>
      </w:pPr>
      <w:r w:rsidRPr="00737A81">
        <w:rPr>
          <w:rFonts w:asciiTheme="majorHAnsi" w:hAnsiTheme="majorHAnsi"/>
        </w:rPr>
        <w:t>This timeline begins at Step 2 of the Process</w:t>
      </w:r>
      <w:r w:rsidR="00DA59D0">
        <w:rPr>
          <w:rFonts w:asciiTheme="majorHAnsi" w:hAnsiTheme="majorHAnsi"/>
        </w:rPr>
        <w:t xml:space="preserve"> for Consultations</w:t>
      </w:r>
      <w:r w:rsidR="00027788">
        <w:rPr>
          <w:rFonts w:asciiTheme="majorHAnsi" w:hAnsiTheme="majorHAnsi"/>
        </w:rPr>
        <w:t xml:space="preserve"> and proceeds through Step 6</w:t>
      </w:r>
      <w:r w:rsidR="00DA59D0">
        <w:rPr>
          <w:rFonts w:asciiTheme="majorHAnsi" w:hAnsiTheme="majorHAnsi"/>
        </w:rPr>
        <w:t>.  It is expected that the GAC and the Board will have, through clarifications on</w:t>
      </w:r>
      <w:r w:rsidR="00B8435D">
        <w:rPr>
          <w:rFonts w:asciiTheme="majorHAnsi" w:hAnsiTheme="majorHAnsi"/>
        </w:rPr>
        <w:t xml:space="preserve"> GAC A</w:t>
      </w:r>
      <w:r w:rsidR="00DA59D0">
        <w:rPr>
          <w:rFonts w:asciiTheme="majorHAnsi" w:hAnsiTheme="majorHAnsi"/>
        </w:rPr>
        <w:t>dvice</w:t>
      </w:r>
      <w:r w:rsidR="00B8435D">
        <w:rPr>
          <w:rFonts w:asciiTheme="majorHAnsi" w:hAnsiTheme="majorHAnsi"/>
        </w:rPr>
        <w:t xml:space="preserve"> set out in Ste</w:t>
      </w:r>
      <w:r w:rsidR="00E233CF">
        <w:rPr>
          <w:rFonts w:asciiTheme="majorHAnsi" w:hAnsiTheme="majorHAnsi"/>
        </w:rPr>
        <w:t>p 1, already addressed concerns related to the GAC Advice</w:t>
      </w:r>
      <w:r w:rsidR="00925BBB">
        <w:rPr>
          <w:rFonts w:asciiTheme="majorHAnsi" w:hAnsiTheme="majorHAnsi"/>
        </w:rPr>
        <w:t xml:space="preserve"> and the Board’s understanding of the Advice. </w:t>
      </w:r>
      <w:r w:rsidR="001F1802">
        <w:rPr>
          <w:rFonts w:asciiTheme="majorHAnsi" w:hAnsiTheme="majorHAnsi"/>
        </w:rPr>
        <w:t xml:space="preserve"> The Board and the GAC are expected to complete the Consultation Process</w:t>
      </w:r>
      <w:r w:rsidR="00696CD8">
        <w:rPr>
          <w:rFonts w:asciiTheme="majorHAnsi" w:hAnsiTheme="majorHAnsi"/>
        </w:rPr>
        <w:t xml:space="preserve"> within 6 months (180 days).</w:t>
      </w:r>
      <w:r w:rsidR="00063950">
        <w:rPr>
          <w:rFonts w:asciiTheme="majorHAnsi" w:hAnsiTheme="majorHAnsi"/>
        </w:rPr>
        <w:t xml:space="preserve">  </w:t>
      </w:r>
    </w:p>
    <w:p w:rsidR="00925BBB" w:rsidRPr="00737A81" w:rsidRDefault="00925BBB">
      <w:pPr>
        <w:rPr>
          <w:rFonts w:asciiTheme="majorHAnsi" w:hAnsiTheme="majorHAnsi"/>
        </w:rPr>
      </w:pPr>
    </w:p>
    <w:tbl>
      <w:tblPr>
        <w:tblStyle w:val="TableGrid"/>
        <w:tblW w:w="0" w:type="auto"/>
        <w:tblLook w:val="04A0"/>
      </w:tblPr>
      <w:tblGrid>
        <w:gridCol w:w="3177"/>
        <w:gridCol w:w="3172"/>
        <w:gridCol w:w="2507"/>
      </w:tblGrid>
      <w:tr w:rsidR="00A831EE" w:rsidRPr="00737A81" w:rsidTr="00C10255">
        <w:trPr>
          <w:tblHeader/>
        </w:trPr>
        <w:tc>
          <w:tcPr>
            <w:tcW w:w="3177" w:type="dxa"/>
          </w:tcPr>
          <w:p w:rsidR="00A831EE" w:rsidRPr="00C10255" w:rsidRDefault="00737A81" w:rsidP="00C10255">
            <w:pPr>
              <w:jc w:val="center"/>
              <w:rPr>
                <w:rFonts w:asciiTheme="majorHAnsi" w:hAnsiTheme="majorHAnsi"/>
                <w:b/>
              </w:rPr>
            </w:pPr>
            <w:r w:rsidRPr="00C10255">
              <w:rPr>
                <w:rFonts w:asciiTheme="majorHAnsi" w:hAnsiTheme="majorHAnsi"/>
                <w:b/>
              </w:rPr>
              <w:t>Required Action</w:t>
            </w:r>
          </w:p>
        </w:tc>
        <w:tc>
          <w:tcPr>
            <w:tcW w:w="3172" w:type="dxa"/>
          </w:tcPr>
          <w:p w:rsidR="00A831EE" w:rsidRPr="00C10255" w:rsidRDefault="00737A81" w:rsidP="00C10255">
            <w:pPr>
              <w:jc w:val="center"/>
              <w:rPr>
                <w:rFonts w:asciiTheme="majorHAnsi" w:hAnsiTheme="majorHAnsi"/>
                <w:b/>
              </w:rPr>
            </w:pPr>
            <w:r w:rsidRPr="00C10255">
              <w:rPr>
                <w:rFonts w:asciiTheme="majorHAnsi" w:hAnsiTheme="majorHAnsi"/>
                <w:b/>
              </w:rPr>
              <w:t xml:space="preserve">Proposed </w:t>
            </w:r>
            <w:r w:rsidR="00A831EE" w:rsidRPr="00C10255">
              <w:rPr>
                <w:rFonts w:asciiTheme="majorHAnsi" w:hAnsiTheme="majorHAnsi"/>
                <w:b/>
              </w:rPr>
              <w:t>Timeframe</w:t>
            </w:r>
          </w:p>
        </w:tc>
        <w:tc>
          <w:tcPr>
            <w:tcW w:w="2507" w:type="dxa"/>
          </w:tcPr>
          <w:p w:rsidR="00A831EE" w:rsidRPr="00C10255" w:rsidRDefault="004823D8" w:rsidP="00C10255">
            <w:pPr>
              <w:jc w:val="center"/>
              <w:rPr>
                <w:rFonts w:asciiTheme="majorHAnsi" w:hAnsiTheme="majorHAnsi"/>
                <w:b/>
              </w:rPr>
            </w:pPr>
            <w:r w:rsidRPr="00C10255">
              <w:rPr>
                <w:rFonts w:asciiTheme="majorHAnsi" w:hAnsiTheme="majorHAnsi"/>
                <w:b/>
              </w:rPr>
              <w:t xml:space="preserve">Maximum Proposed </w:t>
            </w:r>
            <w:r w:rsidR="00486C71" w:rsidRPr="00C10255">
              <w:rPr>
                <w:rFonts w:asciiTheme="majorHAnsi" w:hAnsiTheme="majorHAnsi"/>
                <w:b/>
              </w:rPr>
              <w:t>Days Elapsed</w:t>
            </w:r>
          </w:p>
        </w:tc>
      </w:tr>
      <w:tr w:rsidR="00A831EE" w:rsidRPr="00737A81" w:rsidTr="00A831EE">
        <w:tc>
          <w:tcPr>
            <w:tcW w:w="3177" w:type="dxa"/>
          </w:tcPr>
          <w:p w:rsidR="00A831EE" w:rsidRPr="00737A81" w:rsidRDefault="00A831EE">
            <w:pPr>
              <w:rPr>
                <w:rFonts w:asciiTheme="majorHAnsi" w:hAnsiTheme="majorHAnsi"/>
              </w:rPr>
            </w:pPr>
            <w:r w:rsidRPr="00737A81">
              <w:rPr>
                <w:rFonts w:asciiTheme="majorHAnsi" w:hAnsiTheme="majorHAnsi"/>
              </w:rPr>
              <w:t>Board provides written notice to the GAC stating, in reasonable detail, the GAC advice the Board determines not to follow, and the reasons why such GAC advice may not be followed.</w:t>
            </w:r>
            <w:r w:rsidR="00027788">
              <w:rPr>
                <w:rFonts w:asciiTheme="majorHAnsi" w:hAnsiTheme="majorHAnsi"/>
              </w:rPr>
              <w:t xml:space="preserve"> (Step 2)</w:t>
            </w:r>
          </w:p>
        </w:tc>
        <w:tc>
          <w:tcPr>
            <w:tcW w:w="3172" w:type="dxa"/>
          </w:tcPr>
          <w:p w:rsidR="00A831EE" w:rsidRPr="00737A81" w:rsidRDefault="00A831EE">
            <w:pPr>
              <w:rPr>
                <w:rFonts w:asciiTheme="majorHAnsi" w:hAnsiTheme="majorHAnsi"/>
              </w:rPr>
            </w:pPr>
            <w:r w:rsidRPr="00737A81">
              <w:rPr>
                <w:rFonts w:asciiTheme="majorHAnsi" w:hAnsiTheme="majorHAnsi"/>
              </w:rPr>
              <w:t>Begins the Process</w:t>
            </w:r>
          </w:p>
        </w:tc>
        <w:tc>
          <w:tcPr>
            <w:tcW w:w="2507" w:type="dxa"/>
          </w:tcPr>
          <w:p w:rsidR="00A831EE" w:rsidRPr="00737A81" w:rsidRDefault="00486C71">
            <w:pPr>
              <w:rPr>
                <w:rFonts w:asciiTheme="majorHAnsi" w:hAnsiTheme="majorHAnsi"/>
              </w:rPr>
            </w:pPr>
            <w:r w:rsidRPr="00737A81">
              <w:rPr>
                <w:rFonts w:asciiTheme="majorHAnsi" w:hAnsiTheme="majorHAnsi"/>
              </w:rPr>
              <w:t>0</w:t>
            </w:r>
          </w:p>
        </w:tc>
      </w:tr>
      <w:tr w:rsidR="00A831EE" w:rsidRPr="00737A81" w:rsidTr="00A831EE">
        <w:tc>
          <w:tcPr>
            <w:tcW w:w="3177" w:type="dxa"/>
          </w:tcPr>
          <w:p w:rsidR="00A831EE" w:rsidRPr="00737A81" w:rsidRDefault="00A831EE">
            <w:pPr>
              <w:rPr>
                <w:rFonts w:asciiTheme="majorHAnsi" w:hAnsiTheme="majorHAnsi"/>
              </w:rPr>
            </w:pPr>
            <w:r w:rsidRPr="00737A81">
              <w:rPr>
                <w:rFonts w:asciiTheme="majorHAnsi" w:hAnsiTheme="majorHAnsi"/>
              </w:rPr>
              <w:t>The GAC will be afforded a reasonable period of time to review the Board’s Notice and explanation, and to assess whether there are additional elements of GAC advice that it believes have been rejected by the Board.</w:t>
            </w:r>
            <w:r w:rsidR="00027788">
              <w:rPr>
                <w:rFonts w:asciiTheme="majorHAnsi" w:hAnsiTheme="majorHAnsi"/>
              </w:rPr>
              <w:t xml:space="preserve"> (Step 2)</w:t>
            </w:r>
          </w:p>
        </w:tc>
        <w:tc>
          <w:tcPr>
            <w:tcW w:w="3172" w:type="dxa"/>
          </w:tcPr>
          <w:p w:rsidR="00A831EE" w:rsidRPr="00737A81" w:rsidRDefault="008768C6">
            <w:pPr>
              <w:rPr>
                <w:rFonts w:asciiTheme="majorHAnsi" w:hAnsiTheme="majorHAnsi"/>
              </w:rPr>
            </w:pPr>
            <w:r>
              <w:rPr>
                <w:rFonts w:asciiTheme="majorHAnsi" w:hAnsiTheme="majorHAnsi"/>
              </w:rPr>
              <w:t>Within 45</w:t>
            </w:r>
            <w:r w:rsidR="00A831EE" w:rsidRPr="00737A81">
              <w:rPr>
                <w:rFonts w:asciiTheme="majorHAnsi" w:hAnsiTheme="majorHAnsi"/>
              </w:rPr>
              <w:t xml:space="preserve"> calendar days from the receipt of the Board’s notice and explanation</w:t>
            </w:r>
          </w:p>
        </w:tc>
        <w:tc>
          <w:tcPr>
            <w:tcW w:w="2507" w:type="dxa"/>
          </w:tcPr>
          <w:p w:rsidR="00A831EE" w:rsidRPr="00737A81" w:rsidRDefault="008768C6">
            <w:pPr>
              <w:rPr>
                <w:rFonts w:asciiTheme="majorHAnsi" w:hAnsiTheme="majorHAnsi"/>
              </w:rPr>
            </w:pPr>
            <w:r>
              <w:rPr>
                <w:rFonts w:asciiTheme="majorHAnsi" w:hAnsiTheme="majorHAnsi"/>
              </w:rPr>
              <w:t>45</w:t>
            </w:r>
            <w:r w:rsidR="00486C71" w:rsidRPr="00737A81">
              <w:rPr>
                <w:rFonts w:asciiTheme="majorHAnsi" w:hAnsiTheme="majorHAnsi"/>
              </w:rPr>
              <w:t xml:space="preserve"> days</w:t>
            </w:r>
          </w:p>
        </w:tc>
      </w:tr>
      <w:tr w:rsidR="00A831EE" w:rsidRPr="00737A81" w:rsidTr="00A831EE">
        <w:tc>
          <w:tcPr>
            <w:tcW w:w="3177" w:type="dxa"/>
          </w:tcPr>
          <w:p w:rsidR="00A831EE" w:rsidRPr="00737A81" w:rsidRDefault="00A831EE">
            <w:pPr>
              <w:rPr>
                <w:rFonts w:asciiTheme="majorHAnsi" w:hAnsiTheme="majorHAnsi"/>
              </w:rPr>
            </w:pPr>
            <w:r w:rsidRPr="00737A81">
              <w:rPr>
                <w:rFonts w:asciiTheme="majorHAnsi" w:hAnsiTheme="majorHAnsi"/>
              </w:rPr>
              <w:t>Chair of the GAC and the Chair of the Board will confer as to an appropriate time and agenda for a meeting between the GAC and the Board (the “Bylaws Consultation”).</w:t>
            </w:r>
            <w:r w:rsidR="00027788">
              <w:rPr>
                <w:rFonts w:asciiTheme="majorHAnsi" w:hAnsiTheme="majorHAnsi"/>
              </w:rPr>
              <w:t xml:space="preserve"> </w:t>
            </w:r>
            <w:r w:rsidR="00FA28EB">
              <w:rPr>
                <w:rFonts w:asciiTheme="majorHAnsi" w:hAnsiTheme="majorHAnsi"/>
              </w:rPr>
              <w:t xml:space="preserve"> (Step 3)</w:t>
            </w:r>
          </w:p>
        </w:tc>
        <w:tc>
          <w:tcPr>
            <w:tcW w:w="3172" w:type="dxa"/>
          </w:tcPr>
          <w:p w:rsidR="00A831EE" w:rsidRPr="00737A81" w:rsidRDefault="00E32B3E">
            <w:pPr>
              <w:rPr>
                <w:rFonts w:asciiTheme="majorHAnsi" w:hAnsiTheme="majorHAnsi"/>
              </w:rPr>
            </w:pPr>
            <w:r>
              <w:rPr>
                <w:rFonts w:asciiTheme="majorHAnsi" w:hAnsiTheme="majorHAnsi"/>
              </w:rPr>
              <w:t>Within 15</w:t>
            </w:r>
            <w:r w:rsidR="00A831EE" w:rsidRPr="00737A81">
              <w:rPr>
                <w:rFonts w:asciiTheme="majorHAnsi" w:hAnsiTheme="majorHAnsi"/>
              </w:rPr>
              <w:t xml:space="preserve"> calendar days from the receipt of the GAC assessment of the Board’s notice and explanation</w:t>
            </w:r>
          </w:p>
        </w:tc>
        <w:tc>
          <w:tcPr>
            <w:tcW w:w="2507" w:type="dxa"/>
          </w:tcPr>
          <w:p w:rsidR="00A831EE" w:rsidRPr="00737A81" w:rsidRDefault="00E32B3E">
            <w:pPr>
              <w:rPr>
                <w:rFonts w:asciiTheme="majorHAnsi" w:hAnsiTheme="majorHAnsi"/>
              </w:rPr>
            </w:pPr>
            <w:r>
              <w:rPr>
                <w:rFonts w:asciiTheme="majorHAnsi" w:hAnsiTheme="majorHAnsi"/>
              </w:rPr>
              <w:t>60</w:t>
            </w:r>
            <w:r w:rsidR="00486C71" w:rsidRPr="00737A81">
              <w:rPr>
                <w:rFonts w:asciiTheme="majorHAnsi" w:hAnsiTheme="majorHAnsi"/>
              </w:rPr>
              <w:t xml:space="preserve"> days</w:t>
            </w:r>
          </w:p>
        </w:tc>
      </w:tr>
      <w:tr w:rsidR="00A831EE" w:rsidRPr="00737A81" w:rsidTr="00A831EE">
        <w:tc>
          <w:tcPr>
            <w:tcW w:w="3177" w:type="dxa"/>
          </w:tcPr>
          <w:p w:rsidR="00A831EE" w:rsidRPr="00737A81" w:rsidRDefault="00A831EE">
            <w:pPr>
              <w:rPr>
                <w:rFonts w:asciiTheme="majorHAnsi" w:hAnsiTheme="majorHAnsi"/>
              </w:rPr>
            </w:pPr>
            <w:r w:rsidRPr="00737A81">
              <w:rPr>
                <w:rFonts w:asciiTheme="majorHAnsi" w:hAnsiTheme="majorHAnsi"/>
              </w:rPr>
              <w:t>All issues related to the meeting are identified and agreed upon between the GAC and Board prior to the consultation.</w:t>
            </w:r>
            <w:r w:rsidR="00FA28EB">
              <w:rPr>
                <w:rFonts w:asciiTheme="majorHAnsi" w:hAnsiTheme="majorHAnsi"/>
              </w:rPr>
              <w:t xml:space="preserve"> (Step 3)</w:t>
            </w:r>
          </w:p>
        </w:tc>
        <w:tc>
          <w:tcPr>
            <w:tcW w:w="3172" w:type="dxa"/>
          </w:tcPr>
          <w:p w:rsidR="00A831EE" w:rsidRPr="00737A81" w:rsidRDefault="00A831EE">
            <w:pPr>
              <w:rPr>
                <w:rFonts w:asciiTheme="majorHAnsi" w:hAnsiTheme="majorHAnsi"/>
              </w:rPr>
            </w:pPr>
            <w:r w:rsidRPr="00737A81">
              <w:rPr>
                <w:rFonts w:asciiTheme="majorHAnsi" w:hAnsiTheme="majorHAnsi"/>
              </w:rPr>
              <w:t>Within 30 calendar days from the receipt of the GAC assessment of the Board’s notice and explanation</w:t>
            </w:r>
          </w:p>
        </w:tc>
        <w:tc>
          <w:tcPr>
            <w:tcW w:w="2507" w:type="dxa"/>
          </w:tcPr>
          <w:p w:rsidR="00A831EE" w:rsidRPr="00737A81" w:rsidRDefault="00E32B3E">
            <w:pPr>
              <w:rPr>
                <w:rFonts w:asciiTheme="majorHAnsi" w:hAnsiTheme="majorHAnsi"/>
              </w:rPr>
            </w:pPr>
            <w:r>
              <w:rPr>
                <w:rFonts w:asciiTheme="majorHAnsi" w:hAnsiTheme="majorHAnsi"/>
              </w:rPr>
              <w:t>75</w:t>
            </w:r>
            <w:r w:rsidR="00486C71" w:rsidRPr="00737A81">
              <w:rPr>
                <w:rFonts w:asciiTheme="majorHAnsi" w:hAnsiTheme="majorHAnsi"/>
              </w:rPr>
              <w:t xml:space="preserve"> days</w:t>
            </w:r>
          </w:p>
        </w:tc>
      </w:tr>
      <w:tr w:rsidR="00A831EE" w:rsidRPr="00737A81" w:rsidTr="00A831EE">
        <w:tc>
          <w:tcPr>
            <w:tcW w:w="3177" w:type="dxa"/>
          </w:tcPr>
          <w:p w:rsidR="00A831EE" w:rsidRPr="00737A81" w:rsidRDefault="00A831EE">
            <w:pPr>
              <w:rPr>
                <w:rFonts w:asciiTheme="majorHAnsi" w:hAnsiTheme="majorHAnsi"/>
              </w:rPr>
            </w:pPr>
            <w:r w:rsidRPr="00737A81">
              <w:rPr>
                <w:rFonts w:asciiTheme="majorHAnsi" w:hAnsiTheme="majorHAnsi"/>
              </w:rPr>
              <w:t xml:space="preserve">Within a timeline agreed to by the GAC Chair and Board </w:t>
            </w:r>
            <w:r w:rsidRPr="00737A81">
              <w:rPr>
                <w:rFonts w:asciiTheme="majorHAnsi" w:hAnsiTheme="majorHAnsi"/>
              </w:rPr>
              <w:lastRenderedPageBreak/>
              <w:t>Chair, the GAC and/or the Board may prepare written documents setting forth their respective positions on the intended Board action for presentation at the Bylaws Consultation.</w:t>
            </w:r>
            <w:r w:rsidR="00FA28EB">
              <w:rPr>
                <w:rFonts w:asciiTheme="majorHAnsi" w:hAnsiTheme="majorHAnsi"/>
              </w:rPr>
              <w:t xml:space="preserve"> (Step 4)</w:t>
            </w:r>
          </w:p>
        </w:tc>
        <w:tc>
          <w:tcPr>
            <w:tcW w:w="3172" w:type="dxa"/>
          </w:tcPr>
          <w:p w:rsidR="00A831EE" w:rsidRPr="00737A81" w:rsidRDefault="00A831EE">
            <w:pPr>
              <w:rPr>
                <w:rFonts w:asciiTheme="majorHAnsi" w:hAnsiTheme="majorHAnsi"/>
              </w:rPr>
            </w:pPr>
            <w:r w:rsidRPr="00737A81">
              <w:rPr>
                <w:rFonts w:asciiTheme="majorHAnsi" w:hAnsiTheme="majorHAnsi"/>
              </w:rPr>
              <w:lastRenderedPageBreak/>
              <w:t xml:space="preserve">Subject to the agreement to publish documents, such </w:t>
            </w:r>
            <w:r w:rsidRPr="00737A81">
              <w:rPr>
                <w:rFonts w:asciiTheme="majorHAnsi" w:hAnsiTheme="majorHAnsi"/>
              </w:rPr>
              <w:lastRenderedPageBreak/>
              <w:t>documents should be communicated and will be published at least two (2) weeks prior to the Bylaws Consultation meeting</w:t>
            </w:r>
            <w:r w:rsidR="00737A81">
              <w:rPr>
                <w:rFonts w:asciiTheme="majorHAnsi" w:hAnsiTheme="majorHAnsi"/>
              </w:rPr>
              <w:t>.</w:t>
            </w:r>
          </w:p>
        </w:tc>
        <w:tc>
          <w:tcPr>
            <w:tcW w:w="2507" w:type="dxa"/>
          </w:tcPr>
          <w:p w:rsidR="00A831EE" w:rsidRPr="00737A81" w:rsidRDefault="00FE7F75">
            <w:pPr>
              <w:rPr>
                <w:rFonts w:asciiTheme="majorHAnsi" w:hAnsiTheme="majorHAnsi"/>
              </w:rPr>
            </w:pPr>
            <w:r>
              <w:rPr>
                <w:rFonts w:asciiTheme="majorHAnsi" w:hAnsiTheme="majorHAnsi"/>
              </w:rPr>
              <w:lastRenderedPageBreak/>
              <w:t>121</w:t>
            </w:r>
            <w:r w:rsidR="00C63A09" w:rsidRPr="00737A81">
              <w:rPr>
                <w:rFonts w:asciiTheme="majorHAnsi" w:hAnsiTheme="majorHAnsi"/>
              </w:rPr>
              <w:t xml:space="preserve"> days</w:t>
            </w:r>
          </w:p>
        </w:tc>
      </w:tr>
      <w:tr w:rsidR="00573679" w:rsidRPr="00737A81" w:rsidTr="00A831EE">
        <w:tc>
          <w:tcPr>
            <w:tcW w:w="3177" w:type="dxa"/>
          </w:tcPr>
          <w:p w:rsidR="00573679" w:rsidRPr="00737A81" w:rsidRDefault="0079748D">
            <w:pPr>
              <w:rPr>
                <w:rFonts w:asciiTheme="majorHAnsi" w:hAnsiTheme="majorHAnsi"/>
              </w:rPr>
            </w:pPr>
            <w:r>
              <w:rPr>
                <w:rFonts w:asciiTheme="majorHAnsi" w:hAnsiTheme="majorHAnsi"/>
              </w:rPr>
              <w:lastRenderedPageBreak/>
              <w:t>Bylaws Consultation meeting is conducted.</w:t>
            </w:r>
            <w:r w:rsidR="00FA28EB">
              <w:rPr>
                <w:rFonts w:asciiTheme="majorHAnsi" w:hAnsiTheme="majorHAnsi"/>
              </w:rPr>
              <w:t xml:space="preserve"> (Step 5)</w:t>
            </w:r>
          </w:p>
        </w:tc>
        <w:tc>
          <w:tcPr>
            <w:tcW w:w="3172" w:type="dxa"/>
          </w:tcPr>
          <w:p w:rsidR="00573679" w:rsidRPr="00737A81" w:rsidRDefault="008623B4" w:rsidP="00B52DE4">
            <w:pPr>
              <w:rPr>
                <w:rFonts w:asciiTheme="majorHAnsi" w:hAnsiTheme="majorHAnsi"/>
              </w:rPr>
            </w:pPr>
            <w:r w:rsidRPr="00737A81">
              <w:rPr>
                <w:rFonts w:asciiTheme="majorHAnsi" w:hAnsiTheme="majorHAnsi"/>
              </w:rPr>
              <w:t xml:space="preserve">Unless extenuating circumstances exist, the </w:t>
            </w:r>
            <w:r w:rsidR="00B52DE4" w:rsidRPr="00737A81">
              <w:rPr>
                <w:rFonts w:asciiTheme="majorHAnsi" w:hAnsiTheme="majorHAnsi"/>
              </w:rPr>
              <w:t>Consultation Meeting is recommended to occur within 60 calendar days</w:t>
            </w:r>
            <w:r w:rsidR="003344EF" w:rsidRPr="00737A81">
              <w:rPr>
                <w:rFonts w:asciiTheme="majorHAnsi" w:hAnsiTheme="majorHAnsi"/>
              </w:rPr>
              <w:t xml:space="preserve"> of </w:t>
            </w:r>
            <w:r w:rsidR="002F2CC2" w:rsidRPr="00737A81">
              <w:rPr>
                <w:rFonts w:asciiTheme="majorHAnsi" w:hAnsiTheme="majorHAnsi"/>
              </w:rPr>
              <w:t>the agreement upon the issues between the GAC and the Board.</w:t>
            </w:r>
          </w:p>
        </w:tc>
        <w:tc>
          <w:tcPr>
            <w:tcW w:w="2507" w:type="dxa"/>
          </w:tcPr>
          <w:p w:rsidR="00573679" w:rsidRPr="00737A81" w:rsidRDefault="00E32B3E">
            <w:pPr>
              <w:rPr>
                <w:rFonts w:asciiTheme="majorHAnsi" w:hAnsiTheme="majorHAnsi"/>
              </w:rPr>
            </w:pPr>
            <w:r>
              <w:rPr>
                <w:rFonts w:asciiTheme="majorHAnsi" w:hAnsiTheme="majorHAnsi"/>
              </w:rPr>
              <w:t>1</w:t>
            </w:r>
            <w:r w:rsidR="00FE7F75">
              <w:rPr>
                <w:rFonts w:asciiTheme="majorHAnsi" w:hAnsiTheme="majorHAnsi"/>
              </w:rPr>
              <w:t>35</w:t>
            </w:r>
            <w:r w:rsidR="002F2CC2" w:rsidRPr="00737A81">
              <w:rPr>
                <w:rFonts w:asciiTheme="majorHAnsi" w:hAnsiTheme="majorHAnsi"/>
              </w:rPr>
              <w:t xml:space="preserve"> days</w:t>
            </w:r>
          </w:p>
        </w:tc>
      </w:tr>
      <w:tr w:rsidR="00FE7F75" w:rsidRPr="00737A81" w:rsidTr="00A831EE">
        <w:tc>
          <w:tcPr>
            <w:tcW w:w="3177" w:type="dxa"/>
          </w:tcPr>
          <w:p w:rsidR="00FE7F75" w:rsidRPr="00737A81" w:rsidRDefault="00E80E2E">
            <w:pPr>
              <w:rPr>
                <w:rFonts w:asciiTheme="majorHAnsi" w:hAnsiTheme="majorHAnsi"/>
              </w:rPr>
            </w:pPr>
            <w:r>
              <w:rPr>
                <w:rFonts w:asciiTheme="majorHAnsi" w:hAnsiTheme="majorHAnsi"/>
              </w:rPr>
              <w:t>Board determines the action it will take based upon the</w:t>
            </w:r>
            <w:r w:rsidR="0079748D">
              <w:rPr>
                <w:rFonts w:asciiTheme="majorHAnsi" w:hAnsiTheme="majorHAnsi"/>
              </w:rPr>
              <w:t xml:space="preserve"> Consultation m</w:t>
            </w:r>
            <w:r>
              <w:rPr>
                <w:rFonts w:asciiTheme="majorHAnsi" w:hAnsiTheme="majorHAnsi"/>
              </w:rPr>
              <w:t>eeting and provides notice to the GAC</w:t>
            </w:r>
            <w:r w:rsidR="00FA28EB">
              <w:rPr>
                <w:rFonts w:asciiTheme="majorHAnsi" w:hAnsiTheme="majorHAnsi"/>
              </w:rPr>
              <w:t>.  (Step 6)</w:t>
            </w:r>
          </w:p>
        </w:tc>
        <w:tc>
          <w:tcPr>
            <w:tcW w:w="3172" w:type="dxa"/>
          </w:tcPr>
          <w:p w:rsidR="00FE7F75" w:rsidRPr="00737A81" w:rsidRDefault="00FB4077" w:rsidP="00B52DE4">
            <w:pPr>
              <w:rPr>
                <w:rFonts w:asciiTheme="majorHAnsi" w:hAnsiTheme="majorHAnsi"/>
              </w:rPr>
            </w:pPr>
            <w:r>
              <w:rPr>
                <w:rFonts w:asciiTheme="majorHAnsi" w:hAnsiTheme="majorHAnsi"/>
              </w:rPr>
              <w:t>Within 21 days of the conclusion of the</w:t>
            </w:r>
            <w:r w:rsidR="0079748D">
              <w:rPr>
                <w:rFonts w:asciiTheme="majorHAnsi" w:hAnsiTheme="majorHAnsi"/>
              </w:rPr>
              <w:t xml:space="preserve"> C</w:t>
            </w:r>
            <w:r>
              <w:rPr>
                <w:rFonts w:asciiTheme="majorHAnsi" w:hAnsiTheme="majorHAnsi"/>
              </w:rPr>
              <w:t>onsultation</w:t>
            </w:r>
            <w:r w:rsidR="0079748D">
              <w:rPr>
                <w:rFonts w:asciiTheme="majorHAnsi" w:hAnsiTheme="majorHAnsi"/>
              </w:rPr>
              <w:t xml:space="preserve"> meeting</w:t>
            </w:r>
            <w:r w:rsidR="003C2BA9">
              <w:rPr>
                <w:rFonts w:asciiTheme="majorHAnsi" w:hAnsiTheme="majorHAnsi"/>
              </w:rPr>
              <w:t>.</w:t>
            </w:r>
          </w:p>
        </w:tc>
        <w:tc>
          <w:tcPr>
            <w:tcW w:w="2507" w:type="dxa"/>
          </w:tcPr>
          <w:p w:rsidR="00FE7F75" w:rsidRDefault="00FB4077">
            <w:pPr>
              <w:rPr>
                <w:rFonts w:asciiTheme="majorHAnsi" w:hAnsiTheme="majorHAnsi"/>
              </w:rPr>
            </w:pPr>
            <w:r>
              <w:rPr>
                <w:rFonts w:asciiTheme="majorHAnsi" w:hAnsiTheme="majorHAnsi"/>
              </w:rPr>
              <w:t>156 days</w:t>
            </w:r>
          </w:p>
        </w:tc>
      </w:tr>
      <w:tr w:rsidR="00FB4077" w:rsidRPr="00737A81" w:rsidTr="00A831EE">
        <w:tc>
          <w:tcPr>
            <w:tcW w:w="3177" w:type="dxa"/>
          </w:tcPr>
          <w:p w:rsidR="00FB4077" w:rsidRDefault="00FB4077" w:rsidP="005158E7">
            <w:pPr>
              <w:rPr>
                <w:rFonts w:asciiTheme="majorHAnsi" w:hAnsiTheme="majorHAnsi"/>
              </w:rPr>
            </w:pPr>
            <w:r>
              <w:rPr>
                <w:rFonts w:asciiTheme="majorHAnsi" w:hAnsiTheme="majorHAnsi"/>
              </w:rPr>
              <w:t>GAC provides comment, if any, on the Board decision</w:t>
            </w:r>
            <w:r w:rsidR="00967A22">
              <w:rPr>
                <w:rFonts w:asciiTheme="majorHAnsi" w:hAnsiTheme="majorHAnsi"/>
              </w:rPr>
              <w:t>.  (Step 6)</w:t>
            </w:r>
          </w:p>
        </w:tc>
        <w:tc>
          <w:tcPr>
            <w:tcW w:w="3172" w:type="dxa"/>
          </w:tcPr>
          <w:p w:rsidR="00FB4077" w:rsidRDefault="005158E7" w:rsidP="00B52DE4">
            <w:pPr>
              <w:rPr>
                <w:rFonts w:asciiTheme="majorHAnsi" w:hAnsiTheme="majorHAnsi"/>
              </w:rPr>
            </w:pPr>
            <w:r>
              <w:rPr>
                <w:rFonts w:asciiTheme="majorHAnsi" w:hAnsiTheme="majorHAnsi"/>
              </w:rPr>
              <w:t xml:space="preserve">Within 21 days of the receipt of the </w:t>
            </w:r>
            <w:r w:rsidR="00696CD8">
              <w:rPr>
                <w:rFonts w:asciiTheme="majorHAnsi" w:hAnsiTheme="majorHAnsi"/>
              </w:rPr>
              <w:t>Board’s communication of determination</w:t>
            </w:r>
            <w:r w:rsidR="003C2BA9">
              <w:rPr>
                <w:rFonts w:asciiTheme="majorHAnsi" w:hAnsiTheme="majorHAnsi"/>
              </w:rPr>
              <w:t>.</w:t>
            </w:r>
          </w:p>
        </w:tc>
        <w:tc>
          <w:tcPr>
            <w:tcW w:w="2507" w:type="dxa"/>
          </w:tcPr>
          <w:p w:rsidR="00FB4077" w:rsidRDefault="00696CD8">
            <w:pPr>
              <w:rPr>
                <w:rFonts w:asciiTheme="majorHAnsi" w:hAnsiTheme="majorHAnsi"/>
              </w:rPr>
            </w:pPr>
            <w:r>
              <w:rPr>
                <w:rFonts w:asciiTheme="majorHAnsi" w:hAnsiTheme="majorHAnsi"/>
              </w:rPr>
              <w:t>177 days</w:t>
            </w:r>
          </w:p>
        </w:tc>
      </w:tr>
    </w:tbl>
    <w:p w:rsidR="00362182" w:rsidRDefault="00CC0B7E">
      <w:r w:rsidRPr="00737A81">
        <w:rPr>
          <w:rFonts w:asciiTheme="majorHAnsi" w:hAnsiTheme="majorHAnsi"/>
        </w:rPr>
        <w:t xml:space="preserve"> </w:t>
      </w:r>
    </w:p>
    <w:sectPr w:rsidR="00362182" w:rsidSect="00A07C0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E4" w:rsidRDefault="00DC2AE4" w:rsidP="00DC2AE4">
      <w:r>
        <w:separator/>
      </w:r>
    </w:p>
  </w:endnote>
  <w:endnote w:type="continuationSeparator" w:id="0">
    <w:p w:rsidR="00DC2AE4" w:rsidRDefault="00DC2AE4" w:rsidP="00DC2AE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E4" w:rsidRDefault="00DC2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E4" w:rsidRDefault="00DC2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E4" w:rsidRDefault="00DC2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E4" w:rsidRDefault="00DC2AE4" w:rsidP="00DC2AE4">
      <w:r>
        <w:separator/>
      </w:r>
    </w:p>
  </w:footnote>
  <w:footnote w:type="continuationSeparator" w:id="0">
    <w:p w:rsidR="00DC2AE4" w:rsidRDefault="00DC2AE4" w:rsidP="00DC2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D4" w:rsidRDefault="00A72154" w:rsidP="00B6642D">
    <w:pPr>
      <w:pStyle w:val="Header"/>
      <w:framePr w:wrap="around" w:vAnchor="text" w:hAnchor="margin" w:xAlign="right" w:y="1"/>
      <w:rPr>
        <w:rStyle w:val="PageNumber"/>
      </w:rPr>
    </w:pPr>
    <w:r>
      <w:rPr>
        <w:rStyle w:val="PageNumber"/>
      </w:rPr>
      <w:fldChar w:fldCharType="begin"/>
    </w:r>
    <w:r w:rsidR="00034CD4">
      <w:rPr>
        <w:rStyle w:val="PageNumber"/>
      </w:rPr>
      <w:instrText xml:space="preserve">PAGE  </w:instrText>
    </w:r>
    <w:r>
      <w:rPr>
        <w:rStyle w:val="PageNumber"/>
      </w:rPr>
      <w:fldChar w:fldCharType="end"/>
    </w:r>
  </w:p>
  <w:p w:rsidR="00DC2AE4" w:rsidRDefault="00DC2AE4" w:rsidP="00034C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CD4" w:rsidRDefault="00A72154" w:rsidP="00B6642D">
    <w:pPr>
      <w:pStyle w:val="Header"/>
      <w:framePr w:wrap="around" w:vAnchor="text" w:hAnchor="margin" w:xAlign="right" w:y="1"/>
      <w:rPr>
        <w:rStyle w:val="PageNumber"/>
      </w:rPr>
    </w:pPr>
    <w:r>
      <w:rPr>
        <w:rStyle w:val="PageNumber"/>
      </w:rPr>
      <w:fldChar w:fldCharType="begin"/>
    </w:r>
    <w:r w:rsidR="00034CD4">
      <w:rPr>
        <w:rStyle w:val="PageNumber"/>
      </w:rPr>
      <w:instrText xml:space="preserve">PAGE  </w:instrText>
    </w:r>
    <w:r>
      <w:rPr>
        <w:rStyle w:val="PageNumber"/>
      </w:rPr>
      <w:fldChar w:fldCharType="separate"/>
    </w:r>
    <w:r w:rsidR="00395974">
      <w:rPr>
        <w:rStyle w:val="PageNumber"/>
        <w:noProof/>
      </w:rPr>
      <w:t>1</w:t>
    </w:r>
    <w:r>
      <w:rPr>
        <w:rStyle w:val="PageNumber"/>
      </w:rPr>
      <w:fldChar w:fldCharType="end"/>
    </w:r>
  </w:p>
  <w:p w:rsidR="00DC2AE4" w:rsidRDefault="00DC2AE4" w:rsidP="00034CD4">
    <w:pPr>
      <w:pStyle w:val="Header"/>
      <w:ind w:right="360"/>
    </w:pPr>
    <w:bookmarkStart w:id="0" w:name="_GoBack"/>
    <w:bookmarkEnd w:id="0"/>
    <w:r>
      <w:t>D</w:t>
    </w:r>
    <w:r w:rsidR="001C082B">
      <w:t>RAFT as of 18</w:t>
    </w:r>
    <w:r>
      <w:t xml:space="preserve"> March 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AE4" w:rsidRDefault="00DC2A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3D5623"/>
    <w:rsid w:val="00027788"/>
    <w:rsid w:val="00034CD4"/>
    <w:rsid w:val="00063950"/>
    <w:rsid w:val="000D4C8E"/>
    <w:rsid w:val="00115AF8"/>
    <w:rsid w:val="00117C36"/>
    <w:rsid w:val="001A2642"/>
    <w:rsid w:val="001C082B"/>
    <w:rsid w:val="001F1802"/>
    <w:rsid w:val="002F14F1"/>
    <w:rsid w:val="002F2CC2"/>
    <w:rsid w:val="003344EF"/>
    <w:rsid w:val="00343533"/>
    <w:rsid w:val="00362182"/>
    <w:rsid w:val="00377FDF"/>
    <w:rsid w:val="00395974"/>
    <w:rsid w:val="003C2BA9"/>
    <w:rsid w:val="003D5623"/>
    <w:rsid w:val="004823D8"/>
    <w:rsid w:val="00486C71"/>
    <w:rsid w:val="005158E7"/>
    <w:rsid w:val="00573679"/>
    <w:rsid w:val="005B48CE"/>
    <w:rsid w:val="005D0D29"/>
    <w:rsid w:val="00696CD8"/>
    <w:rsid w:val="00737A81"/>
    <w:rsid w:val="0079748D"/>
    <w:rsid w:val="0083473B"/>
    <w:rsid w:val="008623B4"/>
    <w:rsid w:val="008768C6"/>
    <w:rsid w:val="008A3D8E"/>
    <w:rsid w:val="00925BBB"/>
    <w:rsid w:val="00936A04"/>
    <w:rsid w:val="00943E58"/>
    <w:rsid w:val="00967A22"/>
    <w:rsid w:val="00A07C04"/>
    <w:rsid w:val="00A72154"/>
    <w:rsid w:val="00A831EE"/>
    <w:rsid w:val="00AC4611"/>
    <w:rsid w:val="00B52DE4"/>
    <w:rsid w:val="00B8435D"/>
    <w:rsid w:val="00BA1267"/>
    <w:rsid w:val="00C10255"/>
    <w:rsid w:val="00C63A09"/>
    <w:rsid w:val="00CC0B7E"/>
    <w:rsid w:val="00DA59D0"/>
    <w:rsid w:val="00DC2AE4"/>
    <w:rsid w:val="00E233CF"/>
    <w:rsid w:val="00E32B3E"/>
    <w:rsid w:val="00E60CFF"/>
    <w:rsid w:val="00E80E2E"/>
    <w:rsid w:val="00FA28EB"/>
    <w:rsid w:val="00FB4077"/>
    <w:rsid w:val="00FE7F75"/>
  </w:rsids>
  <m:mathPr>
    <m:mathFont m:val="Cambria Math"/>
    <m:brkBin m:val="before"/>
    <m:brkBinSub m:val="--"/>
    <m:smallFrac m:val="off"/>
    <m:dispDef m:val="of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54"/>
  </w:style>
  <w:style w:type="paragraph" w:styleId="Heading2">
    <w:name w:val="heading 2"/>
    <w:basedOn w:val="Normal"/>
    <w:next w:val="Normal"/>
    <w:link w:val="Heading2Char"/>
    <w:autoRedefine/>
    <w:rsid w:val="008A3D8E"/>
    <w:pPr>
      <w:keepNext/>
      <w:spacing w:before="240" w:after="60"/>
      <w:outlineLvl w:val="1"/>
    </w:pPr>
    <w:rPr>
      <w:rFonts w:ascii="Arial" w:eastAsiaTheme="majorEastAsia" w:hAnsi="Arial" w:cs="Arial"/>
      <w:b/>
      <w:bCs/>
      <w:iCs/>
      <w:szCs w:val="28"/>
      <w:u w:val="single"/>
    </w:rPr>
  </w:style>
  <w:style w:type="paragraph" w:styleId="Heading4">
    <w:name w:val="heading 4"/>
    <w:basedOn w:val="Normal"/>
    <w:next w:val="Normal"/>
    <w:link w:val="Heading4Char"/>
    <w:autoRedefine/>
    <w:rsid w:val="008A3D8E"/>
    <w:pPr>
      <w:keepNext/>
      <w:spacing w:before="240" w:after="60"/>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3D8E"/>
    <w:rPr>
      <w:rFonts w:ascii="Arial" w:eastAsiaTheme="minorEastAsia" w:hAnsi="Arial" w:cs="Arial"/>
      <w:bCs/>
      <w:i/>
      <w:sz w:val="24"/>
      <w:szCs w:val="28"/>
    </w:rPr>
  </w:style>
  <w:style w:type="character" w:customStyle="1" w:styleId="Heading2Char">
    <w:name w:val="Heading 2 Char"/>
    <w:basedOn w:val="DefaultParagraphFont"/>
    <w:link w:val="Heading2"/>
    <w:rsid w:val="008A3D8E"/>
    <w:rPr>
      <w:rFonts w:ascii="Arial" w:eastAsiaTheme="majorEastAsia" w:hAnsi="Arial" w:cs="Arial"/>
      <w:b/>
      <w:bCs/>
      <w:iCs/>
      <w:sz w:val="24"/>
      <w:szCs w:val="28"/>
      <w:u w:val="single"/>
    </w:rPr>
  </w:style>
  <w:style w:type="table" w:styleId="TableGrid">
    <w:name w:val="Table Grid"/>
    <w:basedOn w:val="TableNormal"/>
    <w:uiPriority w:val="59"/>
    <w:rsid w:val="0034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36A04"/>
    <w:rPr>
      <w:rFonts w:ascii="Times New Roman" w:hAnsi="Times New Roman"/>
      <w:sz w:val="16"/>
    </w:rPr>
  </w:style>
  <w:style w:type="paragraph" w:styleId="CommentText">
    <w:name w:val="annotation text"/>
    <w:basedOn w:val="Normal"/>
    <w:link w:val="CommentTextChar"/>
    <w:rsid w:val="00936A04"/>
    <w:pPr>
      <w:suppressAutoHyphens/>
    </w:pPr>
    <w:rPr>
      <w:rFonts w:ascii="Times New Roman" w:eastAsia="SimSun" w:hAnsi="Times New Roman" w:cs="Times New Roman"/>
      <w:sz w:val="20"/>
      <w:szCs w:val="20"/>
      <w:lang w:eastAsia="ar-SA"/>
    </w:rPr>
  </w:style>
  <w:style w:type="character" w:customStyle="1" w:styleId="CommentTextChar">
    <w:name w:val="Comment Text Char"/>
    <w:basedOn w:val="DefaultParagraphFont"/>
    <w:link w:val="CommentText"/>
    <w:rsid w:val="00936A04"/>
    <w:rPr>
      <w:rFonts w:ascii="Times New Roman" w:eastAsia="SimSun" w:hAnsi="Times New Roman" w:cs="Times New Roman"/>
      <w:sz w:val="20"/>
      <w:szCs w:val="20"/>
      <w:lang w:eastAsia="ar-SA"/>
    </w:rPr>
  </w:style>
  <w:style w:type="paragraph" w:styleId="BalloonText">
    <w:name w:val="Balloon Text"/>
    <w:basedOn w:val="Normal"/>
    <w:link w:val="BalloonTextChar"/>
    <w:uiPriority w:val="99"/>
    <w:semiHidden/>
    <w:unhideWhenUsed/>
    <w:rsid w:val="00936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A04"/>
    <w:rPr>
      <w:rFonts w:ascii="Lucida Grande" w:hAnsi="Lucida Grande" w:cs="Lucida Grande"/>
      <w:sz w:val="18"/>
      <w:szCs w:val="18"/>
    </w:rPr>
  </w:style>
  <w:style w:type="paragraph" w:styleId="Header">
    <w:name w:val="header"/>
    <w:basedOn w:val="Normal"/>
    <w:link w:val="HeaderChar"/>
    <w:uiPriority w:val="99"/>
    <w:unhideWhenUsed/>
    <w:rsid w:val="00DC2AE4"/>
    <w:pPr>
      <w:tabs>
        <w:tab w:val="center" w:pos="4320"/>
        <w:tab w:val="right" w:pos="8640"/>
      </w:tabs>
    </w:pPr>
  </w:style>
  <w:style w:type="character" w:customStyle="1" w:styleId="HeaderChar">
    <w:name w:val="Header Char"/>
    <w:basedOn w:val="DefaultParagraphFont"/>
    <w:link w:val="Header"/>
    <w:uiPriority w:val="99"/>
    <w:rsid w:val="00DC2AE4"/>
  </w:style>
  <w:style w:type="paragraph" w:styleId="Footer">
    <w:name w:val="footer"/>
    <w:basedOn w:val="Normal"/>
    <w:link w:val="FooterChar"/>
    <w:uiPriority w:val="99"/>
    <w:unhideWhenUsed/>
    <w:rsid w:val="00DC2AE4"/>
    <w:pPr>
      <w:tabs>
        <w:tab w:val="center" w:pos="4320"/>
        <w:tab w:val="right" w:pos="8640"/>
      </w:tabs>
    </w:pPr>
  </w:style>
  <w:style w:type="character" w:customStyle="1" w:styleId="FooterChar">
    <w:name w:val="Footer Char"/>
    <w:basedOn w:val="DefaultParagraphFont"/>
    <w:link w:val="Footer"/>
    <w:uiPriority w:val="99"/>
    <w:rsid w:val="00DC2AE4"/>
  </w:style>
  <w:style w:type="character" w:styleId="PageNumber">
    <w:name w:val="page number"/>
    <w:basedOn w:val="DefaultParagraphFont"/>
    <w:uiPriority w:val="99"/>
    <w:semiHidden/>
    <w:unhideWhenUsed/>
    <w:rsid w:val="00034C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rsid w:val="008A3D8E"/>
    <w:pPr>
      <w:keepNext/>
      <w:spacing w:before="240" w:after="60"/>
      <w:outlineLvl w:val="1"/>
    </w:pPr>
    <w:rPr>
      <w:rFonts w:ascii="Arial" w:eastAsiaTheme="majorEastAsia" w:hAnsi="Arial" w:cs="Arial"/>
      <w:b/>
      <w:bCs/>
      <w:iCs/>
      <w:szCs w:val="28"/>
      <w:u w:val="single"/>
    </w:rPr>
  </w:style>
  <w:style w:type="paragraph" w:styleId="Heading4">
    <w:name w:val="heading 4"/>
    <w:basedOn w:val="Normal"/>
    <w:next w:val="Normal"/>
    <w:link w:val="Heading4Char"/>
    <w:autoRedefine/>
    <w:rsid w:val="008A3D8E"/>
    <w:pPr>
      <w:keepNext/>
      <w:spacing w:before="240" w:after="60"/>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3D8E"/>
    <w:rPr>
      <w:rFonts w:ascii="Arial" w:eastAsiaTheme="minorEastAsia" w:hAnsi="Arial" w:cs="Arial"/>
      <w:bCs/>
      <w:i/>
      <w:sz w:val="24"/>
      <w:szCs w:val="28"/>
    </w:rPr>
  </w:style>
  <w:style w:type="character" w:customStyle="1" w:styleId="Heading2Char">
    <w:name w:val="Heading 2 Char"/>
    <w:basedOn w:val="DefaultParagraphFont"/>
    <w:link w:val="Heading2"/>
    <w:rsid w:val="008A3D8E"/>
    <w:rPr>
      <w:rFonts w:ascii="Arial" w:eastAsiaTheme="majorEastAsia" w:hAnsi="Arial" w:cs="Arial"/>
      <w:b/>
      <w:bCs/>
      <w:iCs/>
      <w:sz w:val="24"/>
      <w:szCs w:val="28"/>
      <w:u w:val="single"/>
    </w:rPr>
  </w:style>
  <w:style w:type="table" w:styleId="TableGrid">
    <w:name w:val="Table Grid"/>
    <w:basedOn w:val="TableNormal"/>
    <w:uiPriority w:val="59"/>
    <w:rsid w:val="00343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936A04"/>
    <w:rPr>
      <w:rFonts w:ascii="Times New Roman" w:hAnsi="Times New Roman"/>
      <w:sz w:val="16"/>
    </w:rPr>
  </w:style>
  <w:style w:type="paragraph" w:styleId="CommentText">
    <w:name w:val="annotation text"/>
    <w:basedOn w:val="Normal"/>
    <w:link w:val="CommentTextChar"/>
    <w:rsid w:val="00936A04"/>
    <w:pPr>
      <w:suppressAutoHyphens/>
    </w:pPr>
    <w:rPr>
      <w:rFonts w:ascii="Times New Roman" w:eastAsia="SimSun" w:hAnsi="Times New Roman" w:cs="Times New Roman"/>
      <w:sz w:val="20"/>
      <w:szCs w:val="20"/>
      <w:lang w:eastAsia="ar-SA"/>
    </w:rPr>
  </w:style>
  <w:style w:type="character" w:customStyle="1" w:styleId="CommentTextChar">
    <w:name w:val="Comment Text Char"/>
    <w:basedOn w:val="DefaultParagraphFont"/>
    <w:link w:val="CommentText"/>
    <w:rsid w:val="00936A04"/>
    <w:rPr>
      <w:rFonts w:ascii="Times New Roman" w:eastAsia="SimSun" w:hAnsi="Times New Roman" w:cs="Times New Roman"/>
      <w:sz w:val="20"/>
      <w:szCs w:val="20"/>
      <w:lang w:eastAsia="ar-SA"/>
    </w:rPr>
  </w:style>
  <w:style w:type="paragraph" w:styleId="BalloonText">
    <w:name w:val="Balloon Text"/>
    <w:basedOn w:val="Normal"/>
    <w:link w:val="BalloonTextChar"/>
    <w:uiPriority w:val="99"/>
    <w:semiHidden/>
    <w:unhideWhenUsed/>
    <w:rsid w:val="00936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A04"/>
    <w:rPr>
      <w:rFonts w:ascii="Lucida Grande" w:hAnsi="Lucida Grande" w:cs="Lucida Grande"/>
      <w:sz w:val="18"/>
      <w:szCs w:val="18"/>
    </w:rPr>
  </w:style>
  <w:style w:type="paragraph" w:styleId="Header">
    <w:name w:val="header"/>
    <w:basedOn w:val="Normal"/>
    <w:link w:val="HeaderChar"/>
    <w:uiPriority w:val="99"/>
    <w:unhideWhenUsed/>
    <w:rsid w:val="00DC2AE4"/>
    <w:pPr>
      <w:tabs>
        <w:tab w:val="center" w:pos="4320"/>
        <w:tab w:val="right" w:pos="8640"/>
      </w:tabs>
    </w:pPr>
  </w:style>
  <w:style w:type="character" w:customStyle="1" w:styleId="HeaderChar">
    <w:name w:val="Header Char"/>
    <w:basedOn w:val="DefaultParagraphFont"/>
    <w:link w:val="Header"/>
    <w:uiPriority w:val="99"/>
    <w:rsid w:val="00DC2AE4"/>
  </w:style>
  <w:style w:type="paragraph" w:styleId="Footer">
    <w:name w:val="footer"/>
    <w:basedOn w:val="Normal"/>
    <w:link w:val="FooterChar"/>
    <w:uiPriority w:val="99"/>
    <w:unhideWhenUsed/>
    <w:rsid w:val="00DC2AE4"/>
    <w:pPr>
      <w:tabs>
        <w:tab w:val="center" w:pos="4320"/>
        <w:tab w:val="right" w:pos="8640"/>
      </w:tabs>
    </w:pPr>
  </w:style>
  <w:style w:type="character" w:customStyle="1" w:styleId="FooterChar">
    <w:name w:val="Footer Char"/>
    <w:basedOn w:val="DefaultParagraphFont"/>
    <w:link w:val="Footer"/>
    <w:uiPriority w:val="99"/>
    <w:rsid w:val="00DC2AE4"/>
  </w:style>
  <w:style w:type="character" w:styleId="PageNumber">
    <w:name w:val="page number"/>
    <w:basedOn w:val="DefaultParagraphFont"/>
    <w:uiPriority w:val="99"/>
    <w:semiHidden/>
    <w:unhideWhenUsed/>
    <w:rsid w:val="00034CD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4</DocSecurity>
  <Lines>19</Lines>
  <Paragraphs>5</Paragraphs>
  <ScaleCrop>false</ScaleCrop>
  <Company>ICANN</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Eisner</dc:creator>
  <cp:keywords/>
  <dc:description/>
  <cp:lastModifiedBy>Manal Ismail</cp:lastModifiedBy>
  <cp:revision>2</cp:revision>
  <dcterms:created xsi:type="dcterms:W3CDTF">2013-03-27T09:45:00Z</dcterms:created>
  <dcterms:modified xsi:type="dcterms:W3CDTF">2013-03-27T09:45:00Z</dcterms:modified>
</cp:coreProperties>
</file>