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02" w:rsidRPr="0093551D" w:rsidRDefault="00694220">
      <w:pPr>
        <w:rPr>
          <w:b/>
        </w:rPr>
      </w:pPr>
      <w:r w:rsidRPr="0093551D">
        <w:rPr>
          <w:b/>
        </w:rPr>
        <w:t>COMPARISON TABLE OF GNSO RECOMMENDATIONS</w:t>
      </w:r>
      <w:r w:rsidR="009F5882">
        <w:rPr>
          <w:rStyle w:val="FootnoteReference"/>
          <w:b/>
        </w:rPr>
        <w:footnoteReference w:id="1"/>
      </w:r>
      <w:r w:rsidRPr="0093551D">
        <w:rPr>
          <w:b/>
        </w:rPr>
        <w:t xml:space="preserve"> &amp; PROPOSED MODIFICATION</w:t>
      </w:r>
      <w:r w:rsidR="0093551D">
        <w:rPr>
          <w:b/>
        </w:rPr>
        <w:t xml:space="preserve"> FOR WG &amp; PUBLIC COMMENT</w:t>
      </w:r>
    </w:p>
    <w:p w:rsidR="00694220" w:rsidRDefault="00694220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4220" w:rsidTr="00694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94220" w:rsidRPr="00694220" w:rsidRDefault="00694220">
            <w:pPr>
              <w:rPr>
                <w:color w:val="auto"/>
              </w:rPr>
            </w:pPr>
            <w:r w:rsidRPr="00694220">
              <w:rPr>
                <w:color w:val="auto"/>
              </w:rPr>
              <w:t>GNSO Recommendation (Nov 2013)</w:t>
            </w:r>
          </w:p>
        </w:tc>
        <w:tc>
          <w:tcPr>
            <w:tcW w:w="4428" w:type="dxa"/>
          </w:tcPr>
          <w:p w:rsidR="00694220" w:rsidRPr="00694220" w:rsidRDefault="0069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4220">
              <w:rPr>
                <w:color w:val="auto"/>
              </w:rPr>
              <w:t>Proposed Modification (June 2014)</w:t>
            </w:r>
          </w:p>
        </w:tc>
      </w:tr>
      <w:tr w:rsidR="00694220" w:rsidTr="00694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94220" w:rsidRPr="00694220" w:rsidRDefault="00694220" w:rsidP="00694220">
            <w:r w:rsidRPr="00694220">
              <w:t>Red Cross &amp; Red Crescent (RC):</w:t>
            </w:r>
          </w:p>
          <w:p w:rsidR="00694220" w:rsidRDefault="00694220" w:rsidP="00694220">
            <w:pPr>
              <w:rPr>
                <w:b w:val="0"/>
              </w:rPr>
            </w:pPr>
          </w:p>
          <w:p w:rsidR="00694220" w:rsidRDefault="00694220" w:rsidP="00694220">
            <w:pPr>
              <w:rPr>
                <w:b w:val="0"/>
              </w:rPr>
            </w:pPr>
            <w:r w:rsidRPr="0093551D">
              <w:rPr>
                <w:b w:val="0"/>
                <w:u w:val="single"/>
              </w:rPr>
              <w:t>90 days</w:t>
            </w:r>
            <w:r w:rsidRPr="00694220">
              <w:rPr>
                <w:b w:val="0"/>
              </w:rPr>
              <w:t xml:space="preserve"> TMCH claims notice for </w:t>
            </w:r>
            <w:r w:rsidR="0093551D" w:rsidRPr="0093551D">
              <w:t xml:space="preserve">Exact Match of </w:t>
            </w:r>
            <w:r w:rsidRPr="0093551D">
              <w:t>RC Scope 2 Identifiers</w:t>
            </w:r>
            <w:r w:rsidRPr="00694220">
              <w:rPr>
                <w:b w:val="0"/>
              </w:rPr>
              <w:t xml:space="preserve"> (i.e. full names and acronyms of 189 national RC societies (in English and respective national language) and of international RC entities  - ICRC, CICR, IFRC, FICR (in UN6))</w:t>
            </w:r>
            <w:r w:rsidR="009F5882">
              <w:rPr>
                <w:rStyle w:val="FootnoteReference"/>
                <w:b w:val="0"/>
              </w:rPr>
              <w:footnoteReference w:id="2"/>
            </w:r>
          </w:p>
          <w:p w:rsidR="00694220" w:rsidRPr="00694220" w:rsidRDefault="00694220" w:rsidP="00694220">
            <w:pPr>
              <w:rPr>
                <w:b w:val="0"/>
              </w:rPr>
            </w:pPr>
          </w:p>
        </w:tc>
        <w:tc>
          <w:tcPr>
            <w:tcW w:w="4428" w:type="dxa"/>
          </w:tcPr>
          <w:p w:rsidR="00694220" w:rsidRP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4220">
              <w:rPr>
                <w:b/>
              </w:rPr>
              <w:t>Red Cross &amp; Red Crescent (RC):</w:t>
            </w:r>
          </w:p>
          <w:p w:rsid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Claims notice for </w:t>
            </w:r>
            <w:r w:rsidRPr="0093551D">
              <w:rPr>
                <w:u w:val="single"/>
              </w:rPr>
              <w:t>life of TMCH</w:t>
            </w:r>
            <w:r>
              <w:t xml:space="preserve"> (pre-registration notice to registrant plus post-registration notice to relevant RC entity) for </w:t>
            </w:r>
            <w:r w:rsidR="0093551D" w:rsidRPr="0093551D">
              <w:rPr>
                <w:b/>
              </w:rPr>
              <w:t xml:space="preserve">Exact Match of </w:t>
            </w:r>
            <w:r w:rsidRPr="0093551D">
              <w:rPr>
                <w:b/>
              </w:rPr>
              <w:t>RC Scope 2 Identifiers</w:t>
            </w:r>
          </w:p>
          <w:p w:rsid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Curative Rights PDP WG to consider same no/low cost mechanism for </w:t>
            </w:r>
            <w:r w:rsidR="009F5882">
              <w:t xml:space="preserve">acronyms of </w:t>
            </w:r>
            <w:r>
              <w:t xml:space="preserve">international RC </w:t>
            </w:r>
            <w:r w:rsidR="009F5882">
              <w:t>entities</w:t>
            </w:r>
            <w:r>
              <w:t xml:space="preserve"> (</w:t>
            </w:r>
            <w:r w:rsidR="009F5882">
              <w:t>viz. ICRC, CICR, IFRC, FICR) as any</w:t>
            </w:r>
            <w:r>
              <w:t xml:space="preserve"> </w:t>
            </w:r>
            <w:r w:rsidR="009F5882">
              <w:t>that may be</w:t>
            </w:r>
            <w:r>
              <w:t xml:space="preserve"> recommended for IGOs/INGOs</w:t>
            </w:r>
          </w:p>
          <w:p w:rsidR="00694220" w:rsidRDefault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4220" w:rsidTr="00694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94220" w:rsidRPr="00694220" w:rsidRDefault="00694220">
            <w:r w:rsidRPr="00694220">
              <w:t>IGO Acronyms:</w:t>
            </w:r>
          </w:p>
          <w:p w:rsidR="00694220" w:rsidRPr="00694220" w:rsidRDefault="00694220">
            <w:pPr>
              <w:rPr>
                <w:b w:val="0"/>
              </w:rPr>
            </w:pPr>
          </w:p>
          <w:p w:rsidR="00694220" w:rsidRDefault="00694220">
            <w:pPr>
              <w:rPr>
                <w:b w:val="0"/>
              </w:rPr>
            </w:pPr>
            <w:r w:rsidRPr="0093551D">
              <w:rPr>
                <w:b w:val="0"/>
                <w:u w:val="single"/>
              </w:rPr>
              <w:t>90 days</w:t>
            </w:r>
            <w:r>
              <w:rPr>
                <w:b w:val="0"/>
              </w:rPr>
              <w:t xml:space="preserve"> TMCH claims notice for </w:t>
            </w:r>
            <w:r w:rsidRPr="0093551D">
              <w:t>acronyms of IGOs on GAC list</w:t>
            </w:r>
            <w:r>
              <w:rPr>
                <w:b w:val="0"/>
              </w:rPr>
              <w:t xml:space="preserve"> of 22 March 2013</w:t>
            </w:r>
            <w:r w:rsidR="009F5882">
              <w:rPr>
                <w:rStyle w:val="FootnoteReference"/>
                <w:b w:val="0"/>
              </w:rPr>
              <w:footnoteReference w:id="3"/>
            </w:r>
          </w:p>
          <w:p w:rsidR="00694220" w:rsidRDefault="00694220">
            <w:pPr>
              <w:rPr>
                <w:b w:val="0"/>
              </w:rPr>
            </w:pPr>
          </w:p>
          <w:p w:rsidR="00694220" w:rsidRPr="00694220" w:rsidRDefault="00694220" w:rsidP="00694220">
            <w:pPr>
              <w:rPr>
                <w:b w:val="0"/>
              </w:rPr>
            </w:pPr>
            <w:r>
              <w:rPr>
                <w:b w:val="0"/>
              </w:rPr>
              <w:t>Issue Report (now PDP) to address curative rights access for IGOs (and INGOs)</w:t>
            </w:r>
            <w:r w:rsidR="009F5882">
              <w:rPr>
                <w:rStyle w:val="FootnoteReference"/>
                <w:b w:val="0"/>
              </w:rPr>
              <w:footnoteReference w:id="4"/>
            </w:r>
          </w:p>
        </w:tc>
        <w:tc>
          <w:tcPr>
            <w:tcW w:w="4428" w:type="dxa"/>
          </w:tcPr>
          <w:p w:rsidR="00694220" w:rsidRDefault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4220">
              <w:rPr>
                <w:b/>
              </w:rPr>
              <w:t>IGO Acronyms:</w:t>
            </w:r>
          </w:p>
          <w:p w:rsidR="00694220" w:rsidRDefault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94220" w:rsidRDefault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Claims notice for </w:t>
            </w:r>
            <w:r w:rsidRPr="0093551D">
              <w:rPr>
                <w:u w:val="single"/>
              </w:rPr>
              <w:t>life of TMCH</w:t>
            </w:r>
            <w:r>
              <w:t xml:space="preserve"> (pre-registration notice to registrant plus post-registration notice to relevant IGO) for </w:t>
            </w:r>
            <w:r w:rsidR="0093551D" w:rsidRPr="0093551D">
              <w:rPr>
                <w:b/>
              </w:rPr>
              <w:t xml:space="preserve">acronyms of </w:t>
            </w:r>
            <w:r w:rsidRPr="0093551D">
              <w:rPr>
                <w:b/>
              </w:rPr>
              <w:t>IGOs on GAC list</w:t>
            </w:r>
          </w:p>
          <w:p w:rsidR="00694220" w:rsidRDefault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4220" w:rsidRDefault="00694220" w:rsidP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Curative Rights PDP WG</w:t>
            </w:r>
            <w:r w:rsidR="0093551D">
              <w:t xml:space="preserve"> directed</w:t>
            </w:r>
            <w:r>
              <w:t xml:space="preserve"> to consider no/low cost procedure for IGOs</w:t>
            </w:r>
            <w:r w:rsidR="0093551D">
              <w:t xml:space="preserve"> on GAC list</w:t>
            </w:r>
          </w:p>
          <w:p w:rsidR="00694220" w:rsidRDefault="00694220" w:rsidP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4220" w:rsidRDefault="00694220" w:rsidP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Curative Rights PDP WG </w:t>
            </w:r>
            <w:r w:rsidR="0093551D">
              <w:t xml:space="preserve">directed </w:t>
            </w:r>
            <w:r>
              <w:t xml:space="preserve">to consider third party binding arbitration </w:t>
            </w:r>
            <w:r w:rsidR="0093551D">
              <w:t>(in lieu of appeal to national courts) for second level domain name disputes involving acronyms of IGOs on GAC list</w:t>
            </w:r>
          </w:p>
          <w:p w:rsidR="0093551D" w:rsidRPr="00694220" w:rsidRDefault="0093551D" w:rsidP="0069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4220" w:rsidRDefault="00694220"/>
    <w:sectPr w:rsidR="00694220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82" w:rsidRDefault="009F5882" w:rsidP="009F5882">
      <w:r>
        <w:separator/>
      </w:r>
    </w:p>
  </w:endnote>
  <w:endnote w:type="continuationSeparator" w:id="0">
    <w:p w:rsidR="009F5882" w:rsidRDefault="009F5882" w:rsidP="009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82" w:rsidRDefault="009F5882" w:rsidP="009F5882">
      <w:r>
        <w:separator/>
      </w:r>
    </w:p>
  </w:footnote>
  <w:footnote w:type="continuationSeparator" w:id="0">
    <w:p w:rsidR="009F5882" w:rsidRDefault="009F5882" w:rsidP="009F5882">
      <w:r>
        <w:continuationSeparator/>
      </w:r>
    </w:p>
  </w:footnote>
  <w:footnote w:id="1">
    <w:p w:rsidR="009F5882" w:rsidRPr="009F5882" w:rsidRDefault="009F5882">
      <w:pPr>
        <w:pStyle w:val="FootnoteText"/>
        <w:rPr>
          <w:sz w:val="20"/>
          <w:szCs w:val="20"/>
        </w:rPr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The IGO-INGO PDP WG Final Report can be accessed here: </w:t>
      </w:r>
      <w:hyperlink r:id="rId1" w:history="1">
        <w:r w:rsidRPr="00430300">
          <w:rPr>
            <w:rStyle w:val="Hyperlink"/>
            <w:sz w:val="20"/>
            <w:szCs w:val="20"/>
          </w:rPr>
          <w:t>http://gnso.icann.org/en/issues/igo-ingo-final-10nov13-en.pdf</w:t>
        </w:r>
      </w:hyperlink>
      <w:r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9F5882">
        <w:rPr>
          <w:sz w:val="20"/>
          <w:szCs w:val="20"/>
        </w:rPr>
        <w:t xml:space="preserve">The GNSO Council’s resolution unanimously adopting the WG’s consensus recommendations can be accessed here: </w:t>
      </w:r>
      <w:hyperlink r:id="rId2" w:history="1">
        <w:r w:rsidRPr="009F5882">
          <w:rPr>
            <w:rStyle w:val="Hyperlink"/>
            <w:sz w:val="20"/>
            <w:szCs w:val="20"/>
          </w:rPr>
          <w:t>http://gnso.icann.org/en/council/resolutions#20131120-2</w:t>
        </w:r>
      </w:hyperlink>
      <w:r w:rsidRPr="009F5882">
        <w:rPr>
          <w:sz w:val="20"/>
          <w:szCs w:val="20"/>
        </w:rPr>
        <w:t xml:space="preserve">. </w:t>
      </w:r>
    </w:p>
  </w:footnote>
  <w:footnote w:id="2">
    <w:p w:rsidR="009F5882" w:rsidRPr="009F5882" w:rsidRDefault="009F5882">
      <w:pPr>
        <w:pStyle w:val="FootnoteText"/>
        <w:rPr>
          <w:sz w:val="20"/>
          <w:szCs w:val="20"/>
        </w:rPr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See Section 3.1.5, 3.1.6 and 3.1.8 of the IGO-INGO PDP WG Final Report.</w:t>
      </w:r>
    </w:p>
  </w:footnote>
  <w:footnote w:id="3">
    <w:p w:rsidR="009F5882" w:rsidRPr="009F5882" w:rsidRDefault="009F5882">
      <w:pPr>
        <w:pStyle w:val="FootnoteText"/>
        <w:rPr>
          <w:sz w:val="20"/>
          <w:szCs w:val="20"/>
        </w:rPr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See Section 3.3.5 and 3.3.7 of the IGO-INGO PDP WG Final Report.</w:t>
      </w:r>
    </w:p>
  </w:footnote>
  <w:footnote w:id="4">
    <w:p w:rsidR="009F5882" w:rsidRDefault="009F5882">
      <w:pPr>
        <w:pStyle w:val="FootnoteText"/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See Section 3.5.3 of the IGO-INGO PDP WG Final Report.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0"/>
    <w:rsid w:val="00643715"/>
    <w:rsid w:val="00694220"/>
    <w:rsid w:val="0093551D"/>
    <w:rsid w:val="009F5882"/>
    <w:rsid w:val="00D16ED3"/>
    <w:rsid w:val="00E06902"/>
    <w:rsid w:val="00E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22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F5882"/>
  </w:style>
  <w:style w:type="character" w:customStyle="1" w:styleId="FootnoteTextChar">
    <w:name w:val="Footnote Text Char"/>
    <w:basedOn w:val="DefaultParagraphFont"/>
    <w:link w:val="FootnoteText"/>
    <w:uiPriority w:val="99"/>
    <w:rsid w:val="009F5882"/>
  </w:style>
  <w:style w:type="character" w:styleId="FootnoteReference">
    <w:name w:val="footnote reference"/>
    <w:basedOn w:val="DefaultParagraphFont"/>
    <w:uiPriority w:val="99"/>
    <w:unhideWhenUsed/>
    <w:rsid w:val="009F5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F5882"/>
  </w:style>
  <w:style w:type="character" w:customStyle="1" w:styleId="FootnoteTextChar">
    <w:name w:val="Footnote Text Char"/>
    <w:basedOn w:val="DefaultParagraphFont"/>
    <w:link w:val="FootnoteText"/>
    <w:uiPriority w:val="99"/>
    <w:rsid w:val="009F5882"/>
  </w:style>
  <w:style w:type="character" w:styleId="FootnoteReference">
    <w:name w:val="footnote reference"/>
    <w:basedOn w:val="DefaultParagraphFont"/>
    <w:uiPriority w:val="99"/>
    <w:unhideWhenUsed/>
    <w:rsid w:val="009F5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issues/igo-ingo-final-10nov13-en.pdf" TargetMode="External"/><Relationship Id="rId2" Type="http://schemas.openxmlformats.org/officeDocument/2006/relationships/hyperlink" Target="http://gnso.icann.org/en/council/resolutions#20131120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F2947-C4DE-A240-9CE8-112F708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Company>ICANN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2014-06-22T12:16:00Z</dcterms:created>
  <dcterms:modified xsi:type="dcterms:W3CDTF">2014-06-22T12:16:00Z</dcterms:modified>
</cp:coreProperties>
</file>