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8EEF" w14:textId="77777777" w:rsidR="00E06902" w:rsidRDefault="00E06902"/>
    <w:p w14:paraId="676A642D" w14:textId="36BC42AD" w:rsidR="00620B76" w:rsidRPr="002E3275" w:rsidRDefault="002E3275">
      <w:pPr>
        <w:rPr>
          <w:b/>
        </w:rPr>
      </w:pPr>
      <w:r w:rsidRPr="002E3275">
        <w:rPr>
          <w:b/>
        </w:rPr>
        <w:t xml:space="preserve">MOTION </w:t>
      </w:r>
      <w:r>
        <w:rPr>
          <w:b/>
        </w:rPr>
        <w:t>FOR</w:t>
      </w:r>
      <w:r w:rsidRPr="002E3275">
        <w:rPr>
          <w:b/>
        </w:rPr>
        <w:t xml:space="preserve"> A PROPOSED MODIFICATION OF THE GNSO’S CONSENSUS RECOMMENDATIONS RELATING TO </w:t>
      </w:r>
      <w:r>
        <w:rPr>
          <w:b/>
        </w:rPr>
        <w:t xml:space="preserve">RECOMMENDED SECOND LEVEL </w:t>
      </w:r>
      <w:r w:rsidRPr="002E3275">
        <w:rPr>
          <w:b/>
        </w:rPr>
        <w:t xml:space="preserve">PROTECTIONS FOR IGO ACRONYMS AND </w:t>
      </w:r>
      <w:r>
        <w:rPr>
          <w:b/>
        </w:rPr>
        <w:t>CERTAIN</w:t>
      </w:r>
      <w:r w:rsidRPr="002E3275">
        <w:rPr>
          <w:b/>
        </w:rPr>
        <w:t xml:space="preserve"> RED CROSS</w:t>
      </w:r>
      <w:r>
        <w:rPr>
          <w:b/>
        </w:rPr>
        <w:t xml:space="preserve"> IDENTIFIERS</w:t>
      </w:r>
    </w:p>
    <w:p w14:paraId="3E8D1C15" w14:textId="77777777" w:rsidR="002E3275" w:rsidRDefault="002E3275"/>
    <w:p w14:paraId="77920E33" w14:textId="77777777" w:rsidR="00620B76" w:rsidRDefault="00620B76">
      <w:r>
        <w:t>WHEREAS:</w:t>
      </w:r>
    </w:p>
    <w:p w14:paraId="3937C465" w14:textId="77777777" w:rsidR="00620B76" w:rsidRDefault="00620B76"/>
    <w:p w14:paraId="2B7638ED" w14:textId="20B79ADA" w:rsidR="00620B76" w:rsidRDefault="004A3EF8" w:rsidP="008251F8">
      <w:pPr>
        <w:pStyle w:val="ListParagraph"/>
        <w:numPr>
          <w:ilvl w:val="0"/>
          <w:numId w:val="1"/>
        </w:numPr>
      </w:pPr>
      <w:r>
        <w:t xml:space="preserve">On 17 </w:t>
      </w:r>
      <w:r w:rsidR="00620B76">
        <w:t xml:space="preserve">October 2012 the GNSO </w:t>
      </w:r>
      <w:hyperlink r:id="rId6" w:anchor="20121017-2" w:history="1">
        <w:r w:rsidR="00181F1A">
          <w:rPr>
            <w:rStyle w:val="Hyperlink"/>
          </w:rPr>
          <w:t>initiated</w:t>
        </w:r>
      </w:hyperlink>
      <w:r w:rsidR="00181F1A">
        <w:t xml:space="preserve"> </w:t>
      </w:r>
      <w:r w:rsidR="00620B76">
        <w:t>a Policy Development Process (PDP) to evaluate the need for protections for International Governmental Organizations (IGOs) and International Non-Governmental Organizations (INGOs) at the top and second level in all gTLDs;</w:t>
      </w:r>
    </w:p>
    <w:p w14:paraId="71729497" w14:textId="77777777" w:rsidR="00620B76" w:rsidRDefault="00620B76"/>
    <w:p w14:paraId="53BB6369" w14:textId="49989E27" w:rsidR="00620B76" w:rsidRDefault="00181F1A" w:rsidP="008251F8">
      <w:pPr>
        <w:pStyle w:val="ListParagraph"/>
        <w:numPr>
          <w:ilvl w:val="0"/>
          <w:numId w:val="1"/>
        </w:numPr>
      </w:pPr>
      <w:r>
        <w:t>On 10</w:t>
      </w:r>
      <w:r w:rsidR="00620B76">
        <w:t xml:space="preserve"> November 2013 the PDP Working Group (IGO-INGO PDP WG) delivered its </w:t>
      </w:r>
      <w:hyperlink r:id="rId7" w:history="1">
        <w:r>
          <w:rPr>
            <w:rStyle w:val="Hyperlink"/>
          </w:rPr>
          <w:t>Final Report</w:t>
        </w:r>
      </w:hyperlink>
      <w:r>
        <w:t xml:space="preserve"> </w:t>
      </w:r>
      <w:r w:rsidR="00620B76">
        <w:t>to the GNSO Council that included twenty-five consensus recommendations of the WG;</w:t>
      </w:r>
    </w:p>
    <w:p w14:paraId="56E1850A" w14:textId="77777777" w:rsidR="00620B76" w:rsidRDefault="00620B76"/>
    <w:p w14:paraId="24B9BEEE" w14:textId="6B2FAA57" w:rsidR="00620B76" w:rsidRDefault="00620B76" w:rsidP="008251F8">
      <w:pPr>
        <w:pStyle w:val="ListParagraph"/>
        <w:numPr>
          <w:ilvl w:val="0"/>
          <w:numId w:val="1"/>
        </w:numPr>
      </w:pPr>
      <w:r>
        <w:t xml:space="preserve">On 20 November 2013 the GNSO Council unanimously </w:t>
      </w:r>
      <w:hyperlink r:id="rId8" w:anchor="20131120-2" w:history="1">
        <w:r w:rsidR="00181F1A">
          <w:rPr>
            <w:rStyle w:val="Hyperlink"/>
          </w:rPr>
          <w:t>adopted</w:t>
        </w:r>
      </w:hyperlink>
      <w:r w:rsidR="00181F1A">
        <w:t xml:space="preserve"> </w:t>
      </w:r>
      <w:r>
        <w:t xml:space="preserve">all </w:t>
      </w:r>
      <w:r w:rsidR="00676A07">
        <w:t>twenty-five</w:t>
      </w:r>
      <w:r>
        <w:t xml:space="preserve"> consensus recommendations of the IGO-INGO PDP WG and forwarded them to the ICANN Board in January 2014 with a recommendation for their adoption;</w:t>
      </w:r>
    </w:p>
    <w:p w14:paraId="04DE7254" w14:textId="77777777" w:rsidR="00620B76" w:rsidRDefault="00620B76"/>
    <w:p w14:paraId="64D4A707" w14:textId="49263F0A" w:rsidR="00620B76" w:rsidRDefault="00620B76" w:rsidP="008251F8">
      <w:pPr>
        <w:pStyle w:val="ListParagraph"/>
        <w:numPr>
          <w:ilvl w:val="0"/>
          <w:numId w:val="1"/>
        </w:numPr>
      </w:pPr>
      <w:r>
        <w:t xml:space="preserve">On 7 February 2014 the </w:t>
      </w:r>
      <w:hyperlink r:id="rId9" w:anchor="20131120-2" w:history="1">
        <w:r w:rsidR="00181F1A">
          <w:rPr>
            <w:rStyle w:val="Hyperlink"/>
          </w:rPr>
          <w:t>ICANN Board</w:t>
        </w:r>
      </w:hyperlink>
      <w:r w:rsidR="00181F1A">
        <w:t xml:space="preserve">: </w:t>
      </w:r>
      <w:r>
        <w:t>(</w:t>
      </w:r>
      <w:proofErr w:type="spellStart"/>
      <w:r>
        <w:t>i</w:t>
      </w:r>
      <w:proofErr w:type="spellEnd"/>
      <w:r>
        <w:t>) acknowledged receipt of the GNSO Council’s recommendations</w:t>
      </w:r>
      <w:r w:rsidR="00614D44">
        <w:t>;</w:t>
      </w:r>
      <w:r>
        <w:t xml:space="preserve"> (ii) requested further time to consider them</w:t>
      </w:r>
      <w:r w:rsidR="00614D44">
        <w:t>;</w:t>
      </w:r>
      <w:r>
        <w:t xml:space="preserve"> and (iii) directed the Board’s New gTLD Program Committee (NGPC) to develop a proposal for subsequent Board consideration that would take into account the GNSO’s recommendations and GAC advice received on the topic;</w:t>
      </w:r>
    </w:p>
    <w:p w14:paraId="4D189F51" w14:textId="77777777" w:rsidR="00620B76" w:rsidRDefault="00620B76"/>
    <w:p w14:paraId="44A4D638" w14:textId="0B86A1A9" w:rsidR="00620B76" w:rsidRDefault="00620B76" w:rsidP="008251F8">
      <w:pPr>
        <w:pStyle w:val="ListParagraph"/>
        <w:numPr>
          <w:ilvl w:val="0"/>
          <w:numId w:val="1"/>
        </w:numPr>
      </w:pPr>
      <w:r>
        <w:t>In March 2014 the NGPC sent a proposal to the GAC fo</w:t>
      </w:r>
      <w:r w:rsidR="006F124C">
        <w:t xml:space="preserve">r its consideration and </w:t>
      </w:r>
      <w:hyperlink r:id="rId10" w:history="1">
        <w:r w:rsidR="006F124C">
          <w:rPr>
            <w:rStyle w:val="Hyperlink"/>
          </w:rPr>
          <w:t>notified</w:t>
        </w:r>
      </w:hyperlink>
      <w:r w:rsidR="006F124C">
        <w:t xml:space="preserve"> </w:t>
      </w:r>
      <w:r>
        <w:t>the GNSO Council accordingly;</w:t>
      </w:r>
    </w:p>
    <w:p w14:paraId="02BAFC7D" w14:textId="77777777" w:rsidR="00620B76" w:rsidRDefault="00620B76"/>
    <w:p w14:paraId="5A74E83A" w14:textId="73B79413" w:rsidR="00620B76" w:rsidRDefault="00620B76" w:rsidP="008251F8">
      <w:pPr>
        <w:pStyle w:val="ListParagraph"/>
        <w:numPr>
          <w:ilvl w:val="0"/>
          <w:numId w:val="1"/>
        </w:numPr>
      </w:pPr>
      <w:r>
        <w:t xml:space="preserve">On 30 April 2014 the Board </w:t>
      </w:r>
      <w:hyperlink r:id="rId11" w:history="1">
        <w:r w:rsidR="00181F1A">
          <w:rPr>
            <w:rStyle w:val="Hyperlink"/>
          </w:rPr>
          <w:t>resolved</w:t>
        </w:r>
      </w:hyperlink>
      <w:r w:rsidR="00181F1A">
        <w:t xml:space="preserve"> </w:t>
      </w:r>
      <w:r>
        <w:t>to adopt those of the GNSO’s recommendations that are not inconsistent with GAC advice, and to facilitate dialogue between the affected parties to reconcile the remaining differences</w:t>
      </w:r>
      <w:r w:rsidR="00A01DF6">
        <w:t xml:space="preserve">, as further detailed in </w:t>
      </w:r>
      <w:hyperlink r:id="rId12" w:history="1">
        <w:r w:rsidR="00A01DF6">
          <w:rPr>
            <w:rStyle w:val="Hyperlink"/>
          </w:rPr>
          <w:t>Annex A</w:t>
        </w:r>
      </w:hyperlink>
      <w:r w:rsidR="00A01DF6">
        <w:t xml:space="preserve"> and </w:t>
      </w:r>
      <w:hyperlink r:id="rId13" w:history="1">
        <w:r w:rsidR="00A01DF6">
          <w:rPr>
            <w:rStyle w:val="Hyperlink"/>
          </w:rPr>
          <w:t>Annex B</w:t>
        </w:r>
      </w:hyperlink>
      <w:r w:rsidR="00A01DF6">
        <w:t xml:space="preserve"> of the Board’s resolution;</w:t>
      </w:r>
    </w:p>
    <w:p w14:paraId="51FDE857" w14:textId="77777777" w:rsidR="00620B76" w:rsidRDefault="00620B76"/>
    <w:p w14:paraId="14C73856" w14:textId="40FB48B6" w:rsidR="00620B76" w:rsidRPr="006F124C" w:rsidRDefault="00620B76" w:rsidP="006F12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t xml:space="preserve">The GNSO’s recommendations and GAC advice are largely consistent except in relation to the duration </w:t>
      </w:r>
      <w:r w:rsidR="008251F8">
        <w:t xml:space="preserve">and mechanism </w:t>
      </w:r>
      <w:r>
        <w:t xml:space="preserve">of protection for IGO acronyms and the </w:t>
      </w:r>
      <w:r w:rsidR="005508EA">
        <w:t xml:space="preserve">full names and acronyms </w:t>
      </w:r>
      <w:r>
        <w:t xml:space="preserve">of </w:t>
      </w:r>
      <w:r w:rsidR="005508EA">
        <w:t xml:space="preserve">189 </w:t>
      </w:r>
      <w:r>
        <w:t>Red Cross natio</w:t>
      </w:r>
      <w:r w:rsidR="005559EC">
        <w:t>nal societies and</w:t>
      </w:r>
      <w:r w:rsidR="005508EA">
        <w:t xml:space="preserve"> the </w:t>
      </w:r>
      <w:r>
        <w:t xml:space="preserve">international Red Cross </w:t>
      </w:r>
      <w:r w:rsidR="005508EA" w:rsidRPr="004A3EF8">
        <w:t>and Red Crescent movement</w:t>
      </w:r>
      <w:r w:rsidR="009A7476">
        <w:t>, for which the GNSO had</w:t>
      </w:r>
      <w:r w:rsidR="00614D44">
        <w:t xml:space="preserve"> </w:t>
      </w:r>
      <w:hyperlink r:id="rId14" w:anchor="20131120-2" w:history="1">
        <w:r w:rsidR="009956EA">
          <w:rPr>
            <w:rStyle w:val="Hyperlink"/>
          </w:rPr>
          <w:t>recommended</w:t>
        </w:r>
      </w:hyperlink>
      <w:r w:rsidR="009956EA">
        <w:t xml:space="preserve"> </w:t>
      </w:r>
      <w:r w:rsidR="00614D44">
        <w:t>a 90-day period of protection by way of a claim notification service through the Trademark Clearinghouse (TMCH)</w:t>
      </w:r>
      <w:r w:rsidR="005559EC">
        <w:t>;</w:t>
      </w:r>
      <w:r>
        <w:t xml:space="preserve"> </w:t>
      </w:r>
    </w:p>
    <w:p w14:paraId="39C8EFD8" w14:textId="77777777" w:rsidR="00614D44" w:rsidRDefault="00614D44"/>
    <w:p w14:paraId="3B0C12B3" w14:textId="49266504" w:rsidR="00E26036" w:rsidRDefault="009A7476" w:rsidP="00E26036">
      <w:pPr>
        <w:pStyle w:val="ListParagraph"/>
        <w:numPr>
          <w:ilvl w:val="0"/>
          <w:numId w:val="1"/>
        </w:numPr>
      </w:pPr>
      <w:r>
        <w:t>The GAC had</w:t>
      </w:r>
      <w:r w:rsidR="00614D44">
        <w:t xml:space="preserve"> requested, in its </w:t>
      </w:r>
      <w:r w:rsidR="00A01DF6">
        <w:t xml:space="preserve">July 2013 </w:t>
      </w:r>
      <w:hyperlink r:id="rId15" w:history="1">
        <w:r w:rsidR="00A01DF6">
          <w:rPr>
            <w:rStyle w:val="Hyperlink"/>
          </w:rPr>
          <w:t>Durban</w:t>
        </w:r>
      </w:hyperlink>
      <w:r w:rsidR="00A01DF6">
        <w:t xml:space="preserve">, </w:t>
      </w:r>
      <w:r w:rsidR="00614D44">
        <w:t xml:space="preserve">November 2013 </w:t>
      </w:r>
      <w:hyperlink r:id="rId16" w:history="1">
        <w:r w:rsidR="00A01DF6">
          <w:rPr>
            <w:rStyle w:val="Hyperlink"/>
          </w:rPr>
          <w:t>Buenos Aires</w:t>
        </w:r>
      </w:hyperlink>
      <w:r w:rsidR="00A01DF6">
        <w:t xml:space="preserve"> </w:t>
      </w:r>
      <w:r w:rsidR="00676A07">
        <w:t xml:space="preserve">and March 2014 </w:t>
      </w:r>
      <w:hyperlink r:id="rId17" w:history="1">
        <w:r w:rsidR="00A01DF6">
          <w:rPr>
            <w:rStyle w:val="Hyperlink"/>
          </w:rPr>
          <w:t>Singapore</w:t>
        </w:r>
      </w:hyperlink>
      <w:r w:rsidR="00A01DF6">
        <w:t xml:space="preserve"> </w:t>
      </w:r>
      <w:proofErr w:type="spellStart"/>
      <w:r w:rsidR="00614D44">
        <w:t>Communique</w:t>
      </w:r>
      <w:r w:rsidR="00676A07">
        <w:t>s</w:t>
      </w:r>
      <w:proofErr w:type="spellEnd"/>
      <w:r w:rsidR="00614D44">
        <w:t xml:space="preserve">, that protection for IGO acronyms be at low or no cost to the organizations, and include binding third </w:t>
      </w:r>
      <w:r w:rsidR="00614D44">
        <w:lastRenderedPageBreak/>
        <w:t>party review in the event of a second level dispute with a registrant</w:t>
      </w:r>
      <w:r w:rsidR="002E3275">
        <w:t xml:space="preserve">, and that </w:t>
      </w:r>
      <w:r w:rsidR="00E26036">
        <w:t>the same</w:t>
      </w:r>
      <w:r w:rsidR="002E3275">
        <w:t xml:space="preserve"> complementary cost-neutral mechanism </w:t>
      </w:r>
      <w:r w:rsidR="00E26036">
        <w:t xml:space="preserve">be used </w:t>
      </w:r>
      <w:r w:rsidR="002E3275">
        <w:t xml:space="preserve">for </w:t>
      </w:r>
      <w:r w:rsidR="00E26036">
        <w:t>the</w:t>
      </w:r>
      <w:r w:rsidR="00E26036" w:rsidRPr="00E26036">
        <w:t xml:space="preserve"> </w:t>
      </w:r>
      <w:r w:rsidR="00E26036">
        <w:t>acronyms of the International Committee of the Red Cross (ICRC/CICR) and the International Federation of Red Cross and Red Crescent Societies (IFRC/FICR)</w:t>
      </w:r>
      <w:r w:rsidR="00614D44">
        <w:t>;</w:t>
      </w:r>
    </w:p>
    <w:p w14:paraId="3E78E0A1" w14:textId="77777777" w:rsidR="00E26036" w:rsidRDefault="00E26036" w:rsidP="004A3EF8">
      <w:pPr>
        <w:ind w:left="720"/>
      </w:pPr>
    </w:p>
    <w:p w14:paraId="34A24CB3" w14:textId="51BDB724" w:rsidR="006F124C" w:rsidRPr="006F124C" w:rsidRDefault="00E26036" w:rsidP="006F124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Calibri"/>
        </w:rPr>
      </w:pPr>
      <w:r>
        <w:t xml:space="preserve">In its March 2014 Singapore </w:t>
      </w:r>
      <w:proofErr w:type="spellStart"/>
      <w:r>
        <w:t>Communique</w:t>
      </w:r>
      <w:proofErr w:type="spellEnd"/>
      <w:r>
        <w:t xml:space="preserve">, the GAC had </w:t>
      </w:r>
      <w:r w:rsidR="006F124C">
        <w:t xml:space="preserve">also </w:t>
      </w:r>
      <w:r>
        <w:t xml:space="preserve">clarified that its request for permanent protection for the </w:t>
      </w:r>
      <w:r w:rsidR="005508EA">
        <w:t>terms most closely associated with the international Red Cross and Red Crescent movem</w:t>
      </w:r>
      <w:r w:rsidR="005508EA" w:rsidRPr="004A3EF8">
        <w:t xml:space="preserve">ent included the 189 Red Cross </w:t>
      </w:r>
      <w:r w:rsidR="005508EA">
        <w:t xml:space="preserve">and Red Crescent </w:t>
      </w:r>
      <w:r w:rsidR="005508EA" w:rsidRPr="004A3EF8">
        <w:t xml:space="preserve">national societies and the full names of </w:t>
      </w:r>
      <w:r w:rsidR="005508EA" w:rsidRPr="006F124C">
        <w:rPr>
          <w:rFonts w:cs="Calibri"/>
        </w:rPr>
        <w:t>International Committee of the Red Cross and International Federation of the Red Cross and Red Crescent Societies</w:t>
      </w:r>
      <w:r w:rsidR="006F124C">
        <w:t>;</w:t>
      </w:r>
    </w:p>
    <w:p w14:paraId="20666800" w14:textId="77777777" w:rsidR="006F124C" w:rsidRDefault="006F124C" w:rsidP="006F124C">
      <w:pPr>
        <w:pStyle w:val="ListParagraph"/>
      </w:pPr>
    </w:p>
    <w:p w14:paraId="66C18946" w14:textId="0A4417A8" w:rsidR="00A424A1" w:rsidRDefault="00614D44" w:rsidP="006F124C">
      <w:pPr>
        <w:pStyle w:val="ListParagraph"/>
        <w:numPr>
          <w:ilvl w:val="0"/>
          <w:numId w:val="1"/>
        </w:numPr>
      </w:pPr>
      <w:r>
        <w:t xml:space="preserve">On 16 June 2014 the NGPC </w:t>
      </w:r>
      <w:hyperlink r:id="rId18" w:history="1">
        <w:r w:rsidR="006F124C">
          <w:rPr>
            <w:rStyle w:val="Hyperlink"/>
          </w:rPr>
          <w:t>sent</w:t>
        </w:r>
      </w:hyperlink>
      <w:r w:rsidR="006F124C">
        <w:t xml:space="preserve"> </w:t>
      </w:r>
      <w:r>
        <w:t xml:space="preserve">a letter to the GNSO Council requesting that the GNSO consider modifying its recommendations </w:t>
      </w:r>
      <w:r w:rsidR="008251F8">
        <w:t xml:space="preserve">relating to the duration and mechanism of protection for IGO acronyms and </w:t>
      </w:r>
      <w:r w:rsidR="00454382">
        <w:t xml:space="preserve">national society names of </w:t>
      </w:r>
      <w:r w:rsidR="008251F8">
        <w:t xml:space="preserve">the Red Cross in accordance with Section 16 of the GNSO’s </w:t>
      </w:r>
      <w:hyperlink r:id="rId19" w:history="1">
        <w:r w:rsidR="00E43DEB">
          <w:rPr>
            <w:rStyle w:val="Hyperlink"/>
          </w:rPr>
          <w:t>PDP Manual</w:t>
        </w:r>
      </w:hyperlink>
      <w:r w:rsidR="00E43DEB">
        <w:t xml:space="preserve">; </w:t>
      </w:r>
    </w:p>
    <w:p w14:paraId="355DDDA5" w14:textId="77777777" w:rsidR="00A424A1" w:rsidRDefault="00A424A1" w:rsidP="0034502D"/>
    <w:p w14:paraId="22BE00F2" w14:textId="18F31338" w:rsidR="008251F8" w:rsidRDefault="00A424A1" w:rsidP="0034502D">
      <w:pPr>
        <w:pStyle w:val="ListParagraph"/>
        <w:numPr>
          <w:ilvl w:val="0"/>
          <w:numId w:val="1"/>
        </w:numPr>
      </w:pPr>
      <w:r>
        <w:t>Section 16 of the GNSO’s PDP Manual foresees that a</w:t>
      </w:r>
      <w:r w:rsidRPr="0034502D">
        <w:t>pproved GNSO Council policies may be modified or amended by the GNSO Council at any time prior</w:t>
      </w:r>
      <w:r>
        <w:t xml:space="preserve"> </w:t>
      </w:r>
      <w:r w:rsidRPr="0034502D">
        <w:t>to</w:t>
      </w:r>
      <w:bookmarkStart w:id="0" w:name="_GoBack"/>
      <w:bookmarkEnd w:id="0"/>
      <w:r w:rsidRPr="0034502D">
        <w:t xml:space="preserve"> final approval by the ICANN Board</w:t>
      </w:r>
      <w:r>
        <w:t>; and</w:t>
      </w:r>
    </w:p>
    <w:p w14:paraId="6E371A9B" w14:textId="77777777" w:rsidR="00614D44" w:rsidRDefault="00614D44" w:rsidP="008251F8">
      <w:pPr>
        <w:ind w:firstLine="60"/>
      </w:pPr>
    </w:p>
    <w:p w14:paraId="53048C37" w14:textId="1E5C78D3" w:rsidR="00620B76" w:rsidRDefault="008251F8" w:rsidP="0034502D">
      <w:pPr>
        <w:pStyle w:val="ListParagraph"/>
        <w:numPr>
          <w:ilvl w:val="0"/>
          <w:numId w:val="1"/>
        </w:numPr>
      </w:pPr>
      <w:r>
        <w:t>The GNSO Council</w:t>
      </w:r>
      <w:r w:rsidR="006F124C">
        <w:t xml:space="preserve"> has reviewed and discussed</w:t>
      </w:r>
      <w:r>
        <w:t xml:space="preserve"> the NGPC’s request</w:t>
      </w:r>
      <w:r w:rsidR="00A424A1">
        <w:t xml:space="preserve"> as well as section 16 of the GNSO’s PDP Manual</w:t>
      </w:r>
      <w:r>
        <w:t>;</w:t>
      </w:r>
    </w:p>
    <w:p w14:paraId="70840700" w14:textId="77777777" w:rsidR="00620B76" w:rsidRDefault="00620B76"/>
    <w:p w14:paraId="140D6FDB" w14:textId="77777777" w:rsidR="008251F8" w:rsidRDefault="008251F8">
      <w:r>
        <w:t>RESOLVED:</w:t>
      </w:r>
    </w:p>
    <w:p w14:paraId="6288EAEA" w14:textId="77777777" w:rsidR="008251F8" w:rsidRDefault="008251F8"/>
    <w:p w14:paraId="39A9025A" w14:textId="198AFC4A" w:rsidR="00620B76" w:rsidRDefault="00620B76" w:rsidP="008251F8">
      <w:pPr>
        <w:pStyle w:val="ListParagraph"/>
        <w:numPr>
          <w:ilvl w:val="0"/>
          <w:numId w:val="2"/>
        </w:numPr>
      </w:pPr>
      <w:r>
        <w:t xml:space="preserve">The GNSO Council hereby reconvenes the IGO-INGO PDP WG and </w:t>
      </w:r>
      <w:r w:rsidR="00A424A1">
        <w:t xml:space="preserve">re-confirms </w:t>
      </w:r>
      <w:r>
        <w:t xml:space="preserve">Thomas </w:t>
      </w:r>
      <w:proofErr w:type="spellStart"/>
      <w:r>
        <w:t>Rickert</w:t>
      </w:r>
      <w:proofErr w:type="spellEnd"/>
      <w:r>
        <w:t xml:space="preserve"> as its Chair;</w:t>
      </w:r>
    </w:p>
    <w:p w14:paraId="23CC0D64" w14:textId="77777777" w:rsidR="00620B76" w:rsidRDefault="00620B76"/>
    <w:p w14:paraId="662A6EDF" w14:textId="448618BD" w:rsidR="008251F8" w:rsidRDefault="00620B76" w:rsidP="008251F8">
      <w:pPr>
        <w:pStyle w:val="ListParagraph"/>
        <w:numPr>
          <w:ilvl w:val="0"/>
          <w:numId w:val="2"/>
        </w:numPr>
      </w:pPr>
      <w:r>
        <w:t xml:space="preserve">The GNSO Council requests the reconvened </w:t>
      </w:r>
      <w:r w:rsidR="008251F8">
        <w:t xml:space="preserve">IGO-INGO PDP WG to consider the feasibility and practicability of the </w:t>
      </w:r>
      <w:r>
        <w:t xml:space="preserve">attached </w:t>
      </w:r>
      <w:r w:rsidR="00697F5B" w:rsidRPr="00697F5B">
        <w:rPr>
          <w:i/>
        </w:rPr>
        <w:t>[INSERT LINK]</w:t>
      </w:r>
      <w:r w:rsidR="00697F5B">
        <w:t xml:space="preserve"> </w:t>
      </w:r>
      <w:r>
        <w:t>proposed amendment/modification of the</w:t>
      </w:r>
      <w:r w:rsidR="008251F8">
        <w:t xml:space="preserve"> GNSO’s recommendations pertaining to the duration and mechanism of protection for IGO acronyms and certain additional </w:t>
      </w:r>
      <w:r w:rsidR="00807DED">
        <w:t xml:space="preserve">identifiers </w:t>
      </w:r>
      <w:r w:rsidR="000F1C12">
        <w:t xml:space="preserve">of </w:t>
      </w:r>
      <w:r w:rsidR="008251F8">
        <w:t xml:space="preserve">Red Cross </w:t>
      </w:r>
      <w:r w:rsidR="002E3275">
        <w:t>national societies</w:t>
      </w:r>
      <w:r w:rsidR="008251F8">
        <w:t>;</w:t>
      </w:r>
    </w:p>
    <w:p w14:paraId="04EC4E09" w14:textId="77777777" w:rsidR="008251F8" w:rsidRDefault="008251F8"/>
    <w:p w14:paraId="7959AE98" w14:textId="54991C2A" w:rsidR="002E3275" w:rsidRDefault="008251F8" w:rsidP="008251F8">
      <w:pPr>
        <w:pStyle w:val="ListParagraph"/>
        <w:numPr>
          <w:ilvl w:val="0"/>
          <w:numId w:val="2"/>
        </w:numPr>
      </w:pPr>
      <w:r>
        <w:t xml:space="preserve">The GNSO Council requests that the IGO-INGO PDP WG provide the Council with its </w:t>
      </w:r>
      <w:r w:rsidR="002E3275">
        <w:t xml:space="preserve">recommendation in relation to </w:t>
      </w:r>
      <w:r>
        <w:t xml:space="preserve">the proposed amendment/modification within </w:t>
      </w:r>
      <w:r w:rsidR="00676A07">
        <w:t>forty-five (45)</w:t>
      </w:r>
      <w:r>
        <w:t xml:space="preserve"> days of </w:t>
      </w:r>
      <w:r w:rsidR="00676A07">
        <w:t>the reconvening of the WG</w:t>
      </w:r>
      <w:r w:rsidR="002E3275">
        <w:t>;</w:t>
      </w:r>
    </w:p>
    <w:p w14:paraId="5B1678C6" w14:textId="77777777" w:rsidR="002E3275" w:rsidRDefault="002E3275" w:rsidP="002E3275">
      <w:pPr>
        <w:ind w:left="360"/>
      </w:pPr>
    </w:p>
    <w:p w14:paraId="7C6F3667" w14:textId="676FF222" w:rsidR="002E3275" w:rsidRDefault="002E3275" w:rsidP="008251F8">
      <w:pPr>
        <w:pStyle w:val="ListParagraph"/>
        <w:numPr>
          <w:ilvl w:val="0"/>
          <w:numId w:val="2"/>
        </w:numPr>
      </w:pPr>
      <w:r>
        <w:t>The GNSO Council requests that, within seven (7) calendar days of this resolution, ICANN staff publish the proposed amendment/modification for public comment for a period of not less than thirty (30) days;</w:t>
      </w:r>
      <w:r w:rsidR="00697F5B">
        <w:t xml:space="preserve"> and</w:t>
      </w:r>
    </w:p>
    <w:p w14:paraId="4461C719" w14:textId="77777777" w:rsidR="002E3275" w:rsidRDefault="002E3275" w:rsidP="002E3275">
      <w:pPr>
        <w:ind w:left="360"/>
      </w:pPr>
    </w:p>
    <w:p w14:paraId="787A6DC2" w14:textId="4CA8FCA2" w:rsidR="00620B76" w:rsidRDefault="002E3275" w:rsidP="008251F8">
      <w:pPr>
        <w:pStyle w:val="ListParagraph"/>
        <w:numPr>
          <w:ilvl w:val="0"/>
          <w:numId w:val="2"/>
        </w:numPr>
      </w:pPr>
      <w:r>
        <w:t>Following receipt of the IGO-INGO PDP WG’s response and the closure of the public comment period, the GNSO Council will consider all responses received in determining whether or not to adopt the proposed amendment/modification and notify the NGPC of its decision accordingly</w:t>
      </w:r>
      <w:r w:rsidR="00697F5B">
        <w:t>.</w:t>
      </w:r>
    </w:p>
    <w:sectPr w:rsidR="00620B76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8B0226"/>
    <w:multiLevelType w:val="hybridMultilevel"/>
    <w:tmpl w:val="14B6F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B5566"/>
    <w:multiLevelType w:val="hybridMultilevel"/>
    <w:tmpl w:val="32FC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557"/>
    <w:multiLevelType w:val="multilevel"/>
    <w:tmpl w:val="A508B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6B89"/>
    <w:multiLevelType w:val="hybridMultilevel"/>
    <w:tmpl w:val="32FC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76"/>
    <w:rsid w:val="000F1C12"/>
    <w:rsid w:val="001110F3"/>
    <w:rsid w:val="00181F1A"/>
    <w:rsid w:val="00212FA6"/>
    <w:rsid w:val="002C50EB"/>
    <w:rsid w:val="002E3275"/>
    <w:rsid w:val="0034502D"/>
    <w:rsid w:val="00454382"/>
    <w:rsid w:val="004A3EF8"/>
    <w:rsid w:val="00515C16"/>
    <w:rsid w:val="005508EA"/>
    <w:rsid w:val="005559EC"/>
    <w:rsid w:val="00614D44"/>
    <w:rsid w:val="00620B76"/>
    <w:rsid w:val="00676A07"/>
    <w:rsid w:val="00697F5B"/>
    <w:rsid w:val="006F124C"/>
    <w:rsid w:val="00727B9E"/>
    <w:rsid w:val="007F65FF"/>
    <w:rsid w:val="008010BB"/>
    <w:rsid w:val="00807DED"/>
    <w:rsid w:val="008251F8"/>
    <w:rsid w:val="008C4D0C"/>
    <w:rsid w:val="00937997"/>
    <w:rsid w:val="009956EA"/>
    <w:rsid w:val="009A7476"/>
    <w:rsid w:val="009D178F"/>
    <w:rsid w:val="009D56BD"/>
    <w:rsid w:val="00A01DF6"/>
    <w:rsid w:val="00A424A1"/>
    <w:rsid w:val="00C86B0A"/>
    <w:rsid w:val="00CD6AE2"/>
    <w:rsid w:val="00D00E2A"/>
    <w:rsid w:val="00D16ED3"/>
    <w:rsid w:val="00E015BF"/>
    <w:rsid w:val="00E06902"/>
    <w:rsid w:val="00E26036"/>
    <w:rsid w:val="00E43DEB"/>
    <w:rsid w:val="00E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2E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D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D0C"/>
  </w:style>
  <w:style w:type="paragraph" w:styleId="BalloonText">
    <w:name w:val="Balloon Text"/>
    <w:basedOn w:val="Normal"/>
    <w:link w:val="BalloonTextChar"/>
    <w:uiPriority w:val="99"/>
    <w:semiHidden/>
    <w:unhideWhenUsed/>
    <w:rsid w:val="008C4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D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D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D0C"/>
  </w:style>
  <w:style w:type="paragraph" w:styleId="BalloonText">
    <w:name w:val="Balloon Text"/>
    <w:basedOn w:val="Normal"/>
    <w:link w:val="BalloonTextChar"/>
    <w:uiPriority w:val="99"/>
    <w:semiHidden/>
    <w:unhideWhenUsed/>
    <w:rsid w:val="008C4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nso.icann.org/en/council/resolution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gnso.icann.org/en/correspondence/chalaby-to-robinson-20mar14-en.pdf" TargetMode="External"/><Relationship Id="rId11" Type="http://schemas.openxmlformats.org/officeDocument/2006/relationships/hyperlink" Target="https://www.icann.org/resources/board-material/resolutions-2014-04-30-en" TargetMode="External"/><Relationship Id="rId12" Type="http://schemas.openxmlformats.org/officeDocument/2006/relationships/hyperlink" Target="https://www.icann.org/en/groups/board/documents/resolutions-annex-a-30apr14-en.pdf" TargetMode="External"/><Relationship Id="rId13" Type="http://schemas.openxmlformats.org/officeDocument/2006/relationships/hyperlink" Target="https://www.icann.org/en/groups/board/documents/resolutions-annex-b-30apr14-en.pdf" TargetMode="External"/><Relationship Id="rId14" Type="http://schemas.openxmlformats.org/officeDocument/2006/relationships/hyperlink" Target="http://gnso.icann.org/en/council/resolutions" TargetMode="External"/><Relationship Id="rId15" Type="http://schemas.openxmlformats.org/officeDocument/2006/relationships/hyperlink" Target="https://gacweb.icann.org/download/attachments/32637202/Final_GAC_Communique_Durban_20130718.pdf?version=1&amp;modificationDate=1375971065000&amp;api=v2" TargetMode="External"/><Relationship Id="rId16" Type="http://schemas.openxmlformats.org/officeDocument/2006/relationships/hyperlink" Target="https://gacweb.icann.org/download/attachments/33849634/FINAL_Buenos_Aires_GAC_Communique_20131120.pdf?version=1&amp;modificationDate=1390438464000&amp;api=v2" TargetMode="External"/><Relationship Id="rId17" Type="http://schemas.openxmlformats.org/officeDocument/2006/relationships/hyperlink" Target="https://gacweb.icann.org/download/attachments/34373735/Final%20Communique%20-%20Singapore%202014.pdf?version=1&amp;modificationDate=1396983330000&amp;api=v2" TargetMode="External"/><Relationship Id="rId18" Type="http://schemas.openxmlformats.org/officeDocument/2006/relationships/hyperlink" Target="http://gnso.icann.org/en/correspondence/chalaby-to-robinson-16jun14-en.pdf" TargetMode="External"/><Relationship Id="rId19" Type="http://schemas.openxmlformats.org/officeDocument/2006/relationships/hyperlink" Target="http://gnso.icann.org/council/annex-2-pdp-manual-13jun13-en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en/council/resolutions" TargetMode="External"/><Relationship Id="rId7" Type="http://schemas.openxmlformats.org/officeDocument/2006/relationships/hyperlink" Target="http://gnso.icann.org/en/issues/igo-ingo-final-10nov13-en.pdf" TargetMode="External"/><Relationship Id="rId8" Type="http://schemas.openxmlformats.org/officeDocument/2006/relationships/hyperlink" Target="http://gnso.icann.org/en/council/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Macintosh Word</Application>
  <DocSecurity>0</DocSecurity>
  <Lines>43</Lines>
  <Paragraphs>12</Paragraphs>
  <ScaleCrop>false</ScaleCrop>
  <Company>ICANN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2014-06-22T13:19:00Z</dcterms:created>
  <dcterms:modified xsi:type="dcterms:W3CDTF">2014-06-22T13:19:00Z</dcterms:modified>
</cp:coreProperties>
</file>