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A724F" w14:textId="77777777" w:rsidR="00E06902" w:rsidRDefault="00694220" w:rsidP="00A712B6">
      <w:pPr>
        <w:jc w:val="center"/>
        <w:rPr>
          <w:rFonts w:asciiTheme="majorHAnsi" w:hAnsiTheme="majorHAnsi"/>
          <w:b/>
          <w:sz w:val="28"/>
          <w:szCs w:val="28"/>
        </w:rPr>
      </w:pPr>
      <w:r w:rsidRPr="00A712B6">
        <w:rPr>
          <w:rFonts w:asciiTheme="majorHAnsi" w:hAnsiTheme="majorHAnsi"/>
          <w:b/>
          <w:sz w:val="28"/>
          <w:szCs w:val="28"/>
        </w:rPr>
        <w:t xml:space="preserve">COMPARISON TABLE OF </w:t>
      </w:r>
      <w:r w:rsidR="00AE5C26">
        <w:rPr>
          <w:rFonts w:asciiTheme="majorHAnsi" w:hAnsiTheme="majorHAnsi"/>
          <w:b/>
          <w:sz w:val="28"/>
          <w:szCs w:val="28"/>
        </w:rPr>
        <w:t xml:space="preserve">GAC ADVICE, </w:t>
      </w:r>
      <w:r w:rsidRPr="00A712B6">
        <w:rPr>
          <w:rFonts w:asciiTheme="majorHAnsi" w:hAnsiTheme="majorHAnsi"/>
          <w:b/>
          <w:sz w:val="28"/>
          <w:szCs w:val="28"/>
        </w:rPr>
        <w:t>GNSO RECOMMENDATIONS</w:t>
      </w:r>
      <w:r w:rsidR="009F5882" w:rsidRPr="00A712B6">
        <w:rPr>
          <w:rStyle w:val="FootnoteReference"/>
          <w:rFonts w:asciiTheme="majorHAnsi" w:hAnsiTheme="majorHAnsi"/>
          <w:b/>
          <w:sz w:val="28"/>
          <w:szCs w:val="28"/>
        </w:rPr>
        <w:footnoteReference w:id="1"/>
      </w:r>
      <w:r w:rsidRPr="00A712B6">
        <w:rPr>
          <w:rFonts w:asciiTheme="majorHAnsi" w:hAnsiTheme="majorHAnsi"/>
          <w:b/>
          <w:sz w:val="28"/>
          <w:szCs w:val="28"/>
        </w:rPr>
        <w:t xml:space="preserve"> &amp; PROPOSED </w:t>
      </w:r>
      <w:r w:rsidR="00FC4ED6">
        <w:rPr>
          <w:rFonts w:asciiTheme="majorHAnsi" w:hAnsiTheme="majorHAnsi"/>
          <w:b/>
          <w:sz w:val="28"/>
          <w:szCs w:val="28"/>
        </w:rPr>
        <w:t xml:space="preserve">GNSO COUNCIL </w:t>
      </w:r>
      <w:r w:rsidRPr="00A712B6">
        <w:rPr>
          <w:rFonts w:asciiTheme="majorHAnsi" w:hAnsiTheme="majorHAnsi"/>
          <w:b/>
          <w:sz w:val="28"/>
          <w:szCs w:val="28"/>
        </w:rPr>
        <w:t>MODIFICATION</w:t>
      </w:r>
      <w:r w:rsidR="00FC4ED6">
        <w:rPr>
          <w:rFonts w:asciiTheme="majorHAnsi" w:hAnsiTheme="majorHAnsi"/>
          <w:b/>
          <w:sz w:val="28"/>
          <w:szCs w:val="28"/>
        </w:rPr>
        <w:t xml:space="preserve"> (AS OF 22 JUNE 2014)</w:t>
      </w:r>
    </w:p>
    <w:p w14:paraId="356027A7" w14:textId="77777777" w:rsidR="00FC4ED6" w:rsidRPr="00A712B6" w:rsidRDefault="00FC4ED6" w:rsidP="00A712B6">
      <w:pPr>
        <w:jc w:val="center"/>
        <w:rPr>
          <w:rFonts w:asciiTheme="majorHAnsi" w:hAnsiTheme="majorHAnsi"/>
          <w:b/>
          <w:sz w:val="28"/>
          <w:szCs w:val="28"/>
        </w:rPr>
      </w:pPr>
    </w:p>
    <w:p w14:paraId="44DDFB53" w14:textId="77777777" w:rsidR="00694220" w:rsidRDefault="00694220"/>
    <w:tbl>
      <w:tblPr>
        <w:tblStyle w:val="LightList"/>
        <w:tblW w:w="720" w:type="dxa"/>
        <w:tblCellMar>
          <w:left w:w="43" w:type="dxa"/>
          <w:right w:w="43" w:type="dxa"/>
        </w:tblCellMar>
        <w:tblLook w:val="04A0" w:firstRow="1" w:lastRow="0" w:firstColumn="1" w:lastColumn="0" w:noHBand="0" w:noVBand="1"/>
      </w:tblPr>
      <w:tblGrid>
        <w:gridCol w:w="3178"/>
        <w:gridCol w:w="3039"/>
        <w:gridCol w:w="2509"/>
      </w:tblGrid>
      <w:tr w:rsidR="00CE7A21" w:rsidRPr="00CE7A21" w14:paraId="79C74A20" w14:textId="77777777" w:rsidTr="00CE7A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noWrap/>
          </w:tcPr>
          <w:p w14:paraId="12FF67D6" w14:textId="77777777" w:rsidR="00CE7A21" w:rsidRPr="00CE7A21" w:rsidRDefault="00CE7A21">
            <w:pPr>
              <w:rPr>
                <w:rFonts w:asciiTheme="majorHAnsi" w:hAnsiTheme="majorHAnsi"/>
              </w:rPr>
            </w:pPr>
            <w:r>
              <w:rPr>
                <w:rFonts w:asciiTheme="majorHAnsi" w:hAnsiTheme="majorHAnsi"/>
              </w:rPr>
              <w:t xml:space="preserve">GAC Advice (Durban, BA &amp; </w:t>
            </w:r>
            <w:proofErr w:type="spellStart"/>
            <w:r>
              <w:rPr>
                <w:rFonts w:asciiTheme="majorHAnsi" w:hAnsiTheme="majorHAnsi"/>
              </w:rPr>
              <w:t>S’pore</w:t>
            </w:r>
            <w:proofErr w:type="spellEnd"/>
            <w:r>
              <w:rPr>
                <w:rFonts w:asciiTheme="majorHAnsi" w:hAnsiTheme="majorHAnsi"/>
              </w:rPr>
              <w:t xml:space="preserve"> </w:t>
            </w:r>
            <w:proofErr w:type="spellStart"/>
            <w:r>
              <w:rPr>
                <w:rFonts w:asciiTheme="majorHAnsi" w:hAnsiTheme="majorHAnsi"/>
              </w:rPr>
              <w:t>Communiques</w:t>
            </w:r>
            <w:proofErr w:type="spellEnd"/>
            <w:r>
              <w:rPr>
                <w:rFonts w:asciiTheme="majorHAnsi" w:hAnsiTheme="majorHAnsi"/>
              </w:rPr>
              <w:t>)</w:t>
            </w:r>
          </w:p>
        </w:tc>
        <w:tc>
          <w:tcPr>
            <w:tcW w:w="0" w:type="auto"/>
            <w:noWrap/>
          </w:tcPr>
          <w:p w14:paraId="6B3F378F" w14:textId="77777777" w:rsidR="00CE7A21" w:rsidRPr="00CE7A21" w:rsidRDefault="00CE7A21">
            <w:pP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rPr>
            </w:pPr>
            <w:r w:rsidRPr="00CE7A21">
              <w:rPr>
                <w:rFonts w:asciiTheme="majorHAnsi" w:hAnsiTheme="majorHAnsi"/>
                <w:color w:val="auto"/>
              </w:rPr>
              <w:t>GNSO Recommendation (Nov 2013)</w:t>
            </w:r>
          </w:p>
        </w:tc>
        <w:tc>
          <w:tcPr>
            <w:tcW w:w="0" w:type="auto"/>
            <w:noWrap/>
          </w:tcPr>
          <w:p w14:paraId="73435957" w14:textId="77777777" w:rsidR="00CE7A21" w:rsidRPr="00CE7A21" w:rsidRDefault="00CE7A21">
            <w:pP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rPr>
            </w:pPr>
            <w:r w:rsidRPr="00CE7A21">
              <w:rPr>
                <w:rFonts w:asciiTheme="majorHAnsi" w:hAnsiTheme="majorHAnsi"/>
                <w:color w:val="auto"/>
              </w:rPr>
              <w:t>Proposed Modification (June 2014)</w:t>
            </w:r>
          </w:p>
        </w:tc>
      </w:tr>
      <w:tr w:rsidR="00CE7A21" w:rsidRPr="00CE7A21" w14:paraId="621B8C51" w14:textId="77777777" w:rsidTr="00CE7A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noWrap/>
          </w:tcPr>
          <w:p w14:paraId="6D73A0A3" w14:textId="77777777" w:rsidR="00CE7A21" w:rsidRPr="00CE7A21" w:rsidRDefault="00CE7A21" w:rsidP="00694220">
            <w:pPr>
              <w:rPr>
                <w:rFonts w:asciiTheme="majorHAnsi" w:hAnsiTheme="majorHAnsi"/>
              </w:rPr>
            </w:pPr>
            <w:r w:rsidRPr="00CE7A21">
              <w:rPr>
                <w:rFonts w:asciiTheme="majorHAnsi" w:hAnsiTheme="majorHAnsi"/>
              </w:rPr>
              <w:t>Red Cross &amp; Red Crescent (RC):</w:t>
            </w:r>
          </w:p>
          <w:p w14:paraId="07E68687" w14:textId="77777777" w:rsidR="00CE7A21" w:rsidRPr="00CE7A21" w:rsidRDefault="00CE7A21" w:rsidP="00694220">
            <w:pPr>
              <w:rPr>
                <w:rFonts w:asciiTheme="majorHAnsi" w:hAnsiTheme="majorHAnsi"/>
                <w:b w:val="0"/>
              </w:rPr>
            </w:pPr>
          </w:p>
          <w:p w14:paraId="31C39F84" w14:textId="77777777" w:rsidR="00CE7A21" w:rsidRPr="00CE7A21" w:rsidRDefault="00CE7A21" w:rsidP="00F84B38">
            <w:pPr>
              <w:rPr>
                <w:rFonts w:asciiTheme="majorHAnsi" w:hAnsiTheme="majorHAnsi"/>
                <w:b w:val="0"/>
              </w:rPr>
            </w:pPr>
            <w:r w:rsidRPr="00CE7A21">
              <w:rPr>
                <w:rFonts w:asciiTheme="majorHAnsi" w:hAnsiTheme="majorHAnsi"/>
                <w:b w:val="0"/>
              </w:rPr>
              <w:t xml:space="preserve">Terms associated with international RC movement “permanently protected from unauthorized use” – to include 189 national RC societies (English and official language) and Full Names of Int’l </w:t>
            </w:r>
            <w:proofErr w:type="spellStart"/>
            <w:r w:rsidRPr="00CE7A21">
              <w:rPr>
                <w:rFonts w:asciiTheme="majorHAnsi" w:hAnsiTheme="majorHAnsi"/>
                <w:b w:val="0"/>
              </w:rPr>
              <w:t>C’ttee</w:t>
            </w:r>
            <w:proofErr w:type="spellEnd"/>
            <w:r w:rsidRPr="00CE7A21">
              <w:rPr>
                <w:rFonts w:asciiTheme="majorHAnsi" w:hAnsiTheme="majorHAnsi"/>
                <w:b w:val="0"/>
              </w:rPr>
              <w:t xml:space="preserve"> of the RC &amp; Int’l Federation of RC Societies (in UN6)</w:t>
            </w:r>
          </w:p>
          <w:p w14:paraId="38CB66D1" w14:textId="77777777" w:rsidR="00CE7A21" w:rsidRPr="00CE7A21" w:rsidRDefault="00CE7A21" w:rsidP="00F84B38">
            <w:pPr>
              <w:rPr>
                <w:rFonts w:asciiTheme="majorHAnsi" w:hAnsiTheme="majorHAnsi"/>
                <w:b w:val="0"/>
              </w:rPr>
            </w:pPr>
          </w:p>
          <w:p w14:paraId="6E342DEC" w14:textId="77777777" w:rsidR="00CE7A21" w:rsidRDefault="00CE7A21" w:rsidP="00F84B38">
            <w:pPr>
              <w:rPr>
                <w:rFonts w:asciiTheme="majorHAnsi" w:hAnsiTheme="majorHAnsi"/>
                <w:b w:val="0"/>
              </w:rPr>
            </w:pPr>
            <w:r w:rsidRPr="00CE7A21">
              <w:rPr>
                <w:rFonts w:asciiTheme="majorHAnsi" w:hAnsiTheme="majorHAnsi"/>
                <w:b w:val="0"/>
              </w:rPr>
              <w:t>Acronyms of international RC entities (ICRC, CICR, IFRC, FICR) to have same “complementary cost neutral mechanism” as for IGOs</w:t>
            </w:r>
          </w:p>
          <w:p w14:paraId="62D2BA4F" w14:textId="77777777" w:rsidR="00395B49" w:rsidRDefault="00395B49" w:rsidP="00F84B38">
            <w:pPr>
              <w:rPr>
                <w:rFonts w:asciiTheme="majorHAnsi" w:hAnsiTheme="majorHAnsi"/>
                <w:b w:val="0"/>
              </w:rPr>
            </w:pPr>
          </w:p>
          <w:p w14:paraId="4942410A" w14:textId="77777777" w:rsidR="00395B49" w:rsidRPr="00395B49" w:rsidRDefault="00395B49" w:rsidP="00FC4ED6">
            <w:pPr>
              <w:rPr>
                <w:rFonts w:asciiTheme="majorHAnsi" w:hAnsiTheme="majorHAnsi"/>
                <w:i/>
              </w:rPr>
            </w:pPr>
            <w:r w:rsidRPr="00395B49">
              <w:rPr>
                <w:rFonts w:asciiTheme="majorHAnsi" w:hAnsiTheme="majorHAnsi"/>
                <w:b w:val="0"/>
                <w:i/>
              </w:rPr>
              <w:t>[NOTE</w:t>
            </w:r>
            <w:r w:rsidR="00FC4ED6">
              <w:rPr>
                <w:rFonts w:asciiTheme="majorHAnsi" w:hAnsiTheme="majorHAnsi"/>
                <w:b w:val="0"/>
                <w:i/>
              </w:rPr>
              <w:t>: See</w:t>
            </w:r>
            <w:r w:rsidRPr="00395B49">
              <w:rPr>
                <w:rFonts w:asciiTheme="majorHAnsi" w:hAnsiTheme="majorHAnsi"/>
                <w:b w:val="0"/>
                <w:i/>
              </w:rPr>
              <w:t xml:space="preserve"> new GAC advice from London</w:t>
            </w:r>
            <w:r w:rsidR="00FC4ED6">
              <w:rPr>
                <w:rFonts w:asciiTheme="majorHAnsi" w:hAnsiTheme="majorHAnsi"/>
                <w:b w:val="0"/>
                <w:i/>
              </w:rPr>
              <w:t>,</w:t>
            </w:r>
            <w:r w:rsidRPr="00395B49">
              <w:rPr>
                <w:rFonts w:asciiTheme="majorHAnsi" w:hAnsiTheme="majorHAnsi"/>
                <w:b w:val="0"/>
                <w:i/>
              </w:rPr>
              <w:t xml:space="preserve"> below]</w:t>
            </w:r>
          </w:p>
        </w:tc>
        <w:tc>
          <w:tcPr>
            <w:tcW w:w="0" w:type="auto"/>
            <w:noWrap/>
          </w:tcPr>
          <w:p w14:paraId="0DC5FC65" w14:textId="77777777" w:rsidR="00CE7A21" w:rsidRPr="00CE7A21" w:rsidRDefault="00CE7A21" w:rsidP="00694220">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CE7A21">
              <w:rPr>
                <w:rFonts w:asciiTheme="majorHAnsi" w:hAnsiTheme="majorHAnsi"/>
                <w:b/>
              </w:rPr>
              <w:t>Red Cross &amp; Red Crescent (RC):</w:t>
            </w:r>
          </w:p>
          <w:p w14:paraId="7F706769" w14:textId="77777777" w:rsidR="00CE7A21" w:rsidRPr="00CE7A21" w:rsidRDefault="00CE7A21" w:rsidP="00694220">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p w14:paraId="163C143E" w14:textId="77777777" w:rsidR="00CE7A21" w:rsidRPr="00CE7A21" w:rsidRDefault="00CE7A21" w:rsidP="00694220">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CE7A21">
              <w:rPr>
                <w:rFonts w:asciiTheme="majorHAnsi" w:hAnsiTheme="majorHAnsi"/>
                <w:u w:val="single"/>
              </w:rPr>
              <w:t>90 days</w:t>
            </w:r>
            <w:r w:rsidRPr="00CE7A21">
              <w:rPr>
                <w:rFonts w:asciiTheme="majorHAnsi" w:hAnsiTheme="majorHAnsi"/>
              </w:rPr>
              <w:t xml:space="preserve"> TMCH claims notice for Exact Match of RC Scope 2 Identifiers (i.e. full names and acronyms of 189 national RC societies (in English and respective national language) and of international RC entities  - ICRC, CICR, IFRC, FICR (in UN6))</w:t>
            </w:r>
            <w:r w:rsidRPr="00CE7A21">
              <w:rPr>
                <w:rStyle w:val="FootnoteReference"/>
                <w:rFonts w:asciiTheme="majorHAnsi" w:hAnsiTheme="majorHAnsi"/>
              </w:rPr>
              <w:footnoteReference w:id="2"/>
            </w:r>
          </w:p>
          <w:p w14:paraId="19E153FC" w14:textId="77777777" w:rsidR="00CE7A21" w:rsidRPr="00CE7A21" w:rsidRDefault="00CE7A21" w:rsidP="00694220">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0" w:type="auto"/>
            <w:noWrap/>
          </w:tcPr>
          <w:p w14:paraId="745FACA1" w14:textId="77777777" w:rsidR="00CE7A21" w:rsidRPr="00CE7A21" w:rsidRDefault="00CE7A21">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CE7A21">
              <w:rPr>
                <w:rFonts w:asciiTheme="majorHAnsi" w:hAnsiTheme="majorHAnsi"/>
                <w:b/>
              </w:rPr>
              <w:t>Red Cross &amp; Red Crescent (RC):</w:t>
            </w:r>
          </w:p>
          <w:p w14:paraId="156EA4A3" w14:textId="77777777" w:rsidR="00CE7A21" w:rsidRPr="00CE7A21" w:rsidRDefault="00CE7A21">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50AEB657" w14:textId="77777777" w:rsidR="00CE7A21" w:rsidRPr="00CE7A21" w:rsidRDefault="00CE7A21">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E7A21">
              <w:rPr>
                <w:rFonts w:asciiTheme="majorHAnsi" w:hAnsiTheme="majorHAnsi"/>
              </w:rPr>
              <w:t xml:space="preserve">Claims notice for </w:t>
            </w:r>
            <w:r w:rsidRPr="00CE7A21">
              <w:rPr>
                <w:rFonts w:asciiTheme="majorHAnsi" w:hAnsiTheme="majorHAnsi"/>
                <w:u w:val="single"/>
              </w:rPr>
              <w:t>life of TMCH</w:t>
            </w:r>
            <w:r w:rsidRPr="00CE7A21">
              <w:rPr>
                <w:rFonts w:asciiTheme="majorHAnsi" w:hAnsiTheme="majorHAnsi"/>
              </w:rPr>
              <w:t xml:space="preserve"> (pre-registration notice to registrant plus post-registration notice to relevant RC entity) for Exact Match of RC Scope 2</w:t>
            </w:r>
            <w:r w:rsidR="00A712B6">
              <w:rPr>
                <w:rStyle w:val="FootnoteReference"/>
                <w:rFonts w:asciiTheme="majorHAnsi" w:hAnsiTheme="majorHAnsi"/>
              </w:rPr>
              <w:footnoteReference w:id="3"/>
            </w:r>
            <w:r w:rsidRPr="00CE7A21">
              <w:rPr>
                <w:rFonts w:asciiTheme="majorHAnsi" w:hAnsiTheme="majorHAnsi"/>
              </w:rPr>
              <w:t xml:space="preserve"> Identifiers</w:t>
            </w:r>
          </w:p>
          <w:p w14:paraId="5995F920" w14:textId="77777777" w:rsidR="00CE7A21" w:rsidRPr="00CE7A21" w:rsidRDefault="00CE7A21">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69833270" w14:textId="77777777" w:rsidR="00CE7A21" w:rsidRPr="00CE7A21" w:rsidRDefault="00CE7A21">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E7A21">
              <w:rPr>
                <w:rFonts w:asciiTheme="majorHAnsi" w:hAnsiTheme="majorHAnsi"/>
              </w:rPr>
              <w:t xml:space="preserve">New Curative Rights PDP WG to consider same no/low cost mechanism for acronyms of </w:t>
            </w:r>
            <w:r>
              <w:rPr>
                <w:rFonts w:asciiTheme="majorHAnsi" w:hAnsiTheme="majorHAnsi"/>
              </w:rPr>
              <w:t>international RC entities (</w:t>
            </w:r>
            <w:r w:rsidRPr="00CE7A21">
              <w:rPr>
                <w:rFonts w:asciiTheme="majorHAnsi" w:hAnsiTheme="majorHAnsi"/>
              </w:rPr>
              <w:t>ICRC, CICR, IFRC, FICR) as any that may be recommended for IGOs/INGOs</w:t>
            </w:r>
          </w:p>
          <w:p w14:paraId="6932EF84" w14:textId="77777777" w:rsidR="00CE7A21" w:rsidRPr="00CE7A21" w:rsidRDefault="00CE7A21">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E7A21" w:rsidRPr="00CE7A21" w14:paraId="4814FCAA" w14:textId="77777777" w:rsidTr="00CE7A21">
        <w:tc>
          <w:tcPr>
            <w:cnfStyle w:val="001000000000" w:firstRow="0" w:lastRow="0" w:firstColumn="1" w:lastColumn="0" w:oddVBand="0" w:evenVBand="0" w:oddHBand="0" w:evenHBand="0" w:firstRowFirstColumn="0" w:firstRowLastColumn="0" w:lastRowFirstColumn="0" w:lastRowLastColumn="0"/>
            <w:tcW w:w="0" w:type="auto"/>
            <w:noWrap/>
          </w:tcPr>
          <w:p w14:paraId="55E2F8CF" w14:textId="77777777" w:rsidR="00CE7A21" w:rsidRPr="00CE7A21" w:rsidRDefault="00CE7A21">
            <w:pPr>
              <w:rPr>
                <w:rFonts w:asciiTheme="majorHAnsi" w:hAnsiTheme="majorHAnsi"/>
              </w:rPr>
            </w:pPr>
            <w:r w:rsidRPr="00CE7A21">
              <w:rPr>
                <w:rFonts w:asciiTheme="majorHAnsi" w:hAnsiTheme="majorHAnsi"/>
              </w:rPr>
              <w:t>IGO Acronyms:</w:t>
            </w:r>
          </w:p>
          <w:p w14:paraId="7F7000ED" w14:textId="77777777" w:rsidR="00CE7A21" w:rsidRPr="00CE7A21" w:rsidRDefault="00CE7A21">
            <w:pPr>
              <w:rPr>
                <w:rFonts w:asciiTheme="majorHAnsi" w:hAnsiTheme="majorHAnsi"/>
                <w:b w:val="0"/>
              </w:rPr>
            </w:pPr>
          </w:p>
          <w:p w14:paraId="06E07B3D" w14:textId="77777777" w:rsidR="00CE7A21" w:rsidRPr="00CE7A21" w:rsidRDefault="00CE7A21">
            <w:pPr>
              <w:rPr>
                <w:rFonts w:asciiTheme="majorHAnsi" w:hAnsiTheme="majorHAnsi"/>
                <w:b w:val="0"/>
              </w:rPr>
            </w:pPr>
            <w:r w:rsidRPr="00CE7A21">
              <w:rPr>
                <w:rFonts w:asciiTheme="majorHAnsi" w:hAnsiTheme="majorHAnsi"/>
                <w:b w:val="0"/>
              </w:rPr>
              <w:t>Permanent second level protection in the form of:</w:t>
            </w:r>
          </w:p>
          <w:p w14:paraId="6CE47F71" w14:textId="77777777" w:rsidR="00CE7A21" w:rsidRPr="00CE7A21" w:rsidRDefault="00CE7A21" w:rsidP="00CE7A21">
            <w:pPr>
              <w:widowControl w:val="0"/>
              <w:numPr>
                <w:ilvl w:val="0"/>
                <w:numId w:val="2"/>
              </w:numPr>
              <w:tabs>
                <w:tab w:val="left" w:pos="220"/>
                <w:tab w:val="left" w:pos="720"/>
              </w:tabs>
              <w:autoSpaceDE w:val="0"/>
              <w:autoSpaceDN w:val="0"/>
              <w:adjustRightInd w:val="0"/>
              <w:spacing w:after="320" w:line="276" w:lineRule="auto"/>
              <w:rPr>
                <w:rFonts w:asciiTheme="majorHAnsi" w:hAnsiTheme="majorHAnsi" w:cs="Calibri"/>
                <w:b w:val="0"/>
              </w:rPr>
            </w:pPr>
            <w:r w:rsidRPr="00CE7A21">
              <w:rPr>
                <w:rFonts w:asciiTheme="majorHAnsi" w:hAnsiTheme="majorHAnsi" w:cs="Calibri"/>
                <w:b w:val="0"/>
              </w:rPr>
              <w:t xml:space="preserve">Permanent system of notifications to both the potential registrant of a matching domain and </w:t>
            </w:r>
            <w:r w:rsidRPr="00CE7A21">
              <w:rPr>
                <w:rFonts w:asciiTheme="majorHAnsi" w:hAnsiTheme="majorHAnsi" w:cs="Calibri"/>
                <w:b w:val="0"/>
              </w:rPr>
              <w:lastRenderedPageBreak/>
              <w:t xml:space="preserve">the relevant IGO; </w:t>
            </w:r>
          </w:p>
          <w:p w14:paraId="14F9F94E" w14:textId="77777777" w:rsidR="00CE7A21" w:rsidRPr="00CE7A21" w:rsidRDefault="00CE7A21" w:rsidP="00CE7A21">
            <w:pPr>
              <w:widowControl w:val="0"/>
              <w:numPr>
                <w:ilvl w:val="0"/>
                <w:numId w:val="2"/>
              </w:numPr>
              <w:tabs>
                <w:tab w:val="left" w:pos="220"/>
                <w:tab w:val="left" w:pos="720"/>
              </w:tabs>
              <w:autoSpaceDE w:val="0"/>
              <w:autoSpaceDN w:val="0"/>
              <w:adjustRightInd w:val="0"/>
              <w:spacing w:after="320" w:line="276" w:lineRule="auto"/>
              <w:rPr>
                <w:rFonts w:asciiTheme="majorHAnsi" w:hAnsiTheme="majorHAnsi" w:cs="Calibri"/>
                <w:b w:val="0"/>
              </w:rPr>
            </w:pPr>
            <w:r w:rsidRPr="00CE7A21">
              <w:rPr>
                <w:rFonts w:asciiTheme="majorHAnsi" w:hAnsiTheme="majorHAnsi" w:cs="Calibri"/>
                <w:b w:val="0"/>
              </w:rPr>
              <w:t xml:space="preserve">Allow the IGO a timely opportunity to effectively prevent potential misuse and confusion; </w:t>
            </w:r>
          </w:p>
          <w:p w14:paraId="54DDE480" w14:textId="77777777" w:rsidR="00CE7A21" w:rsidRPr="00CE7A21" w:rsidRDefault="00CE7A21" w:rsidP="00CE7A21">
            <w:pPr>
              <w:widowControl w:val="0"/>
              <w:numPr>
                <w:ilvl w:val="0"/>
                <w:numId w:val="2"/>
              </w:numPr>
              <w:tabs>
                <w:tab w:val="left" w:pos="220"/>
                <w:tab w:val="left" w:pos="720"/>
              </w:tabs>
              <w:autoSpaceDE w:val="0"/>
              <w:autoSpaceDN w:val="0"/>
              <w:adjustRightInd w:val="0"/>
              <w:spacing w:after="320" w:line="276" w:lineRule="auto"/>
              <w:rPr>
                <w:rFonts w:asciiTheme="majorHAnsi" w:hAnsiTheme="majorHAnsi" w:cs="Calibri"/>
                <w:b w:val="0"/>
              </w:rPr>
            </w:pPr>
            <w:r w:rsidRPr="00CE7A21">
              <w:rPr>
                <w:rFonts w:asciiTheme="majorHAnsi" w:hAnsiTheme="majorHAnsi" w:cs="Calibri"/>
                <w:b w:val="0"/>
              </w:rPr>
              <w:t>Allow for final and binding determination by an independent third party in order to resolve any disagreement between an IGO and a potential registrant; and</w:t>
            </w:r>
          </w:p>
          <w:p w14:paraId="5F93E10F" w14:textId="77777777" w:rsidR="00CE7A21" w:rsidRPr="00CE7A21" w:rsidRDefault="00CE7A21" w:rsidP="00CE7A21">
            <w:pPr>
              <w:pStyle w:val="ListParagraph"/>
              <w:numPr>
                <w:ilvl w:val="0"/>
                <w:numId w:val="2"/>
              </w:numPr>
              <w:rPr>
                <w:rFonts w:asciiTheme="majorHAnsi" w:hAnsiTheme="majorHAnsi"/>
                <w:b w:val="0"/>
              </w:rPr>
            </w:pPr>
            <w:r w:rsidRPr="00CE7A21">
              <w:rPr>
                <w:rFonts w:asciiTheme="majorHAnsi" w:hAnsiTheme="majorHAnsi" w:cs="Calibri"/>
                <w:b w:val="0"/>
              </w:rPr>
              <w:t>Be at no cost or of a nominal cost only to the IGO</w:t>
            </w:r>
          </w:p>
        </w:tc>
        <w:tc>
          <w:tcPr>
            <w:tcW w:w="0" w:type="auto"/>
            <w:noWrap/>
          </w:tcPr>
          <w:p w14:paraId="472DDF21" w14:textId="77777777" w:rsidR="00CE7A21" w:rsidRPr="00CE7A21" w:rsidRDefault="00CE7A21">
            <w:pP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CE7A21">
              <w:rPr>
                <w:rFonts w:asciiTheme="majorHAnsi" w:hAnsiTheme="majorHAnsi"/>
                <w:b/>
              </w:rPr>
              <w:lastRenderedPageBreak/>
              <w:t>IGO Acronyms:</w:t>
            </w:r>
          </w:p>
          <w:p w14:paraId="45D5D74B" w14:textId="77777777" w:rsidR="00CE7A21" w:rsidRPr="00CE7A21" w:rsidRDefault="00CE7A21">
            <w:pP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p w14:paraId="37B13E13" w14:textId="77777777" w:rsidR="00CE7A21" w:rsidRPr="00CE7A21" w:rsidRDefault="00CE7A21">
            <w:pP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CE7A21">
              <w:rPr>
                <w:rFonts w:asciiTheme="majorHAnsi" w:hAnsiTheme="majorHAnsi"/>
                <w:u w:val="single"/>
              </w:rPr>
              <w:t>90 days</w:t>
            </w:r>
            <w:r w:rsidRPr="00CE7A21">
              <w:rPr>
                <w:rFonts w:asciiTheme="majorHAnsi" w:hAnsiTheme="majorHAnsi"/>
              </w:rPr>
              <w:t xml:space="preserve"> TMCH claims notice for acronyms of IGOs on GAC list of 22 March 2013</w:t>
            </w:r>
            <w:r w:rsidRPr="00CE7A21">
              <w:rPr>
                <w:rStyle w:val="FootnoteReference"/>
                <w:rFonts w:asciiTheme="majorHAnsi" w:hAnsiTheme="majorHAnsi"/>
              </w:rPr>
              <w:footnoteReference w:id="4"/>
            </w:r>
          </w:p>
          <w:p w14:paraId="25A732F9" w14:textId="77777777" w:rsidR="00CE7A21" w:rsidRPr="00CE7A21" w:rsidRDefault="00CE7A21">
            <w:pP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p w14:paraId="1A5B4CA8" w14:textId="77777777" w:rsidR="00CE7A21" w:rsidRPr="00CE7A21" w:rsidRDefault="00CE7A21" w:rsidP="00694220">
            <w:pP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CE7A21">
              <w:rPr>
                <w:rFonts w:asciiTheme="majorHAnsi" w:hAnsiTheme="majorHAnsi"/>
              </w:rPr>
              <w:t>Issue Report (</w:t>
            </w:r>
            <w:r>
              <w:rPr>
                <w:rFonts w:asciiTheme="majorHAnsi" w:hAnsiTheme="majorHAnsi"/>
              </w:rPr>
              <w:t xml:space="preserve">initiated </w:t>
            </w:r>
            <w:r w:rsidRPr="00CE7A21">
              <w:rPr>
                <w:rFonts w:asciiTheme="majorHAnsi" w:hAnsiTheme="majorHAnsi"/>
              </w:rPr>
              <w:t xml:space="preserve">now </w:t>
            </w:r>
            <w:r>
              <w:rPr>
                <w:rFonts w:asciiTheme="majorHAnsi" w:hAnsiTheme="majorHAnsi"/>
              </w:rPr>
              <w:t xml:space="preserve">as a GNSO </w:t>
            </w:r>
            <w:r w:rsidRPr="00CE7A21">
              <w:rPr>
                <w:rFonts w:asciiTheme="majorHAnsi" w:hAnsiTheme="majorHAnsi"/>
              </w:rPr>
              <w:t xml:space="preserve">PDP) to address </w:t>
            </w:r>
            <w:r w:rsidRPr="00CE7A21">
              <w:rPr>
                <w:rFonts w:asciiTheme="majorHAnsi" w:hAnsiTheme="majorHAnsi"/>
              </w:rPr>
              <w:lastRenderedPageBreak/>
              <w:t>curative rights access for IGOs (and INGOs)</w:t>
            </w:r>
            <w:r w:rsidRPr="00CE7A21">
              <w:rPr>
                <w:rStyle w:val="FootnoteReference"/>
                <w:rFonts w:asciiTheme="majorHAnsi" w:hAnsiTheme="majorHAnsi"/>
              </w:rPr>
              <w:footnoteReference w:id="5"/>
            </w:r>
          </w:p>
        </w:tc>
        <w:tc>
          <w:tcPr>
            <w:tcW w:w="0" w:type="auto"/>
            <w:noWrap/>
          </w:tcPr>
          <w:p w14:paraId="3B988679" w14:textId="77777777" w:rsidR="00CE7A21" w:rsidRPr="00CE7A21" w:rsidRDefault="00CE7A21">
            <w:pP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CE7A21">
              <w:rPr>
                <w:rFonts w:asciiTheme="majorHAnsi" w:hAnsiTheme="majorHAnsi"/>
                <w:b/>
              </w:rPr>
              <w:lastRenderedPageBreak/>
              <w:t>IGO Acronyms:</w:t>
            </w:r>
          </w:p>
          <w:p w14:paraId="656BA7B2" w14:textId="77777777" w:rsidR="00CE7A21" w:rsidRPr="00CE7A21" w:rsidRDefault="00CE7A21">
            <w:pP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p w14:paraId="6E0D4C66" w14:textId="77777777" w:rsidR="00CE7A21" w:rsidRPr="00CE7A21" w:rsidRDefault="00CE7A21">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E7A21">
              <w:rPr>
                <w:rFonts w:asciiTheme="majorHAnsi" w:hAnsiTheme="majorHAnsi"/>
              </w:rPr>
              <w:t xml:space="preserve">Claims notice for </w:t>
            </w:r>
            <w:r w:rsidRPr="00CE7A21">
              <w:rPr>
                <w:rFonts w:asciiTheme="majorHAnsi" w:hAnsiTheme="majorHAnsi"/>
                <w:u w:val="single"/>
              </w:rPr>
              <w:t>life of TMCH</w:t>
            </w:r>
            <w:r w:rsidRPr="00CE7A21">
              <w:rPr>
                <w:rFonts w:asciiTheme="majorHAnsi" w:hAnsiTheme="majorHAnsi"/>
              </w:rPr>
              <w:t xml:space="preserve"> (pre-registration notice to registrant plus post-registration notice to relevant IGO) for </w:t>
            </w:r>
            <w:r w:rsidRPr="00CE7A21">
              <w:rPr>
                <w:rFonts w:asciiTheme="majorHAnsi" w:hAnsiTheme="majorHAnsi"/>
                <w:b/>
              </w:rPr>
              <w:t xml:space="preserve">acronyms of IGOs on </w:t>
            </w:r>
            <w:r w:rsidRPr="00CE7A21">
              <w:rPr>
                <w:rFonts w:asciiTheme="majorHAnsi" w:hAnsiTheme="majorHAnsi"/>
                <w:b/>
              </w:rPr>
              <w:lastRenderedPageBreak/>
              <w:t>GAC list</w:t>
            </w:r>
          </w:p>
          <w:p w14:paraId="0F38E51C" w14:textId="77777777" w:rsidR="00CE7A21" w:rsidRPr="00CE7A21" w:rsidRDefault="00CE7A21">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14BA26FC" w14:textId="77777777" w:rsidR="00CE7A21" w:rsidRPr="00CE7A21" w:rsidRDefault="00CE7A21" w:rsidP="00694220">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E7A21">
              <w:rPr>
                <w:rFonts w:asciiTheme="majorHAnsi" w:hAnsiTheme="majorHAnsi"/>
              </w:rPr>
              <w:t>New Curative Rights PDP WG directed to consider no/low cost procedure for IGOs on GAC list</w:t>
            </w:r>
          </w:p>
          <w:p w14:paraId="447653C9" w14:textId="77777777" w:rsidR="00CE7A21" w:rsidRPr="00CE7A21" w:rsidRDefault="00CE7A21" w:rsidP="00694220">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0A790F61" w14:textId="77777777" w:rsidR="00CE7A21" w:rsidRPr="00CE7A21" w:rsidRDefault="00CE7A21" w:rsidP="00694220">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E7A21">
              <w:rPr>
                <w:rFonts w:asciiTheme="majorHAnsi" w:hAnsiTheme="majorHAnsi"/>
              </w:rPr>
              <w:t>New Curative Rights PDP WG directed to consider third party binding arbitration (in lieu of appeal to national courts) for second level domain name disputes involving acronyms of IGOs on GAC list</w:t>
            </w:r>
          </w:p>
          <w:p w14:paraId="614FA90B" w14:textId="77777777" w:rsidR="00CE7A21" w:rsidRPr="00CE7A21" w:rsidRDefault="00CE7A21" w:rsidP="00694220">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14:paraId="682DCE49" w14:textId="77777777" w:rsidR="00694220" w:rsidRDefault="00694220"/>
    <w:p w14:paraId="404FC021" w14:textId="77777777" w:rsidR="00395B49" w:rsidRPr="00FC4ED6" w:rsidRDefault="00395B49">
      <w:pPr>
        <w:rPr>
          <w:rFonts w:asciiTheme="majorHAnsi" w:hAnsiTheme="majorHAnsi"/>
          <w:b/>
        </w:rPr>
      </w:pPr>
      <w:r w:rsidRPr="00FC4ED6">
        <w:rPr>
          <w:rFonts w:asciiTheme="majorHAnsi" w:hAnsiTheme="majorHAnsi"/>
          <w:b/>
        </w:rPr>
        <w:t xml:space="preserve">UPDATE: GAC </w:t>
      </w:r>
      <w:proofErr w:type="spellStart"/>
      <w:r w:rsidRPr="00FC4ED6">
        <w:rPr>
          <w:rFonts w:asciiTheme="majorHAnsi" w:hAnsiTheme="majorHAnsi"/>
          <w:b/>
        </w:rPr>
        <w:t>Communique</w:t>
      </w:r>
      <w:proofErr w:type="spellEnd"/>
      <w:r w:rsidRPr="00FC4ED6">
        <w:rPr>
          <w:rFonts w:asciiTheme="majorHAnsi" w:hAnsiTheme="majorHAnsi"/>
          <w:b/>
        </w:rPr>
        <w:t xml:space="preserve"> from London (June 2014):</w:t>
      </w:r>
    </w:p>
    <w:p w14:paraId="4E8A8442" w14:textId="77777777" w:rsidR="00395B49" w:rsidRPr="00FC4ED6" w:rsidRDefault="00395B49">
      <w:pPr>
        <w:rPr>
          <w:rFonts w:asciiTheme="majorHAnsi" w:hAnsiTheme="majorHAnsi"/>
        </w:rPr>
      </w:pPr>
    </w:p>
    <w:p w14:paraId="3300C2C0" w14:textId="77777777" w:rsidR="00395B49" w:rsidRPr="00FC4ED6" w:rsidRDefault="00395B49" w:rsidP="00395B49">
      <w:pPr>
        <w:rPr>
          <w:rFonts w:asciiTheme="majorHAnsi" w:hAnsiTheme="majorHAnsi"/>
          <w:i/>
        </w:rPr>
      </w:pPr>
      <w:r w:rsidRPr="00FC4ED6">
        <w:rPr>
          <w:rFonts w:asciiTheme="majorHAnsi" w:hAnsiTheme="majorHAnsi"/>
          <w:i/>
        </w:rPr>
        <w:t>On the Red Cross:</w:t>
      </w:r>
    </w:p>
    <w:p w14:paraId="3F3C135F" w14:textId="77777777" w:rsidR="00395B49" w:rsidRPr="00FC4ED6" w:rsidRDefault="00395B49" w:rsidP="00395B49">
      <w:pPr>
        <w:rPr>
          <w:rFonts w:asciiTheme="majorHAnsi" w:hAnsiTheme="majorHAnsi"/>
        </w:rPr>
      </w:pPr>
    </w:p>
    <w:p w14:paraId="7EBFF242" w14:textId="77777777" w:rsidR="00395B49" w:rsidRPr="00FC4ED6" w:rsidRDefault="00FC4ED6" w:rsidP="00395B49">
      <w:pPr>
        <w:rPr>
          <w:rFonts w:asciiTheme="majorHAnsi" w:hAnsiTheme="majorHAnsi"/>
        </w:rPr>
      </w:pPr>
      <w:r w:rsidRPr="00FC4ED6">
        <w:rPr>
          <w:rFonts w:asciiTheme="majorHAnsi" w:hAnsiTheme="majorHAnsi"/>
        </w:rPr>
        <w:t>“</w:t>
      </w:r>
      <w:r w:rsidR="00395B49" w:rsidRPr="00FC4ED6">
        <w:rPr>
          <w:rFonts w:asciiTheme="majorHAnsi" w:hAnsiTheme="majorHAnsi"/>
        </w:rPr>
        <w:t>The GAC now advises that:</w:t>
      </w:r>
    </w:p>
    <w:p w14:paraId="24BDCA82" w14:textId="77777777" w:rsidR="00395B49" w:rsidRPr="00FC4ED6" w:rsidRDefault="00395B49" w:rsidP="00FC4ED6">
      <w:pPr>
        <w:pStyle w:val="ListParagraph"/>
        <w:numPr>
          <w:ilvl w:val="0"/>
          <w:numId w:val="3"/>
        </w:numPr>
        <w:rPr>
          <w:rFonts w:asciiTheme="majorHAnsi" w:hAnsiTheme="majorHAnsi"/>
        </w:rPr>
      </w:pPr>
      <w:r w:rsidRPr="00FC4ED6">
        <w:rPr>
          <w:rFonts w:asciiTheme="majorHAnsi" w:hAnsiTheme="majorHAnsi"/>
        </w:rPr>
        <w:t xml:space="preserve">The Red Cross and Red Crescent terms and names should not be equated with trademarks or trade names and that their protection could not therefore be adequately treated or addressed under ICANN's curative mechanisms for trademark protection; </w:t>
      </w:r>
    </w:p>
    <w:p w14:paraId="200EB2DF" w14:textId="77777777" w:rsidR="00395B49" w:rsidRPr="00FC4ED6" w:rsidRDefault="00395B49" w:rsidP="00FC4ED6">
      <w:pPr>
        <w:pStyle w:val="ListParagraph"/>
        <w:numPr>
          <w:ilvl w:val="0"/>
          <w:numId w:val="3"/>
        </w:numPr>
        <w:rPr>
          <w:rFonts w:asciiTheme="majorHAnsi" w:hAnsiTheme="majorHAnsi"/>
        </w:rPr>
      </w:pPr>
      <w:r w:rsidRPr="00FC4ED6">
        <w:rPr>
          <w:rFonts w:asciiTheme="majorHAnsi" w:hAnsiTheme="majorHAnsi"/>
        </w:rPr>
        <w:t>The</w:t>
      </w:r>
      <w:r w:rsidR="00FC4ED6" w:rsidRPr="00FC4ED6">
        <w:rPr>
          <w:rFonts w:asciiTheme="majorHAnsi" w:hAnsiTheme="majorHAnsi"/>
        </w:rPr>
        <w:t xml:space="preserve"> protections due </w:t>
      </w:r>
      <w:r w:rsidRPr="00FC4ED6">
        <w:rPr>
          <w:rFonts w:asciiTheme="majorHAnsi" w:hAnsiTheme="majorHAnsi"/>
        </w:rPr>
        <w:t>to the Red Cross and Red Crescent terms and names should not be subjected to, or conditioned upon, a policy development process;</w:t>
      </w:r>
    </w:p>
    <w:p w14:paraId="6EF0E016" w14:textId="77777777" w:rsidR="00395B49" w:rsidRPr="00FC4ED6" w:rsidRDefault="00395B49" w:rsidP="00FC4ED6">
      <w:pPr>
        <w:pStyle w:val="ListParagraph"/>
        <w:numPr>
          <w:ilvl w:val="0"/>
          <w:numId w:val="3"/>
        </w:numPr>
        <w:rPr>
          <w:rFonts w:asciiTheme="majorHAnsi" w:hAnsiTheme="majorHAnsi"/>
        </w:rPr>
      </w:pPr>
      <w:r w:rsidRPr="00FC4ED6">
        <w:rPr>
          <w:rFonts w:asciiTheme="majorHAnsi" w:hAnsiTheme="majorHAnsi"/>
        </w:rPr>
        <w:t>The permanent protection of these</w:t>
      </w:r>
      <w:r w:rsidRPr="00FC4ED6">
        <w:rPr>
          <w:rFonts w:asciiTheme="majorHAnsi" w:hAnsiTheme="majorHAnsi"/>
        </w:rPr>
        <w:tab/>
        <w:t>terms and names shou</w:t>
      </w:r>
      <w:r w:rsidR="00FC4ED6" w:rsidRPr="00FC4ED6">
        <w:rPr>
          <w:rFonts w:asciiTheme="majorHAnsi" w:hAnsiTheme="majorHAnsi"/>
        </w:rPr>
        <w:t>ld be</w:t>
      </w:r>
      <w:r w:rsidR="00FC4ED6" w:rsidRPr="00FC4ED6">
        <w:rPr>
          <w:rFonts w:asciiTheme="majorHAnsi" w:hAnsiTheme="majorHAnsi"/>
        </w:rPr>
        <w:tab/>
        <w:t xml:space="preserve">confirmed and implemented as a matter of priority, including in </w:t>
      </w:r>
      <w:r w:rsidRPr="00FC4ED6">
        <w:rPr>
          <w:rFonts w:asciiTheme="majorHAnsi" w:hAnsiTheme="majorHAnsi"/>
        </w:rPr>
        <w:t>particular t</w:t>
      </w:r>
      <w:r w:rsidR="00FC4ED6" w:rsidRPr="00FC4ED6">
        <w:rPr>
          <w:rFonts w:asciiTheme="majorHAnsi" w:hAnsiTheme="majorHAnsi"/>
        </w:rPr>
        <w:t xml:space="preserve">he names of the international </w:t>
      </w:r>
      <w:r w:rsidRPr="00FC4ED6">
        <w:rPr>
          <w:rFonts w:asciiTheme="majorHAnsi" w:hAnsiTheme="majorHAnsi"/>
        </w:rPr>
        <w:t xml:space="preserve">and national Red Cross and Red Crescent </w:t>
      </w:r>
      <w:proofErr w:type="spellStart"/>
      <w:r w:rsidRPr="00FC4ED6">
        <w:rPr>
          <w:rFonts w:asciiTheme="majorHAnsi" w:hAnsiTheme="majorHAnsi"/>
        </w:rPr>
        <w:t>organisations</w:t>
      </w:r>
      <w:proofErr w:type="spellEnd"/>
      <w:r w:rsidRPr="00FC4ED6">
        <w:rPr>
          <w:rFonts w:asciiTheme="majorHAnsi" w:hAnsiTheme="majorHAnsi"/>
        </w:rPr>
        <w:t>.</w:t>
      </w:r>
      <w:r w:rsidR="00FC4ED6" w:rsidRPr="00FC4ED6">
        <w:rPr>
          <w:rFonts w:asciiTheme="majorHAnsi" w:hAnsiTheme="majorHAnsi"/>
        </w:rPr>
        <w:t>”</w:t>
      </w:r>
    </w:p>
    <w:p w14:paraId="29D1AC59" w14:textId="77777777" w:rsidR="00395B49" w:rsidRPr="00FC4ED6" w:rsidRDefault="00395B49" w:rsidP="00395B49">
      <w:pPr>
        <w:rPr>
          <w:rFonts w:asciiTheme="majorHAnsi" w:hAnsiTheme="majorHAnsi"/>
        </w:rPr>
      </w:pPr>
    </w:p>
    <w:p w14:paraId="6BCD8BA6" w14:textId="77777777" w:rsidR="00395B49" w:rsidRPr="00FC4ED6" w:rsidRDefault="00395B49" w:rsidP="00395B49">
      <w:pPr>
        <w:rPr>
          <w:rFonts w:asciiTheme="majorHAnsi" w:hAnsiTheme="majorHAnsi"/>
          <w:i/>
        </w:rPr>
      </w:pPr>
      <w:bookmarkStart w:id="0" w:name="_GoBack"/>
      <w:bookmarkEnd w:id="0"/>
      <w:r w:rsidRPr="00FC4ED6">
        <w:rPr>
          <w:rFonts w:asciiTheme="majorHAnsi" w:hAnsiTheme="majorHAnsi"/>
          <w:i/>
        </w:rPr>
        <w:t>On IGOs:</w:t>
      </w:r>
    </w:p>
    <w:p w14:paraId="47735DC9" w14:textId="77777777" w:rsidR="00395B49" w:rsidRPr="00FC4ED6" w:rsidRDefault="00395B49" w:rsidP="00395B49">
      <w:pPr>
        <w:rPr>
          <w:rFonts w:asciiTheme="majorHAnsi" w:hAnsiTheme="majorHAnsi"/>
        </w:rPr>
      </w:pPr>
    </w:p>
    <w:p w14:paraId="2FE1B2E0" w14:textId="77777777" w:rsidR="00395B49" w:rsidRPr="00FC4ED6" w:rsidRDefault="00FC4ED6" w:rsidP="00395B49">
      <w:pPr>
        <w:rPr>
          <w:rFonts w:asciiTheme="majorHAnsi" w:hAnsiTheme="majorHAnsi"/>
        </w:rPr>
      </w:pPr>
      <w:r w:rsidRPr="00FC4ED6">
        <w:rPr>
          <w:rFonts w:asciiTheme="majorHAnsi" w:hAnsiTheme="majorHAnsi"/>
        </w:rPr>
        <w:t>“</w:t>
      </w:r>
      <w:r w:rsidR="00395B49" w:rsidRPr="00FC4ED6">
        <w:rPr>
          <w:rFonts w:asciiTheme="majorHAnsi" w:hAnsiTheme="majorHAnsi"/>
        </w:rPr>
        <w:t>The GAC reaffirms its advice from the Toronto</w:t>
      </w:r>
      <w:r w:rsidRPr="00FC4ED6">
        <w:rPr>
          <w:rFonts w:asciiTheme="majorHAnsi" w:hAnsiTheme="majorHAnsi"/>
        </w:rPr>
        <w:t xml:space="preserve">, Beijing, Durban, Buenos Aires </w:t>
      </w:r>
      <w:r w:rsidR="00395B49" w:rsidRPr="00FC4ED6">
        <w:rPr>
          <w:rFonts w:asciiTheme="majorHAnsi" w:hAnsiTheme="majorHAnsi"/>
        </w:rPr>
        <w:t>and Singapore Communiqués regarding protection for IGO names and acronyms at the top and s</w:t>
      </w:r>
      <w:r w:rsidRPr="00FC4ED6">
        <w:rPr>
          <w:rFonts w:asciiTheme="majorHAnsi" w:hAnsiTheme="majorHAnsi"/>
        </w:rPr>
        <w:t xml:space="preserve">econd levels, as implementation of such protection is </w:t>
      </w:r>
      <w:r w:rsidR="00395B49" w:rsidRPr="00FC4ED6">
        <w:rPr>
          <w:rFonts w:asciiTheme="majorHAnsi" w:hAnsiTheme="majorHAnsi"/>
        </w:rPr>
        <w:t>in the public interest given that IGOs, as created by governmen</w:t>
      </w:r>
      <w:r w:rsidRPr="00FC4ED6">
        <w:rPr>
          <w:rFonts w:asciiTheme="majorHAnsi" w:hAnsiTheme="majorHAnsi"/>
        </w:rPr>
        <w:t>ts under international law, are objectively different rights h</w:t>
      </w:r>
      <w:r>
        <w:rPr>
          <w:rFonts w:asciiTheme="majorHAnsi" w:hAnsiTheme="majorHAnsi"/>
        </w:rPr>
        <w:t xml:space="preserve">olders; notes the NGPC’s </w:t>
      </w:r>
      <w:r w:rsidRPr="00FC4ED6">
        <w:rPr>
          <w:rFonts w:asciiTheme="majorHAnsi" w:hAnsiTheme="majorHAnsi"/>
        </w:rPr>
        <w:t xml:space="preserve">letter of 16 June 2014 to </w:t>
      </w:r>
      <w:r>
        <w:rPr>
          <w:rFonts w:asciiTheme="majorHAnsi" w:hAnsiTheme="majorHAnsi"/>
        </w:rPr>
        <w:t xml:space="preserve">the </w:t>
      </w:r>
      <w:r w:rsidRPr="00FC4ED6">
        <w:rPr>
          <w:rFonts w:asciiTheme="majorHAnsi" w:hAnsiTheme="majorHAnsi"/>
        </w:rPr>
        <w:t xml:space="preserve">GNSO </w:t>
      </w:r>
      <w:r w:rsidR="00395B49" w:rsidRPr="00FC4ED6">
        <w:rPr>
          <w:rFonts w:asciiTheme="majorHAnsi" w:hAnsiTheme="majorHAnsi"/>
        </w:rPr>
        <w:t>concerni</w:t>
      </w:r>
      <w:r w:rsidRPr="00FC4ED6">
        <w:rPr>
          <w:rFonts w:asciiTheme="majorHAnsi" w:hAnsiTheme="majorHAnsi"/>
        </w:rPr>
        <w:t xml:space="preserve">ng further </w:t>
      </w:r>
      <w:r>
        <w:rPr>
          <w:rFonts w:asciiTheme="majorHAnsi" w:hAnsiTheme="majorHAnsi"/>
        </w:rPr>
        <w:t xml:space="preserve">steps under the </w:t>
      </w:r>
      <w:r w:rsidRPr="00FC4ED6">
        <w:rPr>
          <w:rFonts w:asciiTheme="majorHAnsi" w:hAnsiTheme="majorHAnsi"/>
        </w:rPr>
        <w:t>GNSO Policy Development Pr</w:t>
      </w:r>
      <w:r>
        <w:rPr>
          <w:rFonts w:asciiTheme="majorHAnsi" w:hAnsiTheme="majorHAnsi"/>
        </w:rPr>
        <w:t>ocess</w:t>
      </w:r>
      <w:r>
        <w:rPr>
          <w:rFonts w:asciiTheme="majorHAnsi" w:hAnsiTheme="majorHAnsi"/>
        </w:rPr>
        <w:tab/>
        <w:t xml:space="preserve">while expressing concerns </w:t>
      </w:r>
      <w:r w:rsidRPr="00FC4ED6">
        <w:rPr>
          <w:rFonts w:asciiTheme="majorHAnsi" w:hAnsiTheme="majorHAnsi"/>
        </w:rPr>
        <w:t>that the process o</w:t>
      </w:r>
      <w:r>
        <w:rPr>
          <w:rFonts w:asciiTheme="majorHAnsi" w:hAnsiTheme="majorHAnsi"/>
        </w:rPr>
        <w:t xml:space="preserve">f implementing GAC advice has </w:t>
      </w:r>
      <w:r w:rsidRPr="00FC4ED6">
        <w:rPr>
          <w:rFonts w:asciiTheme="majorHAnsi" w:hAnsiTheme="majorHAnsi"/>
        </w:rPr>
        <w:t>been so protracted; welcomes the NGPC's assurance that interim protections remain in place pending any such process; and c</w:t>
      </w:r>
      <w:r>
        <w:rPr>
          <w:rFonts w:asciiTheme="majorHAnsi" w:hAnsiTheme="majorHAnsi"/>
        </w:rPr>
        <w:t xml:space="preserve">onfirms its willingness to work </w:t>
      </w:r>
      <w:r w:rsidRPr="00FC4ED6">
        <w:rPr>
          <w:rFonts w:asciiTheme="majorHAnsi" w:hAnsiTheme="majorHAnsi"/>
        </w:rPr>
        <w:t xml:space="preserve">with the GNSO on outcomes that meet the GAC’s </w:t>
      </w:r>
      <w:r w:rsidR="00395B49" w:rsidRPr="00FC4ED6">
        <w:rPr>
          <w:rFonts w:asciiTheme="majorHAnsi" w:hAnsiTheme="majorHAnsi"/>
        </w:rPr>
        <w:t>concerns</w:t>
      </w:r>
      <w:r w:rsidRPr="00FC4ED6">
        <w:rPr>
          <w:rFonts w:asciiTheme="majorHAnsi" w:hAnsiTheme="majorHAnsi"/>
        </w:rPr>
        <w:t>.”</w:t>
      </w:r>
    </w:p>
    <w:sectPr w:rsidR="00395B49" w:rsidRPr="00FC4ED6" w:rsidSect="00CE7A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5849B" w14:textId="77777777" w:rsidR="00395B49" w:rsidRDefault="00395B49" w:rsidP="009F5882">
      <w:r>
        <w:separator/>
      </w:r>
    </w:p>
  </w:endnote>
  <w:endnote w:type="continuationSeparator" w:id="0">
    <w:p w14:paraId="70A4CEDA" w14:textId="77777777" w:rsidR="00395B49" w:rsidRDefault="00395B49" w:rsidP="009F5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80077" w14:textId="77777777" w:rsidR="00395B49" w:rsidRDefault="00395B49" w:rsidP="009F5882">
      <w:r>
        <w:separator/>
      </w:r>
    </w:p>
  </w:footnote>
  <w:footnote w:type="continuationSeparator" w:id="0">
    <w:p w14:paraId="29BF3C59" w14:textId="77777777" w:rsidR="00395B49" w:rsidRDefault="00395B49" w:rsidP="009F5882">
      <w:r>
        <w:continuationSeparator/>
      </w:r>
    </w:p>
  </w:footnote>
  <w:footnote w:id="1">
    <w:p w14:paraId="1928F08D" w14:textId="77777777" w:rsidR="00395B49" w:rsidRPr="009F5882" w:rsidRDefault="00395B49">
      <w:pPr>
        <w:pStyle w:val="FootnoteText"/>
        <w:rPr>
          <w:sz w:val="20"/>
          <w:szCs w:val="20"/>
        </w:rPr>
      </w:pPr>
      <w:r w:rsidRPr="009F5882">
        <w:rPr>
          <w:rStyle w:val="FootnoteReference"/>
          <w:sz w:val="20"/>
          <w:szCs w:val="20"/>
        </w:rPr>
        <w:footnoteRef/>
      </w:r>
      <w:r w:rsidRPr="009F5882">
        <w:rPr>
          <w:sz w:val="20"/>
          <w:szCs w:val="20"/>
        </w:rPr>
        <w:t xml:space="preserve"> The IGO-INGO PDP WG Final Report can be accessed here: </w:t>
      </w:r>
      <w:hyperlink r:id="rId1" w:history="1">
        <w:r w:rsidRPr="00430300">
          <w:rPr>
            <w:rStyle w:val="Hyperlink"/>
            <w:sz w:val="20"/>
            <w:szCs w:val="20"/>
          </w:rPr>
          <w:t>http://gnso.icann.org/en/issues/igo-ingo-final-10nov13-en.pdf</w:t>
        </w:r>
      </w:hyperlink>
      <w:r>
        <w:rPr>
          <w:sz w:val="20"/>
          <w:szCs w:val="20"/>
        </w:rPr>
        <w:t xml:space="preserve">. </w:t>
      </w:r>
      <w:r w:rsidRPr="009F5882">
        <w:rPr>
          <w:sz w:val="20"/>
          <w:szCs w:val="20"/>
        </w:rPr>
        <w:t xml:space="preserve">The GNSO Council’s resolution unanimously adopting the WG’s consensus recommendations can be accessed here: </w:t>
      </w:r>
      <w:hyperlink r:id="rId2" w:anchor="20131120-2" w:history="1">
        <w:r w:rsidRPr="009F5882">
          <w:rPr>
            <w:rStyle w:val="Hyperlink"/>
            <w:sz w:val="20"/>
            <w:szCs w:val="20"/>
          </w:rPr>
          <w:t>http://gnso.icann.org/en/council/resolutions#20131120-2</w:t>
        </w:r>
      </w:hyperlink>
      <w:r w:rsidRPr="009F5882">
        <w:rPr>
          <w:sz w:val="20"/>
          <w:szCs w:val="20"/>
        </w:rPr>
        <w:t xml:space="preserve">. </w:t>
      </w:r>
    </w:p>
  </w:footnote>
  <w:footnote w:id="2">
    <w:p w14:paraId="52A11DCC" w14:textId="77777777" w:rsidR="00395B49" w:rsidRPr="00A712B6" w:rsidRDefault="00395B49">
      <w:pPr>
        <w:pStyle w:val="FootnoteText"/>
        <w:rPr>
          <w:sz w:val="20"/>
          <w:szCs w:val="20"/>
        </w:rPr>
      </w:pPr>
      <w:r w:rsidRPr="009F5882">
        <w:rPr>
          <w:rStyle w:val="FootnoteReference"/>
          <w:sz w:val="20"/>
          <w:szCs w:val="20"/>
        </w:rPr>
        <w:footnoteRef/>
      </w:r>
      <w:r w:rsidRPr="009F5882">
        <w:rPr>
          <w:sz w:val="20"/>
          <w:szCs w:val="20"/>
        </w:rPr>
        <w:t xml:space="preserve"> See Section 3.1.5, 3.1.6 and 3.1.8 of the IGO-INGO PDP WG Final R</w:t>
      </w:r>
      <w:r w:rsidRPr="00A712B6">
        <w:rPr>
          <w:sz w:val="20"/>
          <w:szCs w:val="20"/>
        </w:rPr>
        <w:t>eport.</w:t>
      </w:r>
    </w:p>
  </w:footnote>
  <w:footnote w:id="3">
    <w:p w14:paraId="0A010D61" w14:textId="77777777" w:rsidR="00395B49" w:rsidRDefault="00395B49">
      <w:pPr>
        <w:pStyle w:val="FootnoteText"/>
      </w:pPr>
      <w:r w:rsidRPr="00A712B6">
        <w:rPr>
          <w:rStyle w:val="FootnoteReference"/>
          <w:sz w:val="20"/>
          <w:szCs w:val="20"/>
        </w:rPr>
        <w:footnoteRef/>
      </w:r>
      <w:r w:rsidRPr="00A712B6">
        <w:rPr>
          <w:sz w:val="20"/>
          <w:szCs w:val="20"/>
        </w:rPr>
        <w:t xml:space="preserve"> </w:t>
      </w:r>
      <w:proofErr w:type="gramStart"/>
      <w:r w:rsidRPr="00A712B6">
        <w:rPr>
          <w:sz w:val="20"/>
          <w:szCs w:val="20"/>
        </w:rPr>
        <w:t>i</w:t>
      </w:r>
      <w:proofErr w:type="gramEnd"/>
      <w:r w:rsidRPr="00A712B6">
        <w:rPr>
          <w:sz w:val="20"/>
          <w:szCs w:val="20"/>
        </w:rPr>
        <w:t>.e. those identifiers defined by the IGO-INGO PDP WG.</w:t>
      </w:r>
    </w:p>
  </w:footnote>
  <w:footnote w:id="4">
    <w:p w14:paraId="656AF5C9" w14:textId="77777777" w:rsidR="00395B49" w:rsidRPr="009F5882" w:rsidRDefault="00395B49">
      <w:pPr>
        <w:pStyle w:val="FootnoteText"/>
        <w:rPr>
          <w:sz w:val="20"/>
          <w:szCs w:val="20"/>
        </w:rPr>
      </w:pPr>
      <w:r w:rsidRPr="009F5882">
        <w:rPr>
          <w:rStyle w:val="FootnoteReference"/>
          <w:sz w:val="20"/>
          <w:szCs w:val="20"/>
        </w:rPr>
        <w:footnoteRef/>
      </w:r>
      <w:r w:rsidRPr="009F5882">
        <w:rPr>
          <w:sz w:val="20"/>
          <w:szCs w:val="20"/>
        </w:rPr>
        <w:t xml:space="preserve"> See Section 3.3.5 and 3.3.7 of the IGO-INGO PDP WG Final Report.</w:t>
      </w:r>
    </w:p>
  </w:footnote>
  <w:footnote w:id="5">
    <w:p w14:paraId="53641F06" w14:textId="77777777" w:rsidR="00395B49" w:rsidRDefault="00395B49">
      <w:pPr>
        <w:pStyle w:val="FootnoteText"/>
      </w:pPr>
      <w:r w:rsidRPr="009F5882">
        <w:rPr>
          <w:rStyle w:val="FootnoteReference"/>
          <w:sz w:val="20"/>
          <w:szCs w:val="20"/>
        </w:rPr>
        <w:footnoteRef/>
      </w:r>
      <w:r w:rsidRPr="009F5882">
        <w:rPr>
          <w:sz w:val="20"/>
          <w:szCs w:val="20"/>
        </w:rPr>
        <w:t xml:space="preserve"> See Section 3.5.3 of the IGO-INGO PDP WG Final Report.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6C4E7E6"/>
    <w:lvl w:ilvl="0" w:tplc="00000001">
      <w:start w:val="1"/>
      <w:numFmt w:val="lowerLetter"/>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827729"/>
    <w:multiLevelType w:val="hybridMultilevel"/>
    <w:tmpl w:val="E5DCE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1F4C39"/>
    <w:multiLevelType w:val="hybridMultilevel"/>
    <w:tmpl w:val="8AB0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220"/>
    <w:rsid w:val="00395B49"/>
    <w:rsid w:val="00643715"/>
    <w:rsid w:val="00694220"/>
    <w:rsid w:val="0093551D"/>
    <w:rsid w:val="009F5882"/>
    <w:rsid w:val="00A712B6"/>
    <w:rsid w:val="00AE5C26"/>
    <w:rsid w:val="00CE7A21"/>
    <w:rsid w:val="00D16ED3"/>
    <w:rsid w:val="00E06902"/>
    <w:rsid w:val="00EC576B"/>
    <w:rsid w:val="00F84B38"/>
    <w:rsid w:val="00FC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461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4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69422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69422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F5882"/>
  </w:style>
  <w:style w:type="character" w:customStyle="1" w:styleId="FootnoteTextChar">
    <w:name w:val="Footnote Text Char"/>
    <w:basedOn w:val="DefaultParagraphFont"/>
    <w:link w:val="FootnoteText"/>
    <w:uiPriority w:val="99"/>
    <w:rsid w:val="009F5882"/>
  </w:style>
  <w:style w:type="character" w:styleId="FootnoteReference">
    <w:name w:val="footnote reference"/>
    <w:basedOn w:val="DefaultParagraphFont"/>
    <w:uiPriority w:val="99"/>
    <w:unhideWhenUsed/>
    <w:rsid w:val="009F5882"/>
    <w:rPr>
      <w:vertAlign w:val="superscript"/>
    </w:rPr>
  </w:style>
  <w:style w:type="character" w:styleId="Hyperlink">
    <w:name w:val="Hyperlink"/>
    <w:basedOn w:val="DefaultParagraphFont"/>
    <w:uiPriority w:val="99"/>
    <w:unhideWhenUsed/>
    <w:rsid w:val="009F5882"/>
    <w:rPr>
      <w:color w:val="0000FF" w:themeColor="hyperlink"/>
      <w:u w:val="single"/>
    </w:rPr>
  </w:style>
  <w:style w:type="paragraph" w:styleId="ListParagraph">
    <w:name w:val="List Paragraph"/>
    <w:basedOn w:val="Normal"/>
    <w:uiPriority w:val="34"/>
    <w:qFormat/>
    <w:rsid w:val="00CE7A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4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69422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69422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F5882"/>
  </w:style>
  <w:style w:type="character" w:customStyle="1" w:styleId="FootnoteTextChar">
    <w:name w:val="Footnote Text Char"/>
    <w:basedOn w:val="DefaultParagraphFont"/>
    <w:link w:val="FootnoteText"/>
    <w:uiPriority w:val="99"/>
    <w:rsid w:val="009F5882"/>
  </w:style>
  <w:style w:type="character" w:styleId="FootnoteReference">
    <w:name w:val="footnote reference"/>
    <w:basedOn w:val="DefaultParagraphFont"/>
    <w:uiPriority w:val="99"/>
    <w:unhideWhenUsed/>
    <w:rsid w:val="009F5882"/>
    <w:rPr>
      <w:vertAlign w:val="superscript"/>
    </w:rPr>
  </w:style>
  <w:style w:type="character" w:styleId="Hyperlink">
    <w:name w:val="Hyperlink"/>
    <w:basedOn w:val="DefaultParagraphFont"/>
    <w:uiPriority w:val="99"/>
    <w:unhideWhenUsed/>
    <w:rsid w:val="009F5882"/>
    <w:rPr>
      <w:color w:val="0000FF" w:themeColor="hyperlink"/>
      <w:u w:val="single"/>
    </w:rPr>
  </w:style>
  <w:style w:type="paragraph" w:styleId="ListParagraph">
    <w:name w:val="List Paragraph"/>
    <w:basedOn w:val="Normal"/>
    <w:uiPriority w:val="34"/>
    <w:qFormat/>
    <w:rsid w:val="00CE7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gnso.icann.org/en/issues/igo-ingo-final-10nov13-en.pdf" TargetMode="External"/><Relationship Id="rId2" Type="http://schemas.openxmlformats.org/officeDocument/2006/relationships/hyperlink" Target="http://gnso.icann.org/en/council/resol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B8BA5-D2EE-E742-B11D-E06975A36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588</Words>
  <Characters>3353</Characters>
  <Application>Microsoft Macintosh Word</Application>
  <DocSecurity>0</DocSecurity>
  <Lines>27</Lines>
  <Paragraphs>7</Paragraphs>
  <ScaleCrop>false</ScaleCrop>
  <Company>ICANN</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3</cp:revision>
  <cp:lastPrinted>2014-07-10T20:14:00Z</cp:lastPrinted>
  <dcterms:created xsi:type="dcterms:W3CDTF">2014-07-10T20:14:00Z</dcterms:created>
  <dcterms:modified xsi:type="dcterms:W3CDTF">2014-07-10T20:15:00Z</dcterms:modified>
</cp:coreProperties>
</file>