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A65A3" w14:textId="77777777" w:rsidR="004125E2" w:rsidRPr="004125E2" w:rsidRDefault="004125E2" w:rsidP="004125E2">
      <w:pPr>
        <w:pBdr>
          <w:bottom w:val="single" w:sz="4" w:space="1" w:color="auto"/>
        </w:pBdr>
        <w:rPr>
          <w:rFonts w:asciiTheme="majorHAnsi" w:hAnsiTheme="majorHAnsi"/>
          <w:b/>
          <w:sz w:val="22"/>
          <w:szCs w:val="22"/>
        </w:rPr>
      </w:pPr>
      <w:r w:rsidRPr="004125E2">
        <w:rPr>
          <w:rFonts w:asciiTheme="majorHAnsi" w:hAnsiTheme="majorHAnsi"/>
          <w:b/>
          <w:sz w:val="22"/>
          <w:szCs w:val="22"/>
        </w:rPr>
        <w:t>GNSO REVIEW OF THE GAC COMMUNIQUE</w:t>
      </w:r>
    </w:p>
    <w:p w14:paraId="39F9E82B" w14:textId="77777777" w:rsidR="004125E2" w:rsidRPr="004125E2" w:rsidRDefault="004125E2" w:rsidP="004125E2">
      <w:pPr>
        <w:rPr>
          <w:rFonts w:asciiTheme="majorHAnsi" w:hAnsiTheme="majorHAnsi"/>
          <w:sz w:val="22"/>
          <w:szCs w:val="22"/>
        </w:rPr>
      </w:pPr>
    </w:p>
    <w:tbl>
      <w:tblPr>
        <w:tblStyle w:val="TableGrid"/>
        <w:tblW w:w="0" w:type="auto"/>
        <w:tblLook w:val="04A0" w:firstRow="1" w:lastRow="0" w:firstColumn="1" w:lastColumn="0" w:noHBand="0" w:noVBand="1"/>
      </w:tblPr>
      <w:tblGrid>
        <w:gridCol w:w="2268"/>
        <w:gridCol w:w="3690"/>
        <w:gridCol w:w="1706"/>
        <w:gridCol w:w="2868"/>
        <w:gridCol w:w="2644"/>
      </w:tblGrid>
      <w:tr w:rsidR="004125E2" w:rsidRPr="004125E2" w14:paraId="08DE80DF" w14:textId="77777777" w:rsidTr="00185990">
        <w:trPr>
          <w:cantSplit/>
          <w:tblHeader/>
        </w:trPr>
        <w:tc>
          <w:tcPr>
            <w:tcW w:w="2268" w:type="dxa"/>
            <w:shd w:val="clear" w:color="auto" w:fill="C0C0C0"/>
          </w:tcPr>
          <w:p w14:paraId="434C9E2D" w14:textId="77777777" w:rsidR="004125E2" w:rsidRPr="004125E2" w:rsidRDefault="004125E2" w:rsidP="004125E2">
            <w:pPr>
              <w:rPr>
                <w:rFonts w:asciiTheme="majorHAnsi" w:hAnsiTheme="majorHAnsi"/>
                <w:b/>
                <w:sz w:val="22"/>
                <w:szCs w:val="22"/>
              </w:rPr>
            </w:pPr>
            <w:r w:rsidRPr="004125E2">
              <w:rPr>
                <w:rFonts w:asciiTheme="majorHAnsi" w:hAnsiTheme="majorHAnsi"/>
                <w:b/>
                <w:sz w:val="22"/>
                <w:szCs w:val="22"/>
              </w:rPr>
              <w:t>GAC Advice</w:t>
            </w:r>
            <w:r>
              <w:rPr>
                <w:rFonts w:asciiTheme="majorHAnsi" w:hAnsiTheme="majorHAnsi"/>
                <w:b/>
                <w:sz w:val="22"/>
                <w:szCs w:val="22"/>
              </w:rPr>
              <w:t xml:space="preserve"> - Topic</w:t>
            </w:r>
          </w:p>
        </w:tc>
        <w:tc>
          <w:tcPr>
            <w:tcW w:w="3690" w:type="dxa"/>
            <w:shd w:val="clear" w:color="auto" w:fill="C0C0C0"/>
          </w:tcPr>
          <w:p w14:paraId="6D5CF50B" w14:textId="77777777" w:rsidR="004125E2" w:rsidRPr="004125E2" w:rsidRDefault="004125E2" w:rsidP="004125E2">
            <w:pPr>
              <w:rPr>
                <w:rFonts w:asciiTheme="majorHAnsi" w:hAnsiTheme="majorHAnsi"/>
                <w:b/>
                <w:sz w:val="22"/>
                <w:szCs w:val="22"/>
              </w:rPr>
            </w:pPr>
            <w:r>
              <w:rPr>
                <w:rFonts w:asciiTheme="majorHAnsi" w:hAnsiTheme="majorHAnsi"/>
                <w:b/>
                <w:sz w:val="22"/>
                <w:szCs w:val="22"/>
              </w:rPr>
              <w:t>GAC Advice Details</w:t>
            </w:r>
          </w:p>
        </w:tc>
        <w:tc>
          <w:tcPr>
            <w:tcW w:w="1706" w:type="dxa"/>
            <w:shd w:val="clear" w:color="auto" w:fill="C0C0C0"/>
          </w:tcPr>
          <w:p w14:paraId="223198E4" w14:textId="37B50D8F" w:rsidR="004125E2" w:rsidRPr="004125E2" w:rsidRDefault="00FA37A6" w:rsidP="002C5FAD">
            <w:pPr>
              <w:rPr>
                <w:rFonts w:asciiTheme="majorHAnsi" w:hAnsiTheme="majorHAnsi"/>
                <w:b/>
                <w:sz w:val="22"/>
                <w:szCs w:val="22"/>
              </w:rPr>
            </w:pPr>
            <w:r w:rsidRPr="00FA37A6">
              <w:rPr>
                <w:rFonts w:asciiTheme="majorHAnsi" w:hAnsiTheme="majorHAnsi"/>
                <w:b/>
                <w:sz w:val="22"/>
                <w:szCs w:val="22"/>
              </w:rPr>
              <w:t xml:space="preserve">Does </w:t>
            </w:r>
            <w:r>
              <w:rPr>
                <w:rFonts w:asciiTheme="majorHAnsi" w:hAnsiTheme="majorHAnsi"/>
                <w:b/>
                <w:sz w:val="22"/>
                <w:szCs w:val="22"/>
              </w:rPr>
              <w:t xml:space="preserve">the advice concern an issue that </w:t>
            </w:r>
            <w:r w:rsidR="002C5FAD">
              <w:rPr>
                <w:rFonts w:asciiTheme="majorHAnsi" w:hAnsiTheme="majorHAnsi"/>
                <w:b/>
                <w:sz w:val="22"/>
                <w:szCs w:val="22"/>
              </w:rPr>
              <w:t>can be considered</w:t>
            </w:r>
            <w:bookmarkStart w:id="0" w:name="_GoBack"/>
            <w:bookmarkEnd w:id="0"/>
            <w:r>
              <w:rPr>
                <w:rFonts w:asciiTheme="majorHAnsi" w:hAnsiTheme="majorHAnsi"/>
                <w:b/>
                <w:sz w:val="22"/>
                <w:szCs w:val="22"/>
              </w:rPr>
              <w:t xml:space="preserve"> within</w:t>
            </w:r>
            <w:r w:rsidRPr="00FA37A6">
              <w:rPr>
                <w:rFonts w:asciiTheme="majorHAnsi" w:hAnsiTheme="majorHAnsi"/>
                <w:b/>
                <w:sz w:val="22"/>
                <w:szCs w:val="22"/>
              </w:rPr>
              <w:t xml:space="preserve"> the remit of the GNSO</w:t>
            </w:r>
            <w:r w:rsidRPr="004125E2">
              <w:rPr>
                <w:rFonts w:asciiTheme="majorHAnsi" w:hAnsiTheme="majorHAnsi"/>
                <w:b/>
                <w:sz w:val="22"/>
                <w:szCs w:val="22"/>
              </w:rPr>
              <w:t xml:space="preserve"> </w:t>
            </w:r>
            <w:r w:rsidR="004125E2" w:rsidRPr="004125E2">
              <w:rPr>
                <w:rFonts w:asciiTheme="majorHAnsi" w:hAnsiTheme="majorHAnsi"/>
                <w:b/>
                <w:sz w:val="22"/>
                <w:szCs w:val="22"/>
              </w:rPr>
              <w:t>(yes/no)</w:t>
            </w:r>
          </w:p>
        </w:tc>
        <w:tc>
          <w:tcPr>
            <w:tcW w:w="2868" w:type="dxa"/>
            <w:shd w:val="clear" w:color="auto" w:fill="C0C0C0"/>
          </w:tcPr>
          <w:p w14:paraId="63C319E6" w14:textId="3ABF8505" w:rsidR="004125E2" w:rsidRPr="004125E2" w:rsidRDefault="004125E2" w:rsidP="00AA2891">
            <w:pPr>
              <w:rPr>
                <w:rFonts w:asciiTheme="majorHAnsi" w:hAnsiTheme="majorHAnsi"/>
                <w:b/>
                <w:sz w:val="22"/>
                <w:szCs w:val="22"/>
              </w:rPr>
            </w:pPr>
            <w:r w:rsidRPr="004125E2">
              <w:rPr>
                <w:rFonts w:asciiTheme="majorHAnsi" w:hAnsiTheme="majorHAnsi"/>
                <w:b/>
                <w:sz w:val="22"/>
                <w:szCs w:val="22"/>
              </w:rPr>
              <w:t xml:space="preserve">If yes, is it subject to </w:t>
            </w:r>
            <w:r w:rsidR="00AA2891">
              <w:rPr>
                <w:rFonts w:asciiTheme="majorHAnsi" w:hAnsiTheme="majorHAnsi"/>
                <w:b/>
                <w:sz w:val="22"/>
                <w:szCs w:val="22"/>
              </w:rPr>
              <w:t xml:space="preserve">existing policy recommendations, </w:t>
            </w:r>
            <w:r w:rsidRPr="004125E2">
              <w:rPr>
                <w:rFonts w:asciiTheme="majorHAnsi" w:hAnsiTheme="majorHAnsi"/>
                <w:b/>
                <w:sz w:val="22"/>
                <w:szCs w:val="22"/>
              </w:rPr>
              <w:t>implementation action</w:t>
            </w:r>
            <w:r w:rsidR="00AA2891">
              <w:rPr>
                <w:rFonts w:asciiTheme="majorHAnsi" w:hAnsiTheme="majorHAnsi"/>
                <w:b/>
                <w:sz w:val="22"/>
                <w:szCs w:val="22"/>
              </w:rPr>
              <w:t xml:space="preserve"> or </w:t>
            </w:r>
            <w:r w:rsidR="00AA2891" w:rsidRPr="00AA2891">
              <w:rPr>
                <w:rFonts w:asciiTheme="majorHAnsi" w:hAnsiTheme="majorHAnsi"/>
                <w:b/>
                <w:sz w:val="22"/>
                <w:szCs w:val="22"/>
              </w:rPr>
              <w:t>ongoing GNSO policy development work</w:t>
            </w:r>
            <w:r w:rsidRPr="004125E2">
              <w:rPr>
                <w:rFonts w:asciiTheme="majorHAnsi" w:hAnsiTheme="majorHAnsi"/>
                <w:b/>
                <w:sz w:val="22"/>
                <w:szCs w:val="22"/>
              </w:rPr>
              <w:t>?</w:t>
            </w:r>
          </w:p>
        </w:tc>
        <w:tc>
          <w:tcPr>
            <w:tcW w:w="2644" w:type="dxa"/>
            <w:shd w:val="clear" w:color="auto" w:fill="C0C0C0"/>
          </w:tcPr>
          <w:p w14:paraId="4EC579CD" w14:textId="77777777" w:rsidR="004125E2" w:rsidRPr="004125E2" w:rsidRDefault="004125E2" w:rsidP="004125E2">
            <w:pPr>
              <w:rPr>
                <w:rFonts w:asciiTheme="majorHAnsi" w:hAnsiTheme="majorHAnsi"/>
                <w:b/>
                <w:sz w:val="22"/>
                <w:szCs w:val="22"/>
              </w:rPr>
            </w:pPr>
            <w:r w:rsidRPr="004125E2">
              <w:rPr>
                <w:rFonts w:asciiTheme="majorHAnsi" w:hAnsiTheme="majorHAnsi"/>
                <w:b/>
                <w:sz w:val="22"/>
                <w:szCs w:val="22"/>
              </w:rPr>
              <w:t>How has this issue been/is being/will be dealt with by the GNSO</w:t>
            </w:r>
          </w:p>
        </w:tc>
      </w:tr>
      <w:tr w:rsidR="004125E2" w14:paraId="00AEDFA9" w14:textId="77777777" w:rsidTr="00185990">
        <w:trPr>
          <w:cantSplit/>
        </w:trPr>
        <w:tc>
          <w:tcPr>
            <w:tcW w:w="2268" w:type="dxa"/>
          </w:tcPr>
          <w:p w14:paraId="5B02A4DB" w14:textId="6C91D9AA" w:rsidR="004125E2" w:rsidRPr="004125E2" w:rsidRDefault="008C1BA3" w:rsidP="004125E2">
            <w:pPr>
              <w:pStyle w:val="Default"/>
              <w:rPr>
                <w:sz w:val="23"/>
                <w:szCs w:val="23"/>
              </w:rPr>
            </w:pPr>
            <w:r>
              <w:rPr>
                <w:b/>
                <w:bCs/>
                <w:sz w:val="23"/>
                <w:szCs w:val="23"/>
              </w:rPr>
              <w:t xml:space="preserve">1. </w:t>
            </w:r>
            <w:r w:rsidR="004125E2">
              <w:rPr>
                <w:b/>
                <w:bCs/>
                <w:sz w:val="23"/>
                <w:szCs w:val="23"/>
              </w:rPr>
              <w:t xml:space="preserve">Safeguards Advice Applicable to all new </w:t>
            </w:r>
            <w:proofErr w:type="spellStart"/>
            <w:r w:rsidR="004125E2">
              <w:rPr>
                <w:b/>
                <w:bCs/>
                <w:sz w:val="23"/>
                <w:szCs w:val="23"/>
              </w:rPr>
              <w:t>gTLDs</w:t>
            </w:r>
            <w:proofErr w:type="spellEnd"/>
            <w:r w:rsidR="004125E2">
              <w:rPr>
                <w:b/>
                <w:bCs/>
                <w:sz w:val="23"/>
                <w:szCs w:val="23"/>
              </w:rPr>
              <w:t xml:space="preserve"> and Category 1 (consumer protection, sensitive strings and regulated markets) and Category 2 (restricted registration policies) strings </w:t>
            </w:r>
          </w:p>
        </w:tc>
        <w:tc>
          <w:tcPr>
            <w:tcW w:w="3690" w:type="dxa"/>
          </w:tcPr>
          <w:p w14:paraId="0F7B4818" w14:textId="77777777" w:rsidR="004125E2" w:rsidRDefault="004125E2" w:rsidP="004125E2">
            <w:pPr>
              <w:pStyle w:val="Default"/>
              <w:rPr>
                <w:sz w:val="23"/>
                <w:szCs w:val="23"/>
              </w:rPr>
            </w:pPr>
            <w:r>
              <w:rPr>
                <w:b/>
                <w:bCs/>
                <w:sz w:val="23"/>
                <w:szCs w:val="23"/>
              </w:rPr>
              <w:t xml:space="preserve">a. The GAC urges the NGPC to: </w:t>
            </w:r>
          </w:p>
          <w:p w14:paraId="07896EBA" w14:textId="77777777" w:rsidR="004125E2" w:rsidRPr="004125E2" w:rsidRDefault="004125E2" w:rsidP="004125E2">
            <w:pPr>
              <w:pStyle w:val="Default"/>
              <w:rPr>
                <w:sz w:val="23"/>
                <w:szCs w:val="23"/>
              </w:rPr>
            </w:pPr>
            <w:proofErr w:type="spellStart"/>
            <w:r>
              <w:rPr>
                <w:sz w:val="23"/>
                <w:szCs w:val="23"/>
              </w:rPr>
              <w:t>i</w:t>
            </w:r>
            <w:proofErr w:type="spellEnd"/>
            <w:r>
              <w:rPr>
                <w:sz w:val="23"/>
                <w:szCs w:val="23"/>
              </w:rPr>
              <w:t xml:space="preserve">. </w:t>
            </w:r>
            <w:proofErr w:type="gramStart"/>
            <w:r>
              <w:rPr>
                <w:sz w:val="23"/>
                <w:szCs w:val="23"/>
              </w:rPr>
              <w:t>publicly</w:t>
            </w:r>
            <w:proofErr w:type="gramEnd"/>
            <w:r>
              <w:rPr>
                <w:sz w:val="23"/>
                <w:szCs w:val="23"/>
              </w:rPr>
              <w:t xml:space="preserve"> recognize these commitments as setting a best practices standard that all Registries involved with such strings should strive to meet. In addition, </w:t>
            </w:r>
          </w:p>
        </w:tc>
        <w:tc>
          <w:tcPr>
            <w:tcW w:w="1706" w:type="dxa"/>
          </w:tcPr>
          <w:p w14:paraId="3E699D47" w14:textId="67EF6095" w:rsidR="004125E2" w:rsidRDefault="00775450" w:rsidP="00775450">
            <w:pPr>
              <w:rPr>
                <w:rFonts w:asciiTheme="majorHAnsi" w:hAnsiTheme="majorHAnsi"/>
                <w:sz w:val="22"/>
                <w:szCs w:val="22"/>
              </w:rPr>
            </w:pPr>
            <w:r>
              <w:rPr>
                <w:rFonts w:asciiTheme="majorHAnsi" w:hAnsiTheme="majorHAnsi"/>
                <w:sz w:val="22"/>
                <w:szCs w:val="22"/>
              </w:rPr>
              <w:t>Yes</w:t>
            </w:r>
          </w:p>
        </w:tc>
        <w:tc>
          <w:tcPr>
            <w:tcW w:w="2868" w:type="dxa"/>
          </w:tcPr>
          <w:p w14:paraId="74C3801C" w14:textId="77777777" w:rsidR="004125E2" w:rsidRDefault="004125E2" w:rsidP="004125E2">
            <w:pPr>
              <w:rPr>
                <w:rFonts w:asciiTheme="majorHAnsi" w:hAnsiTheme="majorHAnsi"/>
                <w:sz w:val="22"/>
                <w:szCs w:val="22"/>
              </w:rPr>
            </w:pPr>
          </w:p>
        </w:tc>
        <w:tc>
          <w:tcPr>
            <w:tcW w:w="2644" w:type="dxa"/>
          </w:tcPr>
          <w:p w14:paraId="0B16B1C7" w14:textId="77777777" w:rsidR="004125E2" w:rsidRDefault="004125E2" w:rsidP="004125E2">
            <w:pPr>
              <w:rPr>
                <w:rFonts w:asciiTheme="majorHAnsi" w:hAnsiTheme="majorHAnsi"/>
                <w:sz w:val="22"/>
                <w:szCs w:val="22"/>
              </w:rPr>
            </w:pPr>
          </w:p>
        </w:tc>
      </w:tr>
      <w:tr w:rsidR="004125E2" w14:paraId="2F7B28CC" w14:textId="77777777" w:rsidTr="00185990">
        <w:trPr>
          <w:cantSplit/>
        </w:trPr>
        <w:tc>
          <w:tcPr>
            <w:tcW w:w="2268" w:type="dxa"/>
          </w:tcPr>
          <w:p w14:paraId="4FC70AFE" w14:textId="77777777" w:rsidR="004125E2" w:rsidRDefault="004125E2" w:rsidP="004125E2">
            <w:pPr>
              <w:rPr>
                <w:rFonts w:asciiTheme="majorHAnsi" w:hAnsiTheme="majorHAnsi"/>
                <w:sz w:val="22"/>
                <w:szCs w:val="22"/>
              </w:rPr>
            </w:pPr>
          </w:p>
        </w:tc>
        <w:tc>
          <w:tcPr>
            <w:tcW w:w="3690" w:type="dxa"/>
          </w:tcPr>
          <w:p w14:paraId="21FD9FBF" w14:textId="77777777" w:rsidR="004125E2" w:rsidRDefault="004125E2" w:rsidP="004125E2">
            <w:pPr>
              <w:pStyle w:val="Default"/>
              <w:rPr>
                <w:sz w:val="23"/>
                <w:szCs w:val="23"/>
              </w:rPr>
            </w:pPr>
            <w:r>
              <w:rPr>
                <w:b/>
                <w:bCs/>
                <w:sz w:val="23"/>
                <w:szCs w:val="23"/>
              </w:rPr>
              <w:t xml:space="preserve">b. The GAC recommends: </w:t>
            </w:r>
          </w:p>
          <w:p w14:paraId="19E62FCA" w14:textId="77777777" w:rsidR="004125E2" w:rsidRPr="004125E2" w:rsidRDefault="004125E2" w:rsidP="004125E2">
            <w:pPr>
              <w:pStyle w:val="Default"/>
              <w:rPr>
                <w:sz w:val="23"/>
                <w:szCs w:val="23"/>
              </w:rPr>
            </w:pPr>
            <w:proofErr w:type="spellStart"/>
            <w:r>
              <w:rPr>
                <w:sz w:val="23"/>
                <w:szCs w:val="23"/>
              </w:rPr>
              <w:t>i</w:t>
            </w:r>
            <w:proofErr w:type="spellEnd"/>
            <w:r>
              <w:rPr>
                <w:sz w:val="23"/>
                <w:szCs w:val="23"/>
              </w:rPr>
              <w:t xml:space="preserve">. </w:t>
            </w:r>
            <w:proofErr w:type="gramStart"/>
            <w:r>
              <w:rPr>
                <w:sz w:val="23"/>
                <w:szCs w:val="23"/>
              </w:rPr>
              <w:t>that</w:t>
            </w:r>
            <w:proofErr w:type="gramEnd"/>
            <w:r>
              <w:rPr>
                <w:sz w:val="23"/>
                <w:szCs w:val="23"/>
              </w:rPr>
              <w:t xml:space="preserve"> ICANN suggest to those Registries for which such commitments have not yet been taken and for which contracts have already been signed with ICANN, that they review means and ways of introducing such provisions in view of the public policy concerns. This could also help to raise confidence in Internet-based commerce. </w:t>
            </w:r>
          </w:p>
        </w:tc>
        <w:tc>
          <w:tcPr>
            <w:tcW w:w="1706" w:type="dxa"/>
          </w:tcPr>
          <w:p w14:paraId="2EC42436" w14:textId="65591BFA" w:rsidR="004125E2" w:rsidRDefault="00775450" w:rsidP="004125E2">
            <w:pPr>
              <w:rPr>
                <w:rFonts w:asciiTheme="majorHAnsi" w:hAnsiTheme="majorHAnsi"/>
                <w:sz w:val="22"/>
                <w:szCs w:val="22"/>
              </w:rPr>
            </w:pPr>
            <w:r>
              <w:rPr>
                <w:rFonts w:asciiTheme="majorHAnsi" w:hAnsiTheme="majorHAnsi"/>
                <w:sz w:val="22"/>
                <w:szCs w:val="22"/>
              </w:rPr>
              <w:t>Yes</w:t>
            </w:r>
          </w:p>
        </w:tc>
        <w:tc>
          <w:tcPr>
            <w:tcW w:w="2868" w:type="dxa"/>
          </w:tcPr>
          <w:p w14:paraId="35ADFE90" w14:textId="77777777" w:rsidR="004125E2" w:rsidRDefault="004125E2" w:rsidP="004125E2">
            <w:pPr>
              <w:rPr>
                <w:rFonts w:asciiTheme="majorHAnsi" w:hAnsiTheme="majorHAnsi"/>
                <w:sz w:val="22"/>
                <w:szCs w:val="22"/>
              </w:rPr>
            </w:pPr>
          </w:p>
        </w:tc>
        <w:tc>
          <w:tcPr>
            <w:tcW w:w="2644" w:type="dxa"/>
          </w:tcPr>
          <w:p w14:paraId="6F0BB712" w14:textId="77777777" w:rsidR="004125E2" w:rsidRDefault="004125E2" w:rsidP="004125E2">
            <w:pPr>
              <w:rPr>
                <w:rFonts w:asciiTheme="majorHAnsi" w:hAnsiTheme="majorHAnsi"/>
                <w:sz w:val="22"/>
                <w:szCs w:val="22"/>
              </w:rPr>
            </w:pPr>
          </w:p>
        </w:tc>
      </w:tr>
      <w:tr w:rsidR="004125E2" w14:paraId="337F0B80" w14:textId="77777777" w:rsidTr="00185990">
        <w:trPr>
          <w:cantSplit/>
        </w:trPr>
        <w:tc>
          <w:tcPr>
            <w:tcW w:w="2268" w:type="dxa"/>
          </w:tcPr>
          <w:p w14:paraId="22D8EC4F" w14:textId="77777777" w:rsidR="004125E2" w:rsidRDefault="004125E2" w:rsidP="004125E2">
            <w:pPr>
              <w:rPr>
                <w:rFonts w:asciiTheme="majorHAnsi" w:hAnsiTheme="majorHAnsi"/>
                <w:sz w:val="22"/>
                <w:szCs w:val="22"/>
              </w:rPr>
            </w:pPr>
          </w:p>
        </w:tc>
        <w:tc>
          <w:tcPr>
            <w:tcW w:w="3690" w:type="dxa"/>
          </w:tcPr>
          <w:p w14:paraId="76EE5023" w14:textId="77777777" w:rsidR="004125E2" w:rsidRDefault="004125E2" w:rsidP="004125E2">
            <w:pPr>
              <w:pStyle w:val="Default"/>
              <w:rPr>
                <w:sz w:val="23"/>
                <w:szCs w:val="23"/>
              </w:rPr>
            </w:pPr>
            <w:r>
              <w:rPr>
                <w:b/>
                <w:bCs/>
                <w:sz w:val="23"/>
                <w:szCs w:val="23"/>
              </w:rPr>
              <w:t xml:space="preserve">The GAC urges the NGPC to: </w:t>
            </w:r>
          </w:p>
          <w:p w14:paraId="2F854CD2" w14:textId="77777777" w:rsidR="004125E2" w:rsidRPr="004125E2" w:rsidRDefault="004125E2" w:rsidP="004125E2">
            <w:pPr>
              <w:pStyle w:val="Default"/>
              <w:rPr>
                <w:sz w:val="23"/>
                <w:szCs w:val="23"/>
              </w:rPr>
            </w:pPr>
            <w:proofErr w:type="spellStart"/>
            <w:r>
              <w:rPr>
                <w:sz w:val="23"/>
                <w:szCs w:val="23"/>
              </w:rPr>
              <w:t>i</w:t>
            </w:r>
            <w:proofErr w:type="spellEnd"/>
            <w:r>
              <w:rPr>
                <w:sz w:val="23"/>
                <w:szCs w:val="23"/>
              </w:rPr>
              <w:t xml:space="preserve">. </w:t>
            </w:r>
            <w:proofErr w:type="gramStart"/>
            <w:r>
              <w:rPr>
                <w:sz w:val="23"/>
                <w:szCs w:val="23"/>
              </w:rPr>
              <w:t>consider</w:t>
            </w:r>
            <w:proofErr w:type="gramEnd"/>
            <w:r>
              <w:rPr>
                <w:sz w:val="23"/>
                <w:szCs w:val="23"/>
              </w:rPr>
              <w:t xml:space="preserve"> refining the PICDRP and/or to consider developing a “fast track” process for regulatory authorities, government agencies, and law enforcement to work with ICANN contract compliance to effectively respond to issues involving serious risks of harm to the public. Finally, with regard to the GAC’s Beijing Category 2 advice, </w:t>
            </w:r>
          </w:p>
        </w:tc>
        <w:tc>
          <w:tcPr>
            <w:tcW w:w="1706" w:type="dxa"/>
          </w:tcPr>
          <w:p w14:paraId="27E0E2BE" w14:textId="26933C95" w:rsidR="004125E2" w:rsidRDefault="00775450" w:rsidP="004125E2">
            <w:pPr>
              <w:rPr>
                <w:rFonts w:asciiTheme="majorHAnsi" w:hAnsiTheme="majorHAnsi"/>
                <w:sz w:val="22"/>
                <w:szCs w:val="22"/>
              </w:rPr>
            </w:pPr>
            <w:r>
              <w:rPr>
                <w:rFonts w:asciiTheme="majorHAnsi" w:hAnsiTheme="majorHAnsi"/>
                <w:sz w:val="22"/>
                <w:szCs w:val="22"/>
              </w:rPr>
              <w:t>Yes</w:t>
            </w:r>
          </w:p>
        </w:tc>
        <w:tc>
          <w:tcPr>
            <w:tcW w:w="2868" w:type="dxa"/>
          </w:tcPr>
          <w:p w14:paraId="79674D51" w14:textId="77777777" w:rsidR="004125E2" w:rsidRDefault="004125E2" w:rsidP="004125E2">
            <w:pPr>
              <w:rPr>
                <w:rFonts w:asciiTheme="majorHAnsi" w:hAnsiTheme="majorHAnsi"/>
                <w:sz w:val="22"/>
                <w:szCs w:val="22"/>
              </w:rPr>
            </w:pPr>
          </w:p>
        </w:tc>
        <w:tc>
          <w:tcPr>
            <w:tcW w:w="2644" w:type="dxa"/>
          </w:tcPr>
          <w:p w14:paraId="0B0E0268" w14:textId="77777777" w:rsidR="004125E2" w:rsidRDefault="004125E2" w:rsidP="004125E2">
            <w:pPr>
              <w:rPr>
                <w:rFonts w:asciiTheme="majorHAnsi" w:hAnsiTheme="majorHAnsi"/>
                <w:sz w:val="22"/>
                <w:szCs w:val="22"/>
              </w:rPr>
            </w:pPr>
          </w:p>
        </w:tc>
      </w:tr>
      <w:tr w:rsidR="004125E2" w14:paraId="39191D5D" w14:textId="77777777" w:rsidTr="00185990">
        <w:trPr>
          <w:cantSplit/>
        </w:trPr>
        <w:tc>
          <w:tcPr>
            <w:tcW w:w="2268" w:type="dxa"/>
          </w:tcPr>
          <w:p w14:paraId="2BE8FE6D" w14:textId="77777777" w:rsidR="004125E2" w:rsidRDefault="004125E2" w:rsidP="004125E2">
            <w:pPr>
              <w:rPr>
                <w:rFonts w:asciiTheme="majorHAnsi" w:hAnsiTheme="majorHAnsi"/>
                <w:sz w:val="22"/>
                <w:szCs w:val="22"/>
              </w:rPr>
            </w:pPr>
          </w:p>
        </w:tc>
        <w:tc>
          <w:tcPr>
            <w:tcW w:w="3690" w:type="dxa"/>
          </w:tcPr>
          <w:p w14:paraId="247555AB" w14:textId="77777777" w:rsidR="004125E2" w:rsidRDefault="004125E2" w:rsidP="004125E2">
            <w:pPr>
              <w:pStyle w:val="Default"/>
              <w:rPr>
                <w:sz w:val="23"/>
                <w:szCs w:val="23"/>
              </w:rPr>
            </w:pPr>
            <w:r>
              <w:rPr>
                <w:b/>
                <w:bCs/>
                <w:sz w:val="23"/>
                <w:szCs w:val="23"/>
              </w:rPr>
              <w:t xml:space="preserve">The GAC urges the NGPC to: </w:t>
            </w:r>
          </w:p>
          <w:p w14:paraId="44645232" w14:textId="77777777" w:rsidR="004125E2" w:rsidRPr="004125E2" w:rsidRDefault="004125E2" w:rsidP="004125E2">
            <w:pPr>
              <w:pStyle w:val="Default"/>
              <w:rPr>
                <w:sz w:val="23"/>
                <w:szCs w:val="23"/>
              </w:rPr>
            </w:pPr>
            <w:proofErr w:type="spellStart"/>
            <w:r>
              <w:rPr>
                <w:sz w:val="23"/>
                <w:szCs w:val="23"/>
              </w:rPr>
              <w:t>i</w:t>
            </w:r>
            <w:proofErr w:type="spellEnd"/>
            <w:r>
              <w:rPr>
                <w:sz w:val="23"/>
                <w:szCs w:val="23"/>
              </w:rPr>
              <w:t xml:space="preserve">. </w:t>
            </w:r>
            <w:proofErr w:type="gramStart"/>
            <w:r>
              <w:rPr>
                <w:sz w:val="23"/>
                <w:szCs w:val="23"/>
              </w:rPr>
              <w:t>provide</w:t>
            </w:r>
            <w:proofErr w:type="gramEnd"/>
            <w:r>
              <w:rPr>
                <w:sz w:val="23"/>
                <w:szCs w:val="23"/>
              </w:rPr>
              <w:t xml:space="preserve"> greater clarity as to the mechanisms for redress in the event registrants believe they have been unduly discriminated against. </w:t>
            </w:r>
          </w:p>
        </w:tc>
        <w:tc>
          <w:tcPr>
            <w:tcW w:w="1706" w:type="dxa"/>
          </w:tcPr>
          <w:p w14:paraId="57B2102B" w14:textId="7987F625" w:rsidR="004125E2" w:rsidRDefault="00775450" w:rsidP="004125E2">
            <w:pPr>
              <w:rPr>
                <w:rFonts w:asciiTheme="majorHAnsi" w:hAnsiTheme="majorHAnsi"/>
                <w:sz w:val="22"/>
                <w:szCs w:val="22"/>
              </w:rPr>
            </w:pPr>
            <w:r>
              <w:rPr>
                <w:rFonts w:asciiTheme="majorHAnsi" w:hAnsiTheme="majorHAnsi"/>
                <w:sz w:val="22"/>
                <w:szCs w:val="22"/>
              </w:rPr>
              <w:t>Yes</w:t>
            </w:r>
          </w:p>
        </w:tc>
        <w:tc>
          <w:tcPr>
            <w:tcW w:w="2868" w:type="dxa"/>
          </w:tcPr>
          <w:p w14:paraId="652330D0" w14:textId="77777777" w:rsidR="004125E2" w:rsidRDefault="004125E2" w:rsidP="004125E2">
            <w:pPr>
              <w:rPr>
                <w:rFonts w:asciiTheme="majorHAnsi" w:hAnsiTheme="majorHAnsi"/>
                <w:sz w:val="22"/>
                <w:szCs w:val="22"/>
              </w:rPr>
            </w:pPr>
          </w:p>
        </w:tc>
        <w:tc>
          <w:tcPr>
            <w:tcW w:w="2644" w:type="dxa"/>
          </w:tcPr>
          <w:p w14:paraId="12148AAF" w14:textId="77777777" w:rsidR="004125E2" w:rsidRDefault="004125E2" w:rsidP="004125E2">
            <w:pPr>
              <w:rPr>
                <w:rFonts w:asciiTheme="majorHAnsi" w:hAnsiTheme="majorHAnsi"/>
                <w:sz w:val="22"/>
                <w:szCs w:val="22"/>
              </w:rPr>
            </w:pPr>
          </w:p>
        </w:tc>
      </w:tr>
      <w:tr w:rsidR="004125E2" w14:paraId="0C02E360" w14:textId="77777777" w:rsidTr="00185990">
        <w:trPr>
          <w:cantSplit/>
        </w:trPr>
        <w:tc>
          <w:tcPr>
            <w:tcW w:w="2268" w:type="dxa"/>
          </w:tcPr>
          <w:p w14:paraId="13883EB2" w14:textId="32584AFD" w:rsidR="004125E2" w:rsidRPr="0091552B" w:rsidRDefault="008C1BA3" w:rsidP="0091552B">
            <w:pPr>
              <w:pStyle w:val="Default"/>
              <w:rPr>
                <w:sz w:val="23"/>
                <w:szCs w:val="23"/>
              </w:rPr>
            </w:pPr>
            <w:r>
              <w:rPr>
                <w:b/>
                <w:bCs/>
                <w:sz w:val="23"/>
                <w:szCs w:val="23"/>
              </w:rPr>
              <w:t xml:space="preserve">2. </w:t>
            </w:r>
            <w:r w:rsidR="0091552B">
              <w:rPr>
                <w:b/>
                <w:bCs/>
                <w:sz w:val="23"/>
                <w:szCs w:val="23"/>
              </w:rPr>
              <w:t xml:space="preserve">Protection of Names and Acronyms for Inter-Governmental </w:t>
            </w:r>
            <w:proofErr w:type="spellStart"/>
            <w:r w:rsidR="0091552B">
              <w:rPr>
                <w:b/>
                <w:bCs/>
                <w:sz w:val="23"/>
                <w:szCs w:val="23"/>
              </w:rPr>
              <w:t>Organisations</w:t>
            </w:r>
            <w:proofErr w:type="spellEnd"/>
            <w:r w:rsidR="0091552B">
              <w:rPr>
                <w:b/>
                <w:bCs/>
                <w:sz w:val="23"/>
                <w:szCs w:val="23"/>
              </w:rPr>
              <w:t xml:space="preserve"> (IGOs) </w:t>
            </w:r>
          </w:p>
        </w:tc>
        <w:tc>
          <w:tcPr>
            <w:tcW w:w="3690" w:type="dxa"/>
          </w:tcPr>
          <w:p w14:paraId="6CD9F832" w14:textId="77777777" w:rsidR="004125E2" w:rsidRDefault="0091552B" w:rsidP="0091552B">
            <w:pPr>
              <w:pStyle w:val="Default"/>
              <w:rPr>
                <w:rFonts w:asciiTheme="majorHAnsi" w:hAnsiTheme="majorHAnsi"/>
                <w:sz w:val="22"/>
                <w:szCs w:val="22"/>
              </w:rPr>
            </w:pPr>
            <w:r>
              <w:rPr>
                <w:sz w:val="23"/>
                <w:szCs w:val="23"/>
              </w:rPr>
              <w:t xml:space="preserve">The GAC will continue to work with interested parties to reach agreement on appropriate permanent protections for names and acronyms for Inter-Governmental </w:t>
            </w:r>
            <w:proofErr w:type="spellStart"/>
            <w:r>
              <w:rPr>
                <w:sz w:val="23"/>
                <w:szCs w:val="23"/>
              </w:rPr>
              <w:t>Organisations</w:t>
            </w:r>
            <w:proofErr w:type="spellEnd"/>
            <w:r>
              <w:rPr>
                <w:sz w:val="23"/>
                <w:szCs w:val="23"/>
              </w:rPr>
              <w:t>. This will include working with the GNSO PDP Working Group on IGO-INGO Access to Curative Rights Protection Mechanisms; and with IGOs and the NGPC.</w:t>
            </w:r>
          </w:p>
        </w:tc>
        <w:tc>
          <w:tcPr>
            <w:tcW w:w="1706" w:type="dxa"/>
          </w:tcPr>
          <w:p w14:paraId="01138596" w14:textId="6FFAD75C" w:rsidR="004125E2" w:rsidRDefault="00775450" w:rsidP="004125E2">
            <w:pPr>
              <w:rPr>
                <w:rFonts w:asciiTheme="majorHAnsi" w:hAnsiTheme="majorHAnsi"/>
                <w:sz w:val="22"/>
                <w:szCs w:val="22"/>
              </w:rPr>
            </w:pPr>
            <w:r>
              <w:rPr>
                <w:rFonts w:asciiTheme="majorHAnsi" w:hAnsiTheme="majorHAnsi"/>
                <w:sz w:val="22"/>
                <w:szCs w:val="22"/>
              </w:rPr>
              <w:t>Yes</w:t>
            </w:r>
          </w:p>
        </w:tc>
        <w:tc>
          <w:tcPr>
            <w:tcW w:w="2868" w:type="dxa"/>
          </w:tcPr>
          <w:p w14:paraId="64F882DD" w14:textId="77777777" w:rsidR="004125E2" w:rsidRDefault="004125E2" w:rsidP="004125E2">
            <w:pPr>
              <w:rPr>
                <w:rFonts w:asciiTheme="majorHAnsi" w:hAnsiTheme="majorHAnsi"/>
                <w:sz w:val="22"/>
                <w:szCs w:val="22"/>
              </w:rPr>
            </w:pPr>
          </w:p>
        </w:tc>
        <w:tc>
          <w:tcPr>
            <w:tcW w:w="2644" w:type="dxa"/>
          </w:tcPr>
          <w:p w14:paraId="2CC13B0B" w14:textId="77777777" w:rsidR="004125E2" w:rsidRDefault="004125E2" w:rsidP="004125E2">
            <w:pPr>
              <w:rPr>
                <w:rFonts w:asciiTheme="majorHAnsi" w:hAnsiTheme="majorHAnsi"/>
                <w:sz w:val="22"/>
                <w:szCs w:val="22"/>
              </w:rPr>
            </w:pPr>
          </w:p>
        </w:tc>
      </w:tr>
      <w:tr w:rsidR="004125E2" w14:paraId="47F16396" w14:textId="77777777" w:rsidTr="00185990">
        <w:trPr>
          <w:cantSplit/>
        </w:trPr>
        <w:tc>
          <w:tcPr>
            <w:tcW w:w="2268" w:type="dxa"/>
          </w:tcPr>
          <w:p w14:paraId="65D98D33" w14:textId="0041AC0C" w:rsidR="004125E2" w:rsidRPr="0091552B" w:rsidRDefault="008C1BA3" w:rsidP="0091552B">
            <w:pPr>
              <w:pStyle w:val="Default"/>
              <w:rPr>
                <w:sz w:val="23"/>
                <w:szCs w:val="23"/>
              </w:rPr>
            </w:pPr>
            <w:r>
              <w:rPr>
                <w:b/>
                <w:bCs/>
                <w:sz w:val="23"/>
                <w:szCs w:val="23"/>
              </w:rPr>
              <w:t xml:space="preserve">3. </w:t>
            </w:r>
            <w:r w:rsidR="0091552B">
              <w:rPr>
                <w:b/>
                <w:bCs/>
                <w:sz w:val="23"/>
                <w:szCs w:val="23"/>
              </w:rPr>
              <w:t xml:space="preserve">Protection of Names and Acronyms for Red Cross/Red Crescent </w:t>
            </w:r>
          </w:p>
        </w:tc>
        <w:tc>
          <w:tcPr>
            <w:tcW w:w="3690" w:type="dxa"/>
          </w:tcPr>
          <w:p w14:paraId="660AC7A0" w14:textId="77777777" w:rsidR="004125E2" w:rsidRPr="0091552B" w:rsidRDefault="0091552B" w:rsidP="004125E2">
            <w:pPr>
              <w:rPr>
                <w:rFonts w:asciiTheme="majorHAnsi" w:hAnsiTheme="majorHAnsi"/>
                <w:sz w:val="22"/>
                <w:szCs w:val="22"/>
              </w:rPr>
            </w:pPr>
            <w:r w:rsidRPr="0091552B">
              <w:rPr>
                <w:rFonts w:asciiTheme="majorHAnsi" w:hAnsiTheme="majorHAnsi"/>
                <w:sz w:val="22"/>
                <w:szCs w:val="22"/>
              </w:rPr>
              <w:t xml:space="preserve">The GAC welcomes the steps taken to implement the NGPC resolution adopted in Los Angeles on 12 October 2014. The GAC reiterates its advice to the Board to pursue its consultations in order to confirm permanent protection of the Red Cross and Red Crescent terms and names in the current and future new </w:t>
            </w:r>
            <w:proofErr w:type="spellStart"/>
            <w:r w:rsidRPr="0091552B">
              <w:rPr>
                <w:rFonts w:asciiTheme="majorHAnsi" w:hAnsiTheme="majorHAnsi"/>
                <w:sz w:val="22"/>
                <w:szCs w:val="22"/>
              </w:rPr>
              <w:t>gTLD</w:t>
            </w:r>
            <w:proofErr w:type="spellEnd"/>
            <w:r w:rsidRPr="0091552B">
              <w:rPr>
                <w:rFonts w:asciiTheme="majorHAnsi" w:hAnsiTheme="majorHAnsi"/>
                <w:sz w:val="22"/>
                <w:szCs w:val="22"/>
              </w:rPr>
              <w:t xml:space="preserve"> rounds.</w:t>
            </w:r>
          </w:p>
        </w:tc>
        <w:tc>
          <w:tcPr>
            <w:tcW w:w="1706" w:type="dxa"/>
          </w:tcPr>
          <w:p w14:paraId="469926C2" w14:textId="0524D03F" w:rsidR="004125E2" w:rsidRDefault="00775450" w:rsidP="004125E2">
            <w:pPr>
              <w:rPr>
                <w:rFonts w:asciiTheme="majorHAnsi" w:hAnsiTheme="majorHAnsi"/>
                <w:sz w:val="22"/>
                <w:szCs w:val="22"/>
              </w:rPr>
            </w:pPr>
            <w:r>
              <w:rPr>
                <w:rFonts w:asciiTheme="majorHAnsi" w:hAnsiTheme="majorHAnsi"/>
                <w:sz w:val="22"/>
                <w:szCs w:val="22"/>
              </w:rPr>
              <w:t>Yes</w:t>
            </w:r>
          </w:p>
        </w:tc>
        <w:tc>
          <w:tcPr>
            <w:tcW w:w="2868" w:type="dxa"/>
          </w:tcPr>
          <w:p w14:paraId="7C70ADF3" w14:textId="77777777" w:rsidR="004125E2" w:rsidRDefault="004125E2" w:rsidP="004125E2">
            <w:pPr>
              <w:rPr>
                <w:rFonts w:asciiTheme="majorHAnsi" w:hAnsiTheme="majorHAnsi"/>
                <w:sz w:val="22"/>
                <w:szCs w:val="22"/>
              </w:rPr>
            </w:pPr>
          </w:p>
        </w:tc>
        <w:tc>
          <w:tcPr>
            <w:tcW w:w="2644" w:type="dxa"/>
          </w:tcPr>
          <w:p w14:paraId="09CE3C71" w14:textId="77777777" w:rsidR="004125E2" w:rsidRDefault="004125E2" w:rsidP="004125E2">
            <w:pPr>
              <w:rPr>
                <w:rFonts w:asciiTheme="majorHAnsi" w:hAnsiTheme="majorHAnsi"/>
                <w:sz w:val="22"/>
                <w:szCs w:val="22"/>
              </w:rPr>
            </w:pPr>
          </w:p>
        </w:tc>
      </w:tr>
      <w:tr w:rsidR="004125E2" w14:paraId="2A81ECE1" w14:textId="77777777" w:rsidTr="00185990">
        <w:trPr>
          <w:cantSplit/>
        </w:trPr>
        <w:tc>
          <w:tcPr>
            <w:tcW w:w="2268" w:type="dxa"/>
          </w:tcPr>
          <w:p w14:paraId="12865599" w14:textId="7271FD8E" w:rsidR="004125E2" w:rsidRPr="0091552B" w:rsidRDefault="008C1BA3" w:rsidP="0091552B">
            <w:pPr>
              <w:pStyle w:val="Default"/>
              <w:rPr>
                <w:sz w:val="23"/>
                <w:szCs w:val="23"/>
              </w:rPr>
            </w:pPr>
            <w:r>
              <w:rPr>
                <w:b/>
                <w:bCs/>
                <w:sz w:val="23"/>
                <w:szCs w:val="23"/>
              </w:rPr>
              <w:t xml:space="preserve">4. </w:t>
            </w:r>
            <w:r w:rsidR="0091552B">
              <w:rPr>
                <w:b/>
                <w:bCs/>
                <w:sz w:val="23"/>
                <w:szCs w:val="23"/>
              </w:rPr>
              <w:t xml:space="preserve">Framework of Interpretation Working Group (FOIWG) Report </w:t>
            </w:r>
          </w:p>
        </w:tc>
        <w:tc>
          <w:tcPr>
            <w:tcW w:w="3690" w:type="dxa"/>
          </w:tcPr>
          <w:p w14:paraId="468E9BD5" w14:textId="77777777" w:rsidR="004125E2" w:rsidRDefault="0091552B" w:rsidP="004125E2">
            <w:pPr>
              <w:rPr>
                <w:rFonts w:asciiTheme="majorHAnsi" w:hAnsiTheme="majorHAnsi"/>
                <w:sz w:val="22"/>
                <w:szCs w:val="22"/>
              </w:rPr>
            </w:pPr>
            <w:r w:rsidRPr="0091552B">
              <w:rPr>
                <w:rFonts w:asciiTheme="majorHAnsi" w:hAnsiTheme="majorHAnsi"/>
                <w:sz w:val="22"/>
                <w:szCs w:val="22"/>
              </w:rPr>
              <w:t xml:space="preserve">The GAC notes the work of the </w:t>
            </w:r>
            <w:proofErr w:type="spellStart"/>
            <w:r w:rsidRPr="0091552B">
              <w:rPr>
                <w:rFonts w:asciiTheme="majorHAnsi" w:hAnsiTheme="majorHAnsi"/>
                <w:sz w:val="22"/>
                <w:szCs w:val="22"/>
              </w:rPr>
              <w:t>ccNSO</w:t>
            </w:r>
            <w:proofErr w:type="spellEnd"/>
            <w:r w:rsidRPr="0091552B">
              <w:rPr>
                <w:rFonts w:asciiTheme="majorHAnsi" w:hAnsiTheme="majorHAnsi"/>
                <w:sz w:val="22"/>
                <w:szCs w:val="22"/>
              </w:rPr>
              <w:t xml:space="preserve"> FOIWG, and its efforts to provide interpretive clarity to RFC1591. The GAC welcomes the FOIWG’s recognition that, consistent with the GAC’s 2005 Principles, the ultimate authority on public policy issues relating to </w:t>
            </w:r>
            <w:proofErr w:type="spellStart"/>
            <w:r w:rsidRPr="0091552B">
              <w:rPr>
                <w:rFonts w:asciiTheme="majorHAnsi" w:hAnsiTheme="majorHAnsi"/>
                <w:sz w:val="22"/>
                <w:szCs w:val="22"/>
              </w:rPr>
              <w:t>ccTLDs</w:t>
            </w:r>
            <w:proofErr w:type="spellEnd"/>
            <w:r w:rsidRPr="0091552B">
              <w:rPr>
                <w:rFonts w:asciiTheme="majorHAnsi" w:hAnsiTheme="majorHAnsi"/>
                <w:sz w:val="22"/>
                <w:szCs w:val="22"/>
              </w:rPr>
              <w:t xml:space="preserve"> is the relevant government. As such, nothing in the FOIWG report should be read to limit or constrain applicable law and governmental decisions, or the IANA operator´s ability to act in line with a request made by the relevant government.</w:t>
            </w:r>
          </w:p>
        </w:tc>
        <w:tc>
          <w:tcPr>
            <w:tcW w:w="1706" w:type="dxa"/>
          </w:tcPr>
          <w:p w14:paraId="67FD1EA1" w14:textId="7055C30C" w:rsidR="004125E2" w:rsidRDefault="00775450" w:rsidP="004125E2">
            <w:pPr>
              <w:rPr>
                <w:rFonts w:asciiTheme="majorHAnsi" w:hAnsiTheme="majorHAnsi"/>
                <w:sz w:val="22"/>
                <w:szCs w:val="22"/>
              </w:rPr>
            </w:pPr>
            <w:r>
              <w:rPr>
                <w:rFonts w:asciiTheme="majorHAnsi" w:hAnsiTheme="majorHAnsi"/>
                <w:sz w:val="22"/>
                <w:szCs w:val="22"/>
              </w:rPr>
              <w:t>No</w:t>
            </w:r>
          </w:p>
        </w:tc>
        <w:tc>
          <w:tcPr>
            <w:tcW w:w="2868" w:type="dxa"/>
          </w:tcPr>
          <w:p w14:paraId="748D0809" w14:textId="77777777" w:rsidR="004125E2" w:rsidRDefault="004125E2" w:rsidP="004125E2">
            <w:pPr>
              <w:rPr>
                <w:rFonts w:asciiTheme="majorHAnsi" w:hAnsiTheme="majorHAnsi"/>
                <w:sz w:val="22"/>
                <w:szCs w:val="22"/>
              </w:rPr>
            </w:pPr>
          </w:p>
        </w:tc>
        <w:tc>
          <w:tcPr>
            <w:tcW w:w="2644" w:type="dxa"/>
          </w:tcPr>
          <w:p w14:paraId="617A43A5" w14:textId="77777777" w:rsidR="004125E2" w:rsidRDefault="004125E2" w:rsidP="004125E2">
            <w:pPr>
              <w:rPr>
                <w:rFonts w:asciiTheme="majorHAnsi" w:hAnsiTheme="majorHAnsi"/>
                <w:sz w:val="22"/>
                <w:szCs w:val="22"/>
              </w:rPr>
            </w:pPr>
          </w:p>
        </w:tc>
      </w:tr>
      <w:tr w:rsidR="004125E2" w14:paraId="0FC311AA" w14:textId="77777777" w:rsidTr="00185990">
        <w:trPr>
          <w:cantSplit/>
        </w:trPr>
        <w:tc>
          <w:tcPr>
            <w:tcW w:w="2268" w:type="dxa"/>
          </w:tcPr>
          <w:p w14:paraId="556948B5" w14:textId="1A192F72" w:rsidR="0091552B" w:rsidRDefault="008C1BA3" w:rsidP="0091552B">
            <w:pPr>
              <w:pStyle w:val="Default"/>
              <w:rPr>
                <w:sz w:val="23"/>
                <w:szCs w:val="23"/>
              </w:rPr>
            </w:pPr>
            <w:r>
              <w:rPr>
                <w:b/>
                <w:bCs/>
                <w:sz w:val="23"/>
                <w:szCs w:val="23"/>
              </w:rPr>
              <w:t xml:space="preserve">5. </w:t>
            </w:r>
            <w:r w:rsidR="0091552B">
              <w:rPr>
                <w:b/>
                <w:bCs/>
                <w:sz w:val="23"/>
                <w:szCs w:val="23"/>
              </w:rPr>
              <w:t xml:space="preserve">Accountability and Transparency </w:t>
            </w:r>
          </w:p>
          <w:p w14:paraId="431720D8" w14:textId="77777777" w:rsidR="004125E2" w:rsidRDefault="004125E2" w:rsidP="004125E2">
            <w:pPr>
              <w:rPr>
                <w:rFonts w:asciiTheme="majorHAnsi" w:hAnsiTheme="majorHAnsi"/>
                <w:sz w:val="22"/>
                <w:szCs w:val="22"/>
              </w:rPr>
            </w:pPr>
          </w:p>
        </w:tc>
        <w:tc>
          <w:tcPr>
            <w:tcW w:w="3690" w:type="dxa"/>
          </w:tcPr>
          <w:p w14:paraId="6953D72F" w14:textId="77777777" w:rsidR="004125E2" w:rsidRDefault="0091552B" w:rsidP="004125E2">
            <w:pPr>
              <w:rPr>
                <w:rFonts w:asciiTheme="majorHAnsi" w:hAnsiTheme="majorHAnsi"/>
                <w:sz w:val="22"/>
                <w:szCs w:val="22"/>
              </w:rPr>
            </w:pPr>
            <w:r w:rsidRPr="00565628">
              <w:rPr>
                <w:rFonts w:asciiTheme="majorHAnsi" w:hAnsiTheme="majorHAnsi"/>
                <w:sz w:val="22"/>
                <w:szCs w:val="22"/>
              </w:rPr>
              <w:t>The GAC will write to the Board, before the Buenos Aires meeting, providing details of progress on implementing relevant ATRT2 Recommendations, including those that are completed.</w:t>
            </w:r>
          </w:p>
        </w:tc>
        <w:tc>
          <w:tcPr>
            <w:tcW w:w="1706" w:type="dxa"/>
          </w:tcPr>
          <w:p w14:paraId="5073024F" w14:textId="25288C1C" w:rsidR="004125E2" w:rsidRDefault="00775450" w:rsidP="004125E2">
            <w:pPr>
              <w:rPr>
                <w:rFonts w:asciiTheme="majorHAnsi" w:hAnsiTheme="majorHAnsi"/>
                <w:sz w:val="22"/>
                <w:szCs w:val="22"/>
              </w:rPr>
            </w:pPr>
            <w:r>
              <w:rPr>
                <w:rFonts w:asciiTheme="majorHAnsi" w:hAnsiTheme="majorHAnsi"/>
                <w:sz w:val="22"/>
                <w:szCs w:val="22"/>
              </w:rPr>
              <w:t>No</w:t>
            </w:r>
          </w:p>
        </w:tc>
        <w:tc>
          <w:tcPr>
            <w:tcW w:w="2868" w:type="dxa"/>
          </w:tcPr>
          <w:p w14:paraId="672C818A" w14:textId="77777777" w:rsidR="004125E2" w:rsidRDefault="004125E2" w:rsidP="004125E2">
            <w:pPr>
              <w:rPr>
                <w:rFonts w:asciiTheme="majorHAnsi" w:hAnsiTheme="majorHAnsi"/>
                <w:sz w:val="22"/>
                <w:szCs w:val="22"/>
              </w:rPr>
            </w:pPr>
          </w:p>
        </w:tc>
        <w:tc>
          <w:tcPr>
            <w:tcW w:w="2644" w:type="dxa"/>
          </w:tcPr>
          <w:p w14:paraId="31727A1A" w14:textId="77777777" w:rsidR="004125E2" w:rsidRDefault="004125E2" w:rsidP="004125E2">
            <w:pPr>
              <w:rPr>
                <w:rFonts w:asciiTheme="majorHAnsi" w:hAnsiTheme="majorHAnsi"/>
                <w:sz w:val="22"/>
                <w:szCs w:val="22"/>
              </w:rPr>
            </w:pPr>
          </w:p>
        </w:tc>
      </w:tr>
      <w:tr w:rsidR="004125E2" w14:paraId="423FC926" w14:textId="77777777" w:rsidTr="00185990">
        <w:trPr>
          <w:cantSplit/>
        </w:trPr>
        <w:tc>
          <w:tcPr>
            <w:tcW w:w="2268" w:type="dxa"/>
          </w:tcPr>
          <w:p w14:paraId="49894E8B" w14:textId="533DD7D8" w:rsidR="004125E2" w:rsidRDefault="008C1BA3" w:rsidP="00565628">
            <w:pPr>
              <w:pStyle w:val="Default"/>
              <w:rPr>
                <w:rFonts w:asciiTheme="majorHAnsi" w:hAnsiTheme="majorHAnsi"/>
                <w:sz w:val="22"/>
                <w:szCs w:val="22"/>
              </w:rPr>
            </w:pPr>
            <w:r>
              <w:rPr>
                <w:b/>
                <w:bCs/>
                <w:sz w:val="23"/>
                <w:szCs w:val="23"/>
              </w:rPr>
              <w:t xml:space="preserve">6. </w:t>
            </w:r>
            <w:r w:rsidR="00565628" w:rsidRPr="00565628">
              <w:rPr>
                <w:b/>
                <w:bCs/>
                <w:sz w:val="23"/>
                <w:szCs w:val="23"/>
              </w:rPr>
              <w:t>WHOIS</w:t>
            </w:r>
          </w:p>
        </w:tc>
        <w:tc>
          <w:tcPr>
            <w:tcW w:w="3690" w:type="dxa"/>
          </w:tcPr>
          <w:p w14:paraId="339715A5" w14:textId="77777777" w:rsidR="004125E2" w:rsidRDefault="00565628" w:rsidP="004125E2">
            <w:pPr>
              <w:rPr>
                <w:rFonts w:asciiTheme="majorHAnsi" w:hAnsiTheme="majorHAnsi"/>
                <w:sz w:val="22"/>
                <w:szCs w:val="22"/>
              </w:rPr>
            </w:pPr>
            <w:r w:rsidRPr="00565628">
              <w:rPr>
                <w:rFonts w:asciiTheme="majorHAnsi" w:hAnsiTheme="majorHAnsi"/>
                <w:sz w:val="22"/>
                <w:szCs w:val="22"/>
              </w:rPr>
              <w:t>The GAC notes the receipt of a comprehensive briefing provided by the Board on the wide range of WHOIS-related activities currently underway across ICANN and the community.</w:t>
            </w:r>
          </w:p>
        </w:tc>
        <w:tc>
          <w:tcPr>
            <w:tcW w:w="1706" w:type="dxa"/>
          </w:tcPr>
          <w:p w14:paraId="46262B0A" w14:textId="1F93E59E" w:rsidR="004125E2" w:rsidRDefault="00775450" w:rsidP="004125E2">
            <w:pPr>
              <w:rPr>
                <w:rFonts w:asciiTheme="majorHAnsi" w:hAnsiTheme="majorHAnsi"/>
                <w:sz w:val="22"/>
                <w:szCs w:val="22"/>
              </w:rPr>
            </w:pPr>
            <w:r>
              <w:rPr>
                <w:rFonts w:asciiTheme="majorHAnsi" w:hAnsiTheme="majorHAnsi"/>
                <w:sz w:val="22"/>
                <w:szCs w:val="22"/>
              </w:rPr>
              <w:t>Yes</w:t>
            </w:r>
          </w:p>
        </w:tc>
        <w:tc>
          <w:tcPr>
            <w:tcW w:w="2868" w:type="dxa"/>
          </w:tcPr>
          <w:p w14:paraId="414DFF24" w14:textId="77777777" w:rsidR="004125E2" w:rsidRDefault="004125E2" w:rsidP="004125E2">
            <w:pPr>
              <w:rPr>
                <w:rFonts w:asciiTheme="majorHAnsi" w:hAnsiTheme="majorHAnsi"/>
                <w:sz w:val="22"/>
                <w:szCs w:val="22"/>
              </w:rPr>
            </w:pPr>
          </w:p>
        </w:tc>
        <w:tc>
          <w:tcPr>
            <w:tcW w:w="2644" w:type="dxa"/>
          </w:tcPr>
          <w:p w14:paraId="6841E01E" w14:textId="77777777" w:rsidR="004125E2" w:rsidRDefault="004125E2" w:rsidP="004125E2">
            <w:pPr>
              <w:rPr>
                <w:rFonts w:asciiTheme="majorHAnsi" w:hAnsiTheme="majorHAnsi"/>
                <w:sz w:val="22"/>
                <w:szCs w:val="22"/>
              </w:rPr>
            </w:pPr>
          </w:p>
        </w:tc>
      </w:tr>
      <w:tr w:rsidR="004125E2" w14:paraId="4D159612" w14:textId="77777777" w:rsidTr="00185990">
        <w:trPr>
          <w:cantSplit/>
        </w:trPr>
        <w:tc>
          <w:tcPr>
            <w:tcW w:w="2268" w:type="dxa"/>
          </w:tcPr>
          <w:p w14:paraId="24148003" w14:textId="068E527D" w:rsidR="004125E2" w:rsidRPr="00565628" w:rsidRDefault="008C1BA3" w:rsidP="00565628">
            <w:pPr>
              <w:pStyle w:val="Default"/>
              <w:rPr>
                <w:sz w:val="23"/>
                <w:szCs w:val="23"/>
              </w:rPr>
            </w:pPr>
            <w:r>
              <w:rPr>
                <w:b/>
                <w:bCs/>
                <w:sz w:val="23"/>
                <w:szCs w:val="23"/>
              </w:rPr>
              <w:t xml:space="preserve">7. </w:t>
            </w:r>
            <w:r w:rsidR="00565628">
              <w:rPr>
                <w:b/>
                <w:bCs/>
                <w:sz w:val="23"/>
                <w:szCs w:val="23"/>
              </w:rPr>
              <w:t xml:space="preserve">Release of Two-Letter Codes and Country Names at the Second Level </w:t>
            </w:r>
          </w:p>
        </w:tc>
        <w:tc>
          <w:tcPr>
            <w:tcW w:w="3690" w:type="dxa"/>
          </w:tcPr>
          <w:p w14:paraId="417FB853" w14:textId="77777777" w:rsidR="00565628" w:rsidRDefault="00565628" w:rsidP="00565628">
            <w:pPr>
              <w:pStyle w:val="Default"/>
              <w:rPr>
                <w:sz w:val="23"/>
                <w:szCs w:val="23"/>
              </w:rPr>
            </w:pPr>
            <w:r>
              <w:rPr>
                <w:b/>
                <w:bCs/>
                <w:sz w:val="23"/>
                <w:szCs w:val="23"/>
              </w:rPr>
              <w:t xml:space="preserve">a. The GAC advices the Board to: </w:t>
            </w:r>
          </w:p>
          <w:p w14:paraId="5BCF1BB2" w14:textId="77777777" w:rsidR="004125E2" w:rsidRPr="00565628" w:rsidRDefault="00565628" w:rsidP="00565628">
            <w:pPr>
              <w:pStyle w:val="Default"/>
              <w:rPr>
                <w:sz w:val="23"/>
                <w:szCs w:val="23"/>
              </w:rPr>
            </w:pPr>
            <w:proofErr w:type="spellStart"/>
            <w:r>
              <w:rPr>
                <w:sz w:val="23"/>
                <w:szCs w:val="23"/>
              </w:rPr>
              <w:t>i</w:t>
            </w:r>
            <w:proofErr w:type="spellEnd"/>
            <w:r>
              <w:rPr>
                <w:sz w:val="23"/>
                <w:szCs w:val="23"/>
              </w:rPr>
              <w:t xml:space="preserve">. </w:t>
            </w:r>
            <w:proofErr w:type="gramStart"/>
            <w:r>
              <w:rPr>
                <w:sz w:val="23"/>
                <w:szCs w:val="23"/>
              </w:rPr>
              <w:t>amend</w:t>
            </w:r>
            <w:proofErr w:type="gramEnd"/>
            <w:r>
              <w:rPr>
                <w:sz w:val="23"/>
                <w:szCs w:val="23"/>
              </w:rPr>
              <w:t xml:space="preserve"> the current process for requests to release two-letter codes to establish an effective notification mechanism, so that relevant governments can be alerted as requests are initiated. Comments from relevant governments should be fully considered. </w:t>
            </w:r>
          </w:p>
        </w:tc>
        <w:tc>
          <w:tcPr>
            <w:tcW w:w="1706" w:type="dxa"/>
          </w:tcPr>
          <w:p w14:paraId="336669CF" w14:textId="07DC90E7" w:rsidR="004125E2" w:rsidRDefault="00775450" w:rsidP="004125E2">
            <w:pPr>
              <w:rPr>
                <w:rFonts w:asciiTheme="majorHAnsi" w:hAnsiTheme="majorHAnsi"/>
                <w:sz w:val="22"/>
                <w:szCs w:val="22"/>
              </w:rPr>
            </w:pPr>
            <w:r>
              <w:rPr>
                <w:rFonts w:asciiTheme="majorHAnsi" w:hAnsiTheme="majorHAnsi"/>
                <w:sz w:val="22"/>
                <w:szCs w:val="22"/>
              </w:rPr>
              <w:t>Yes</w:t>
            </w:r>
          </w:p>
        </w:tc>
        <w:tc>
          <w:tcPr>
            <w:tcW w:w="2868" w:type="dxa"/>
          </w:tcPr>
          <w:p w14:paraId="7AF6047C" w14:textId="77777777" w:rsidR="004125E2" w:rsidRDefault="004125E2" w:rsidP="004125E2">
            <w:pPr>
              <w:rPr>
                <w:rFonts w:asciiTheme="majorHAnsi" w:hAnsiTheme="majorHAnsi"/>
                <w:sz w:val="22"/>
                <w:szCs w:val="22"/>
              </w:rPr>
            </w:pPr>
          </w:p>
        </w:tc>
        <w:tc>
          <w:tcPr>
            <w:tcW w:w="2644" w:type="dxa"/>
          </w:tcPr>
          <w:p w14:paraId="4B170487" w14:textId="77777777" w:rsidR="004125E2" w:rsidRDefault="004125E2" w:rsidP="004125E2">
            <w:pPr>
              <w:rPr>
                <w:rFonts w:asciiTheme="majorHAnsi" w:hAnsiTheme="majorHAnsi"/>
                <w:sz w:val="22"/>
                <w:szCs w:val="22"/>
              </w:rPr>
            </w:pPr>
          </w:p>
        </w:tc>
      </w:tr>
      <w:tr w:rsidR="004125E2" w14:paraId="0FB9086A" w14:textId="77777777" w:rsidTr="00185990">
        <w:trPr>
          <w:cantSplit/>
        </w:trPr>
        <w:tc>
          <w:tcPr>
            <w:tcW w:w="2268" w:type="dxa"/>
          </w:tcPr>
          <w:p w14:paraId="502B0103" w14:textId="77777777" w:rsidR="004125E2" w:rsidRDefault="004125E2" w:rsidP="004125E2">
            <w:pPr>
              <w:rPr>
                <w:rFonts w:asciiTheme="majorHAnsi" w:hAnsiTheme="majorHAnsi"/>
                <w:sz w:val="22"/>
                <w:szCs w:val="22"/>
              </w:rPr>
            </w:pPr>
          </w:p>
        </w:tc>
        <w:tc>
          <w:tcPr>
            <w:tcW w:w="3690" w:type="dxa"/>
          </w:tcPr>
          <w:p w14:paraId="1CD2AD14" w14:textId="77777777" w:rsidR="00565628" w:rsidRDefault="00565628" w:rsidP="00565628">
            <w:pPr>
              <w:pStyle w:val="Default"/>
              <w:rPr>
                <w:sz w:val="23"/>
                <w:szCs w:val="23"/>
              </w:rPr>
            </w:pPr>
            <w:r>
              <w:rPr>
                <w:b/>
                <w:bCs/>
                <w:sz w:val="23"/>
                <w:szCs w:val="23"/>
              </w:rPr>
              <w:t xml:space="preserve">b. The GAC further advises the Board to: </w:t>
            </w:r>
          </w:p>
          <w:p w14:paraId="59469BB3" w14:textId="77777777" w:rsidR="004125E2" w:rsidRPr="00565628" w:rsidRDefault="00565628" w:rsidP="00565628">
            <w:pPr>
              <w:pStyle w:val="Default"/>
              <w:rPr>
                <w:sz w:val="23"/>
                <w:szCs w:val="23"/>
              </w:rPr>
            </w:pPr>
            <w:proofErr w:type="spellStart"/>
            <w:r>
              <w:rPr>
                <w:sz w:val="23"/>
                <w:szCs w:val="23"/>
              </w:rPr>
              <w:t>i</w:t>
            </w:r>
            <w:proofErr w:type="spellEnd"/>
            <w:r>
              <w:rPr>
                <w:sz w:val="23"/>
                <w:szCs w:val="23"/>
              </w:rPr>
              <w:t xml:space="preserve">. </w:t>
            </w:r>
            <w:proofErr w:type="gramStart"/>
            <w:r>
              <w:rPr>
                <w:sz w:val="23"/>
                <w:szCs w:val="23"/>
              </w:rPr>
              <w:t>extend</w:t>
            </w:r>
            <w:proofErr w:type="gramEnd"/>
            <w:r>
              <w:rPr>
                <w:sz w:val="23"/>
                <w:szCs w:val="23"/>
              </w:rPr>
              <w:t xml:space="preserve"> the comment period to 60 days. These changes should be implemented before proceeding with pending and future requests. A list of GAC Members who intend to agree to all requests and do not require notification will be published on the GAC website. </w:t>
            </w:r>
          </w:p>
        </w:tc>
        <w:tc>
          <w:tcPr>
            <w:tcW w:w="1706" w:type="dxa"/>
          </w:tcPr>
          <w:p w14:paraId="04D00E27" w14:textId="33AFB1BB" w:rsidR="004125E2" w:rsidRDefault="00775450" w:rsidP="004125E2">
            <w:pPr>
              <w:rPr>
                <w:rFonts w:asciiTheme="majorHAnsi" w:hAnsiTheme="majorHAnsi"/>
                <w:sz w:val="22"/>
                <w:szCs w:val="22"/>
              </w:rPr>
            </w:pPr>
            <w:r>
              <w:rPr>
                <w:rFonts w:asciiTheme="majorHAnsi" w:hAnsiTheme="majorHAnsi"/>
                <w:sz w:val="22"/>
                <w:szCs w:val="22"/>
              </w:rPr>
              <w:t>Yes</w:t>
            </w:r>
          </w:p>
        </w:tc>
        <w:tc>
          <w:tcPr>
            <w:tcW w:w="2868" w:type="dxa"/>
          </w:tcPr>
          <w:p w14:paraId="3CBBA5C4" w14:textId="77777777" w:rsidR="004125E2" w:rsidRDefault="004125E2" w:rsidP="004125E2">
            <w:pPr>
              <w:rPr>
                <w:rFonts w:asciiTheme="majorHAnsi" w:hAnsiTheme="majorHAnsi"/>
                <w:sz w:val="22"/>
                <w:szCs w:val="22"/>
              </w:rPr>
            </w:pPr>
          </w:p>
        </w:tc>
        <w:tc>
          <w:tcPr>
            <w:tcW w:w="2644" w:type="dxa"/>
          </w:tcPr>
          <w:p w14:paraId="05D32181" w14:textId="77777777" w:rsidR="004125E2" w:rsidRDefault="004125E2" w:rsidP="004125E2">
            <w:pPr>
              <w:rPr>
                <w:rFonts w:asciiTheme="majorHAnsi" w:hAnsiTheme="majorHAnsi"/>
                <w:sz w:val="22"/>
                <w:szCs w:val="22"/>
              </w:rPr>
            </w:pPr>
          </w:p>
        </w:tc>
      </w:tr>
      <w:tr w:rsidR="004125E2" w14:paraId="5CC90842" w14:textId="77777777" w:rsidTr="00185990">
        <w:trPr>
          <w:cantSplit/>
        </w:trPr>
        <w:tc>
          <w:tcPr>
            <w:tcW w:w="2268" w:type="dxa"/>
          </w:tcPr>
          <w:p w14:paraId="488486FA" w14:textId="1CFF30CC" w:rsidR="00565628" w:rsidRDefault="008C1BA3" w:rsidP="00565628">
            <w:pPr>
              <w:pStyle w:val="Default"/>
              <w:rPr>
                <w:sz w:val="23"/>
                <w:szCs w:val="23"/>
              </w:rPr>
            </w:pPr>
            <w:r>
              <w:rPr>
                <w:b/>
                <w:bCs/>
                <w:sz w:val="23"/>
                <w:szCs w:val="23"/>
              </w:rPr>
              <w:t xml:space="preserve">8. </w:t>
            </w:r>
            <w:r w:rsidR="00565628">
              <w:rPr>
                <w:b/>
                <w:bCs/>
                <w:sz w:val="23"/>
                <w:szCs w:val="23"/>
              </w:rPr>
              <w:t xml:space="preserve">Country and Territory Names </w:t>
            </w:r>
          </w:p>
          <w:p w14:paraId="1F3AEEB4" w14:textId="77777777" w:rsidR="004125E2" w:rsidRDefault="004125E2" w:rsidP="004125E2">
            <w:pPr>
              <w:rPr>
                <w:rFonts w:asciiTheme="majorHAnsi" w:hAnsiTheme="majorHAnsi"/>
                <w:sz w:val="22"/>
                <w:szCs w:val="22"/>
              </w:rPr>
            </w:pPr>
          </w:p>
        </w:tc>
        <w:tc>
          <w:tcPr>
            <w:tcW w:w="3690" w:type="dxa"/>
          </w:tcPr>
          <w:p w14:paraId="721611BB" w14:textId="77777777" w:rsidR="00775450" w:rsidRDefault="00775450" w:rsidP="00775450">
            <w:pPr>
              <w:pStyle w:val="Default"/>
              <w:rPr>
                <w:sz w:val="23"/>
                <w:szCs w:val="23"/>
              </w:rPr>
            </w:pPr>
            <w:r>
              <w:rPr>
                <w:b/>
                <w:bCs/>
                <w:sz w:val="23"/>
                <w:szCs w:val="23"/>
              </w:rPr>
              <w:t xml:space="preserve">a. The GAC advises the Board that: </w:t>
            </w:r>
          </w:p>
          <w:p w14:paraId="32E4269D" w14:textId="1CE015EA" w:rsidR="004125E2" w:rsidRPr="00775450" w:rsidRDefault="00775450" w:rsidP="00775450">
            <w:pPr>
              <w:pStyle w:val="Default"/>
              <w:rPr>
                <w:sz w:val="23"/>
                <w:szCs w:val="23"/>
              </w:rPr>
            </w:pPr>
            <w:proofErr w:type="spellStart"/>
            <w:r>
              <w:rPr>
                <w:sz w:val="23"/>
                <w:szCs w:val="23"/>
              </w:rPr>
              <w:t>i</w:t>
            </w:r>
            <w:proofErr w:type="spellEnd"/>
            <w:r>
              <w:rPr>
                <w:sz w:val="23"/>
                <w:szCs w:val="23"/>
              </w:rPr>
              <w:t xml:space="preserve">. ICANN should work with the GAC to develop a public database to streamline the process for the release of country and territory names at the second level, as outlined in Specification 5. The database will inform whether individual GAC Members intend to agree to all requests, review them case by case, or not agree to any. The absence of input from a government will not be considered as agreement. </w:t>
            </w:r>
          </w:p>
        </w:tc>
        <w:tc>
          <w:tcPr>
            <w:tcW w:w="1706" w:type="dxa"/>
          </w:tcPr>
          <w:p w14:paraId="75AA29DA" w14:textId="7642152B" w:rsidR="004125E2" w:rsidRDefault="00775450" w:rsidP="004125E2">
            <w:pPr>
              <w:rPr>
                <w:rFonts w:asciiTheme="majorHAnsi" w:hAnsiTheme="majorHAnsi"/>
                <w:sz w:val="22"/>
                <w:szCs w:val="22"/>
              </w:rPr>
            </w:pPr>
            <w:r>
              <w:rPr>
                <w:rFonts w:asciiTheme="majorHAnsi" w:hAnsiTheme="majorHAnsi"/>
                <w:sz w:val="22"/>
                <w:szCs w:val="22"/>
              </w:rPr>
              <w:t>Yes</w:t>
            </w:r>
          </w:p>
        </w:tc>
        <w:tc>
          <w:tcPr>
            <w:tcW w:w="2868" w:type="dxa"/>
          </w:tcPr>
          <w:p w14:paraId="1C1481B7" w14:textId="77777777" w:rsidR="004125E2" w:rsidRDefault="004125E2" w:rsidP="004125E2">
            <w:pPr>
              <w:rPr>
                <w:rFonts w:asciiTheme="majorHAnsi" w:hAnsiTheme="majorHAnsi"/>
                <w:sz w:val="22"/>
                <w:szCs w:val="22"/>
              </w:rPr>
            </w:pPr>
          </w:p>
        </w:tc>
        <w:tc>
          <w:tcPr>
            <w:tcW w:w="2644" w:type="dxa"/>
          </w:tcPr>
          <w:p w14:paraId="59C10426" w14:textId="77777777" w:rsidR="004125E2" w:rsidRDefault="004125E2" w:rsidP="004125E2">
            <w:pPr>
              <w:rPr>
                <w:rFonts w:asciiTheme="majorHAnsi" w:hAnsiTheme="majorHAnsi"/>
                <w:sz w:val="22"/>
                <w:szCs w:val="22"/>
              </w:rPr>
            </w:pPr>
          </w:p>
        </w:tc>
      </w:tr>
      <w:tr w:rsidR="004125E2" w14:paraId="22356133" w14:textId="77777777" w:rsidTr="00185990">
        <w:trPr>
          <w:cantSplit/>
        </w:trPr>
        <w:tc>
          <w:tcPr>
            <w:tcW w:w="2268" w:type="dxa"/>
          </w:tcPr>
          <w:p w14:paraId="274EBFBE" w14:textId="746DBB6C" w:rsidR="004125E2" w:rsidRPr="00775450" w:rsidRDefault="00775450" w:rsidP="00775450">
            <w:pPr>
              <w:pStyle w:val="Default"/>
              <w:rPr>
                <w:sz w:val="23"/>
                <w:szCs w:val="23"/>
              </w:rPr>
            </w:pPr>
            <w:r>
              <w:rPr>
                <w:b/>
                <w:bCs/>
                <w:sz w:val="23"/>
                <w:szCs w:val="23"/>
              </w:rPr>
              <w:t xml:space="preserve">9. International Law, Human Rights and ICANN </w:t>
            </w:r>
          </w:p>
        </w:tc>
        <w:tc>
          <w:tcPr>
            <w:tcW w:w="3690" w:type="dxa"/>
          </w:tcPr>
          <w:p w14:paraId="131EA7DB" w14:textId="30BC0783" w:rsidR="004125E2" w:rsidRDefault="00775450" w:rsidP="00775450">
            <w:pPr>
              <w:pStyle w:val="Default"/>
              <w:rPr>
                <w:rFonts w:asciiTheme="majorHAnsi" w:hAnsiTheme="majorHAnsi"/>
                <w:sz w:val="22"/>
                <w:szCs w:val="22"/>
              </w:rPr>
            </w:pPr>
            <w:r>
              <w:rPr>
                <w:sz w:val="23"/>
                <w:szCs w:val="23"/>
              </w:rPr>
              <w:t>The GAC decided to establish a Working Group on Human Rights Issues and the Application of International Law as these matters relate to ICANN activities. The GAC will also monitor community developments and consider how any GAC initiatives can complement any such developments.</w:t>
            </w:r>
          </w:p>
        </w:tc>
        <w:tc>
          <w:tcPr>
            <w:tcW w:w="1706" w:type="dxa"/>
          </w:tcPr>
          <w:p w14:paraId="1A1A2925" w14:textId="60330256" w:rsidR="004125E2" w:rsidRDefault="00775450" w:rsidP="004125E2">
            <w:pPr>
              <w:rPr>
                <w:rFonts w:asciiTheme="majorHAnsi" w:hAnsiTheme="majorHAnsi"/>
                <w:sz w:val="22"/>
                <w:szCs w:val="22"/>
              </w:rPr>
            </w:pPr>
            <w:r>
              <w:rPr>
                <w:rFonts w:asciiTheme="majorHAnsi" w:hAnsiTheme="majorHAnsi"/>
                <w:sz w:val="22"/>
                <w:szCs w:val="22"/>
              </w:rPr>
              <w:t>No</w:t>
            </w:r>
          </w:p>
        </w:tc>
        <w:tc>
          <w:tcPr>
            <w:tcW w:w="2868" w:type="dxa"/>
          </w:tcPr>
          <w:p w14:paraId="78A926D6" w14:textId="77777777" w:rsidR="004125E2" w:rsidRDefault="004125E2" w:rsidP="004125E2">
            <w:pPr>
              <w:rPr>
                <w:rFonts w:asciiTheme="majorHAnsi" w:hAnsiTheme="majorHAnsi"/>
                <w:sz w:val="22"/>
                <w:szCs w:val="22"/>
              </w:rPr>
            </w:pPr>
          </w:p>
        </w:tc>
        <w:tc>
          <w:tcPr>
            <w:tcW w:w="2644" w:type="dxa"/>
          </w:tcPr>
          <w:p w14:paraId="0C43DB01" w14:textId="77777777" w:rsidR="004125E2" w:rsidRDefault="004125E2" w:rsidP="004125E2">
            <w:pPr>
              <w:rPr>
                <w:rFonts w:asciiTheme="majorHAnsi" w:hAnsiTheme="majorHAnsi"/>
                <w:sz w:val="22"/>
                <w:szCs w:val="22"/>
              </w:rPr>
            </w:pPr>
          </w:p>
        </w:tc>
      </w:tr>
      <w:tr w:rsidR="004125E2" w14:paraId="2CF3B5B1" w14:textId="77777777" w:rsidTr="00185990">
        <w:trPr>
          <w:cantSplit/>
        </w:trPr>
        <w:tc>
          <w:tcPr>
            <w:tcW w:w="2268" w:type="dxa"/>
          </w:tcPr>
          <w:p w14:paraId="3E6340B1" w14:textId="77777777" w:rsidR="00775450" w:rsidRDefault="00775450" w:rsidP="00775450">
            <w:pPr>
              <w:pStyle w:val="Default"/>
              <w:rPr>
                <w:sz w:val="23"/>
                <w:szCs w:val="23"/>
              </w:rPr>
            </w:pPr>
            <w:r>
              <w:rPr>
                <w:b/>
                <w:bCs/>
                <w:sz w:val="23"/>
                <w:szCs w:val="23"/>
              </w:rPr>
              <w:t xml:space="preserve">10. Public Safety and Law Enforcement </w:t>
            </w:r>
          </w:p>
          <w:p w14:paraId="74DE9EF7" w14:textId="77777777" w:rsidR="004125E2" w:rsidRDefault="004125E2" w:rsidP="004125E2">
            <w:pPr>
              <w:rPr>
                <w:rFonts w:asciiTheme="majorHAnsi" w:hAnsiTheme="majorHAnsi"/>
                <w:sz w:val="22"/>
                <w:szCs w:val="22"/>
              </w:rPr>
            </w:pPr>
          </w:p>
        </w:tc>
        <w:tc>
          <w:tcPr>
            <w:tcW w:w="3690" w:type="dxa"/>
          </w:tcPr>
          <w:p w14:paraId="1B8567D6" w14:textId="00B594D4" w:rsidR="004125E2" w:rsidRDefault="00775450" w:rsidP="00775450">
            <w:pPr>
              <w:pStyle w:val="Default"/>
              <w:rPr>
                <w:rFonts w:asciiTheme="majorHAnsi" w:hAnsiTheme="majorHAnsi"/>
                <w:sz w:val="22"/>
                <w:szCs w:val="22"/>
              </w:rPr>
            </w:pPr>
            <w:r>
              <w:rPr>
                <w:sz w:val="23"/>
                <w:szCs w:val="23"/>
              </w:rPr>
              <w:t>The GAC agreed to establish a Working Group on Public Safety and Law Enforcement.</w:t>
            </w:r>
          </w:p>
        </w:tc>
        <w:tc>
          <w:tcPr>
            <w:tcW w:w="1706" w:type="dxa"/>
          </w:tcPr>
          <w:p w14:paraId="67ED4B31" w14:textId="1FED96DA" w:rsidR="004125E2" w:rsidRDefault="00775450" w:rsidP="004125E2">
            <w:pPr>
              <w:rPr>
                <w:rFonts w:asciiTheme="majorHAnsi" w:hAnsiTheme="majorHAnsi"/>
                <w:sz w:val="22"/>
                <w:szCs w:val="22"/>
              </w:rPr>
            </w:pPr>
            <w:r>
              <w:rPr>
                <w:rFonts w:asciiTheme="majorHAnsi" w:hAnsiTheme="majorHAnsi"/>
                <w:sz w:val="22"/>
                <w:szCs w:val="22"/>
              </w:rPr>
              <w:t>No</w:t>
            </w:r>
          </w:p>
        </w:tc>
        <w:tc>
          <w:tcPr>
            <w:tcW w:w="2868" w:type="dxa"/>
          </w:tcPr>
          <w:p w14:paraId="156A7776" w14:textId="77777777" w:rsidR="004125E2" w:rsidRDefault="004125E2" w:rsidP="004125E2">
            <w:pPr>
              <w:rPr>
                <w:rFonts w:asciiTheme="majorHAnsi" w:hAnsiTheme="majorHAnsi"/>
                <w:sz w:val="22"/>
                <w:szCs w:val="22"/>
              </w:rPr>
            </w:pPr>
          </w:p>
        </w:tc>
        <w:tc>
          <w:tcPr>
            <w:tcW w:w="2644" w:type="dxa"/>
          </w:tcPr>
          <w:p w14:paraId="3075A97C" w14:textId="77777777" w:rsidR="004125E2" w:rsidRDefault="004125E2" w:rsidP="004125E2">
            <w:pPr>
              <w:rPr>
                <w:rFonts w:asciiTheme="majorHAnsi" w:hAnsiTheme="majorHAnsi"/>
                <w:sz w:val="22"/>
                <w:szCs w:val="22"/>
              </w:rPr>
            </w:pPr>
          </w:p>
        </w:tc>
      </w:tr>
    </w:tbl>
    <w:p w14:paraId="3BD36657" w14:textId="77777777" w:rsidR="004125E2" w:rsidRPr="004125E2" w:rsidRDefault="004125E2" w:rsidP="004125E2">
      <w:pPr>
        <w:rPr>
          <w:rFonts w:asciiTheme="majorHAnsi" w:hAnsiTheme="majorHAnsi"/>
          <w:sz w:val="22"/>
          <w:szCs w:val="22"/>
        </w:rPr>
      </w:pPr>
    </w:p>
    <w:p w14:paraId="3809E29C" w14:textId="77777777" w:rsidR="004125E2" w:rsidRPr="004125E2" w:rsidRDefault="004125E2" w:rsidP="004125E2">
      <w:pPr>
        <w:rPr>
          <w:rFonts w:asciiTheme="majorHAnsi" w:hAnsiTheme="majorHAnsi"/>
          <w:sz w:val="22"/>
          <w:szCs w:val="22"/>
        </w:rPr>
      </w:pPr>
    </w:p>
    <w:p w14:paraId="6E474DB1" w14:textId="77777777" w:rsidR="00C029D1" w:rsidRDefault="00C029D1" w:rsidP="004125E2"/>
    <w:sectPr w:rsidR="00C029D1" w:rsidSect="004125E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E2"/>
    <w:rsid w:val="00185990"/>
    <w:rsid w:val="001E0C6B"/>
    <w:rsid w:val="002C5FAD"/>
    <w:rsid w:val="004125E2"/>
    <w:rsid w:val="00565628"/>
    <w:rsid w:val="00775450"/>
    <w:rsid w:val="008C1BA3"/>
    <w:rsid w:val="0091552B"/>
    <w:rsid w:val="00AA2891"/>
    <w:rsid w:val="00C029D1"/>
    <w:rsid w:val="00FA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FF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5E2"/>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5E2"/>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749</Words>
  <Characters>4274</Characters>
  <Application>Microsoft Macintosh Word</Application>
  <DocSecurity>0</DocSecurity>
  <Lines>35</Lines>
  <Paragraphs>10</Paragraphs>
  <ScaleCrop>false</ScaleCrop>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2015-02-24T08:53:00Z</dcterms:created>
  <dcterms:modified xsi:type="dcterms:W3CDTF">2015-02-24T08:55:00Z</dcterms:modified>
</cp:coreProperties>
</file>