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D9AF" w14:textId="77777777" w:rsidR="001C46B1" w:rsidRPr="002273C3" w:rsidRDefault="00BB5D2E" w:rsidP="001C46B1">
      <w:pPr>
        <w:pStyle w:val="Heading4"/>
        <w:rPr>
          <w:rFonts w:asciiTheme="majorHAnsi" w:hAnsiTheme="majorHAnsi"/>
        </w:rPr>
      </w:pPr>
      <w:r w:rsidRPr="002273C3">
        <w:rPr>
          <w:rFonts w:asciiTheme="majorHAnsi" w:hAnsiTheme="majorHAnsi"/>
        </w:rPr>
        <w:t>Motion on</w:t>
      </w:r>
      <w:r w:rsidR="00955C0B" w:rsidRPr="002273C3">
        <w:rPr>
          <w:rFonts w:asciiTheme="majorHAnsi" w:hAnsiTheme="majorHAnsi"/>
        </w:rPr>
        <w:t xml:space="preserve"> </w:t>
      </w:r>
      <w:r w:rsidRPr="002273C3">
        <w:rPr>
          <w:rFonts w:asciiTheme="majorHAnsi" w:hAnsiTheme="majorHAnsi"/>
        </w:rPr>
        <w:t xml:space="preserve">CCWG-Accountability </w:t>
      </w:r>
      <w:r w:rsidR="001C46B1" w:rsidRPr="002273C3">
        <w:rPr>
          <w:rFonts w:asciiTheme="majorHAnsi" w:hAnsiTheme="majorHAnsi"/>
        </w:rPr>
        <w:t>Supplemental Final Proposal on Work Stream 1 Recommendations</w:t>
      </w:r>
    </w:p>
    <w:p w14:paraId="288F4BE3" w14:textId="77777777" w:rsidR="00C029D1" w:rsidRPr="002273C3" w:rsidRDefault="00BB5D2E">
      <w:pPr>
        <w:rPr>
          <w:rFonts w:asciiTheme="majorHAnsi" w:hAnsiTheme="majorHAnsi"/>
        </w:rPr>
      </w:pPr>
      <w:r w:rsidRPr="002273C3">
        <w:rPr>
          <w:rFonts w:asciiTheme="majorHAnsi" w:hAnsiTheme="majorHAnsi"/>
        </w:rPr>
        <w:t>Whereas,</w:t>
      </w:r>
    </w:p>
    <w:p w14:paraId="1C5EFFEF" w14:textId="77777777" w:rsidR="00BB5D2E" w:rsidRPr="002273C3" w:rsidRDefault="00BB5D2E">
      <w:pPr>
        <w:rPr>
          <w:rFonts w:asciiTheme="majorHAnsi" w:hAnsiTheme="majorHAnsi"/>
        </w:rPr>
      </w:pPr>
    </w:p>
    <w:p w14:paraId="038D3DB5" w14:textId="77777777" w:rsidR="00BB5D2E" w:rsidRPr="002273C3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Council, together with other ICANN Supporting Organizations and Advisory Committees, chartered the Cross-Community Working Group on Enhancing ICANN Accountability (CCWG-Accountability) on </w:t>
      </w:r>
      <w:r w:rsidR="00955C0B" w:rsidRPr="002273C3">
        <w:rPr>
          <w:rFonts w:asciiTheme="majorHAnsi" w:hAnsiTheme="majorHAnsi"/>
        </w:rPr>
        <w:t>13 November 2014</w:t>
      </w:r>
      <w:r w:rsidRPr="002273C3">
        <w:rPr>
          <w:rFonts w:asciiTheme="majorHAnsi" w:hAnsiTheme="majorHAnsi"/>
        </w:rPr>
        <w:t xml:space="preserve"> ‘to deliver proposals that would enhance ICANN’s accountability towards all stakeholders.</w:t>
      </w:r>
    </w:p>
    <w:p w14:paraId="5C84FFFA" w14:textId="77777777" w:rsidR="00BB5D2E" w:rsidRPr="002273C3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>The CCWG-Accountability published its third draft proposal for public comment on 30 November 2015</w:t>
      </w:r>
      <w:r w:rsidR="00955C0B" w:rsidRPr="002273C3">
        <w:rPr>
          <w:rFonts w:asciiTheme="majorHAnsi" w:hAnsiTheme="majorHAnsi"/>
        </w:rPr>
        <w:t xml:space="preserve"> (see </w:t>
      </w:r>
      <w:hyperlink r:id="rId6" w:history="1">
        <w:r w:rsidR="00955C0B" w:rsidRPr="002273C3">
          <w:rPr>
            <w:rStyle w:val="Hyperlink"/>
            <w:rFonts w:asciiTheme="majorHAnsi" w:hAnsiTheme="majorHAnsi"/>
          </w:rPr>
          <w:t>https://www.icann.org/public-comments/draft-ccwg-accountability-proposal-2015-11-30-en</w:t>
        </w:r>
      </w:hyperlink>
      <w:r w:rsidR="00955C0B" w:rsidRPr="002273C3">
        <w:rPr>
          <w:rFonts w:asciiTheme="majorHAnsi" w:hAnsiTheme="majorHAnsi"/>
        </w:rPr>
        <w:t>)</w:t>
      </w:r>
      <w:r w:rsidRPr="002273C3">
        <w:rPr>
          <w:rFonts w:asciiTheme="majorHAnsi" w:hAnsiTheme="majorHAnsi"/>
        </w:rPr>
        <w:t>.</w:t>
      </w:r>
    </w:p>
    <w:p w14:paraId="755CEEA3" w14:textId="77777777" w:rsidR="00BB5D2E" w:rsidRPr="002273C3" w:rsidRDefault="00BB5D2E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>All GNSO Stakeholder Groups</w:t>
      </w:r>
      <w:r w:rsidR="00B20194" w:rsidRPr="002273C3">
        <w:rPr>
          <w:rFonts w:asciiTheme="majorHAnsi" w:hAnsiTheme="majorHAnsi"/>
        </w:rPr>
        <w:t xml:space="preserve"> (SGs)</w:t>
      </w:r>
      <w:r w:rsidRPr="002273C3">
        <w:rPr>
          <w:rFonts w:asciiTheme="majorHAnsi" w:hAnsiTheme="majorHAnsi"/>
        </w:rPr>
        <w:t xml:space="preserve"> and/or Constituencies</w:t>
      </w:r>
      <w:r w:rsidR="00B20194" w:rsidRPr="002273C3">
        <w:rPr>
          <w:rFonts w:asciiTheme="majorHAnsi" w:hAnsiTheme="majorHAnsi"/>
        </w:rPr>
        <w:t xml:space="preserve"> (Cs)</w:t>
      </w:r>
      <w:r w:rsidRPr="002273C3">
        <w:rPr>
          <w:rFonts w:asciiTheme="majorHAnsi" w:hAnsiTheme="majorHAnsi"/>
        </w:rPr>
        <w:t xml:space="preserve"> submitted their input on the third draft proposal</w:t>
      </w:r>
      <w:r w:rsidR="00B20194" w:rsidRPr="002273C3">
        <w:rPr>
          <w:rFonts w:asciiTheme="majorHAnsi" w:hAnsiTheme="majorHAnsi"/>
        </w:rPr>
        <w:t xml:space="preserve"> and its 12 recommendations.</w:t>
      </w:r>
    </w:p>
    <w:p w14:paraId="6F5F5208" w14:textId="360304E5" w:rsidR="001C46B1" w:rsidRPr="002273C3" w:rsidRDefault="001C46B1" w:rsidP="00BB5D2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 submitted input on the third draft proposal </w:t>
      </w:r>
      <w:r w:rsidR="00BE2BA1">
        <w:rPr>
          <w:rFonts w:asciiTheme="majorHAnsi" w:hAnsiTheme="majorHAnsi"/>
        </w:rPr>
        <w:t xml:space="preserve">on 22 January 2016 </w:t>
      </w:r>
      <w:r w:rsidRPr="002273C3">
        <w:rPr>
          <w:rFonts w:asciiTheme="majorHAnsi" w:hAnsiTheme="majorHAnsi"/>
        </w:rPr>
        <w:t xml:space="preserve">(see </w:t>
      </w:r>
      <w:hyperlink r:id="rId7" w:history="1">
        <w:r w:rsidRPr="002273C3">
          <w:rPr>
            <w:rStyle w:val="Hyperlink"/>
            <w:rFonts w:asciiTheme="majorHAnsi" w:hAnsiTheme="majorHAnsi"/>
          </w:rPr>
          <w:t>http://gnso.icann.org/en/correspondence/gnso-council-to-ccwg-accountability-22jan16-en.pdf</w:t>
        </w:r>
      </w:hyperlink>
      <w:r w:rsidRPr="002273C3">
        <w:rPr>
          <w:rFonts w:asciiTheme="majorHAnsi" w:hAnsiTheme="majorHAnsi"/>
        </w:rPr>
        <w:t>).</w:t>
      </w:r>
    </w:p>
    <w:p w14:paraId="2ED320F2" w14:textId="2CDF93DE" w:rsidR="001C46B1" w:rsidRPr="002273C3" w:rsidRDefault="001C46B1" w:rsidP="001C46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CCWG-Accountability reviewed all the input received and submitted its Supplemental Final Proposal on Work Stream 1 Recommendations to the Chartering Organizations on </w:t>
      </w:r>
      <w:r w:rsidR="002273C3" w:rsidRPr="002273C3">
        <w:rPr>
          <w:rFonts w:asciiTheme="majorHAnsi" w:hAnsiTheme="majorHAnsi"/>
        </w:rPr>
        <w:t xml:space="preserve">23 </w:t>
      </w:r>
      <w:r w:rsidRPr="002273C3">
        <w:rPr>
          <w:rFonts w:asciiTheme="majorHAnsi" w:hAnsiTheme="majorHAnsi"/>
        </w:rPr>
        <w:t xml:space="preserve">February </w:t>
      </w:r>
      <w:r w:rsidR="00BE2BA1">
        <w:rPr>
          <w:rFonts w:asciiTheme="majorHAnsi" w:hAnsiTheme="majorHAnsi"/>
        </w:rPr>
        <w:t xml:space="preserve">2016 </w:t>
      </w:r>
      <w:r w:rsidRPr="002273C3">
        <w:rPr>
          <w:rFonts w:asciiTheme="majorHAnsi" w:hAnsiTheme="majorHAnsi"/>
        </w:rPr>
        <w:t xml:space="preserve">(see </w:t>
      </w:r>
      <w:hyperlink r:id="rId8" w:history="1">
        <w:r w:rsidR="002273C3" w:rsidRPr="002273C3">
          <w:rPr>
            <w:rStyle w:val="Hyperlink"/>
            <w:rFonts w:asciiTheme="majorHAnsi" w:hAnsiTheme="majorHAnsi" w:cs="Arial"/>
            <w:bCs/>
          </w:rPr>
          <w:t>https://www.icann.org/news/blog/ccwg-accountability-delivers-report-to-chartering-organization</w:t>
        </w:r>
      </w:hyperlink>
      <w:r w:rsidRPr="002273C3">
        <w:rPr>
          <w:rFonts w:asciiTheme="majorHAnsi" w:hAnsiTheme="majorHAnsi"/>
        </w:rPr>
        <w:t>) for their consideration.</w:t>
      </w:r>
    </w:p>
    <w:p w14:paraId="22737809" w14:textId="448F62A1" w:rsidR="00937F3A" w:rsidRPr="002273C3" w:rsidRDefault="00937F3A" w:rsidP="001C46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 has confirmed with the leadership of the </w:t>
      </w:r>
      <w:r w:rsidR="00717F6A">
        <w:rPr>
          <w:rFonts w:asciiTheme="majorHAnsi" w:hAnsiTheme="majorHAnsi"/>
        </w:rPr>
        <w:t xml:space="preserve">CWG to </w:t>
      </w:r>
      <w:r w:rsidR="00717F6A" w:rsidRPr="00717F6A">
        <w:rPr>
          <w:rFonts w:asciiTheme="majorHAnsi" w:hAnsiTheme="majorHAnsi"/>
        </w:rPr>
        <w:t>Develop an IANA Stewardship Transition Proposal on Naming Related Functions</w:t>
      </w:r>
      <w:r w:rsidR="00717F6A">
        <w:rPr>
          <w:rFonts w:asciiTheme="majorHAnsi" w:hAnsiTheme="majorHAnsi"/>
        </w:rPr>
        <w:t xml:space="preserve"> (CWG-Stewardship) </w:t>
      </w:r>
      <w:r w:rsidRPr="002273C3">
        <w:rPr>
          <w:rFonts w:asciiTheme="majorHAnsi" w:hAnsiTheme="majorHAnsi"/>
        </w:rPr>
        <w:t>that conditions identified in its approval of its Final Report have been met (</w:t>
      </w:r>
      <w:r w:rsidRPr="002273C3">
        <w:rPr>
          <w:rFonts w:asciiTheme="majorHAnsi" w:hAnsiTheme="majorHAnsi"/>
          <w:highlight w:val="yellow"/>
        </w:rPr>
        <w:t>include link</w:t>
      </w:r>
      <w:r w:rsidRPr="002273C3">
        <w:rPr>
          <w:rFonts w:asciiTheme="majorHAnsi" w:hAnsiTheme="majorHAnsi"/>
        </w:rPr>
        <w:t>)</w:t>
      </w:r>
    </w:p>
    <w:p w14:paraId="22AEE830" w14:textId="56694CEB" w:rsidR="00B20194" w:rsidRPr="002273C3" w:rsidRDefault="001C46B1" w:rsidP="002273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</w:t>
      </w:r>
      <w:r w:rsidR="00937F3A" w:rsidRPr="002273C3">
        <w:rPr>
          <w:rFonts w:asciiTheme="majorHAnsi" w:hAnsiTheme="majorHAnsi"/>
        </w:rPr>
        <w:t xml:space="preserve">Stakeholder Groups and Constituencies of the GNSO have considered the </w:t>
      </w:r>
      <w:r w:rsidRPr="002273C3">
        <w:rPr>
          <w:rFonts w:asciiTheme="majorHAnsi" w:hAnsiTheme="majorHAnsi"/>
        </w:rPr>
        <w:t>Supplemental Final Proposal on Work Stream 1</w:t>
      </w:r>
      <w:r w:rsidR="00937F3A" w:rsidRPr="002273C3">
        <w:rPr>
          <w:rFonts w:asciiTheme="majorHAnsi" w:hAnsiTheme="majorHAnsi"/>
        </w:rPr>
        <w:t>, and the GNSO Council has discussed these positions at the ICANN 55 meeting in Marrakesh, Morocco.</w:t>
      </w:r>
    </w:p>
    <w:p w14:paraId="1A7BA1E9" w14:textId="77777777" w:rsidR="00937F3A" w:rsidRPr="002273C3" w:rsidRDefault="00937F3A" w:rsidP="00B20194">
      <w:pPr>
        <w:rPr>
          <w:rFonts w:asciiTheme="majorHAnsi" w:hAnsiTheme="majorHAnsi"/>
        </w:rPr>
      </w:pPr>
    </w:p>
    <w:p w14:paraId="13FF2431" w14:textId="77777777" w:rsidR="00937F3A" w:rsidRPr="002273C3" w:rsidRDefault="00937F3A" w:rsidP="00B20194">
      <w:pPr>
        <w:rPr>
          <w:rFonts w:asciiTheme="majorHAnsi" w:hAnsiTheme="majorHAnsi"/>
        </w:rPr>
      </w:pPr>
    </w:p>
    <w:p w14:paraId="2B0E46D7" w14:textId="77777777" w:rsidR="00B20194" w:rsidRPr="002273C3" w:rsidRDefault="00B20194" w:rsidP="00B20194">
      <w:pPr>
        <w:rPr>
          <w:rFonts w:asciiTheme="majorHAnsi" w:hAnsiTheme="majorHAnsi"/>
        </w:rPr>
      </w:pPr>
      <w:r w:rsidRPr="002273C3">
        <w:rPr>
          <w:rFonts w:asciiTheme="majorHAnsi" w:hAnsiTheme="majorHAnsi"/>
        </w:rPr>
        <w:t>Resolved,</w:t>
      </w:r>
    </w:p>
    <w:p w14:paraId="5DC071EE" w14:textId="77777777" w:rsidR="00B20194" w:rsidRPr="002273C3" w:rsidRDefault="00B20194" w:rsidP="00B20194">
      <w:pPr>
        <w:rPr>
          <w:rFonts w:asciiTheme="majorHAnsi" w:hAnsiTheme="majorHAnsi"/>
        </w:rPr>
      </w:pPr>
    </w:p>
    <w:p w14:paraId="351DDD4E" w14:textId="70CF774B" w:rsidR="002C3A24" w:rsidRPr="002273C3" w:rsidRDefault="00B20194" w:rsidP="004C438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 </w:t>
      </w:r>
      <w:r w:rsidR="001C46B1" w:rsidRPr="002273C3">
        <w:rPr>
          <w:rFonts w:asciiTheme="majorHAnsi" w:hAnsiTheme="majorHAnsi"/>
        </w:rPr>
        <w:t>adopts</w:t>
      </w:r>
      <w:bookmarkStart w:id="0" w:name="_GoBack"/>
      <w:bookmarkEnd w:id="0"/>
      <w:r w:rsidR="001C46B1" w:rsidRPr="002273C3">
        <w:rPr>
          <w:rFonts w:asciiTheme="majorHAnsi" w:hAnsiTheme="majorHAnsi"/>
        </w:rPr>
        <w:t xml:space="preserve"> the</w:t>
      </w:r>
      <w:r w:rsidR="004C4385" w:rsidRPr="002273C3">
        <w:rPr>
          <w:rFonts w:asciiTheme="majorHAnsi" w:hAnsiTheme="majorHAnsi"/>
        </w:rPr>
        <w:t xml:space="preserve"> </w:t>
      </w:r>
      <w:r w:rsidR="00BE2BA1">
        <w:rPr>
          <w:rFonts w:asciiTheme="majorHAnsi" w:hAnsiTheme="majorHAnsi"/>
        </w:rPr>
        <w:t xml:space="preserve">CCWG-Accountability </w:t>
      </w:r>
      <w:r w:rsidR="004C4385" w:rsidRPr="002273C3">
        <w:rPr>
          <w:rFonts w:asciiTheme="majorHAnsi" w:hAnsiTheme="majorHAnsi"/>
        </w:rPr>
        <w:t>Supplemental Final Proposal on Work Stream 1 Recommendations (see</w:t>
      </w:r>
      <w:r w:rsidR="002273C3" w:rsidRPr="002273C3">
        <w:rPr>
          <w:rFonts w:asciiTheme="majorHAnsi" w:hAnsiTheme="majorHAnsi"/>
        </w:rPr>
        <w:t xml:space="preserve"> </w:t>
      </w:r>
      <w:r w:rsidR="002273C3" w:rsidRPr="002273C3">
        <w:rPr>
          <w:rFonts w:asciiTheme="majorHAnsi" w:hAnsiTheme="majorHAnsi" w:cs="Lucida Grande"/>
          <w:color w:val="000000"/>
        </w:rPr>
        <w:t>https://community.icann.org/x/8w2AAw</w:t>
      </w:r>
      <w:r w:rsidR="004C4385" w:rsidRPr="002273C3">
        <w:rPr>
          <w:rFonts w:asciiTheme="majorHAnsi" w:hAnsiTheme="majorHAnsi"/>
        </w:rPr>
        <w:t>) and more specifically the following recommendations:</w:t>
      </w:r>
    </w:p>
    <w:p w14:paraId="1BFB7D96" w14:textId="77777777" w:rsidR="001C46B1" w:rsidRPr="002273C3" w:rsidRDefault="001C46B1" w:rsidP="001C46B1">
      <w:pPr>
        <w:rPr>
          <w:rFonts w:asciiTheme="majorHAnsi" w:hAnsiTheme="majorHAnsi"/>
        </w:rPr>
      </w:pPr>
    </w:p>
    <w:p w14:paraId="2C2F589A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#1: </w:t>
      </w:r>
      <w:r w:rsidRPr="002273C3">
        <w:rPr>
          <w:rFonts w:asciiTheme="majorHAnsi" w:hAnsiTheme="majorHAnsi"/>
        </w:rPr>
        <w:t xml:space="preserve">Establishing an Empowered Community for Enforcing Community Powers </w:t>
      </w:r>
    </w:p>
    <w:p w14:paraId="7917BDF5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#2: </w:t>
      </w:r>
      <w:r w:rsidRPr="002273C3">
        <w:rPr>
          <w:rFonts w:asciiTheme="majorHAnsi" w:hAnsiTheme="majorHAnsi"/>
        </w:rPr>
        <w:t xml:space="preserve">Empowering the Community through Consensus: Engagement, Escalation, and Enforcement </w:t>
      </w:r>
    </w:p>
    <w:p w14:paraId="462CE7F3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#3: </w:t>
      </w:r>
      <w:r w:rsidRPr="002273C3">
        <w:rPr>
          <w:rFonts w:asciiTheme="majorHAnsi" w:hAnsiTheme="majorHAnsi"/>
        </w:rPr>
        <w:t xml:space="preserve">Standard Bylaws, Fundamental Bylaws and Articles of </w:t>
      </w:r>
      <w:r w:rsidRPr="002273C3">
        <w:rPr>
          <w:rFonts w:asciiTheme="majorHAnsi" w:hAnsiTheme="majorHAnsi"/>
        </w:rPr>
        <w:lastRenderedPageBreak/>
        <w:t xml:space="preserve">Incorporation </w:t>
      </w:r>
    </w:p>
    <w:p w14:paraId="7F936C41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#4: </w:t>
      </w:r>
      <w:r w:rsidRPr="002273C3">
        <w:rPr>
          <w:rFonts w:asciiTheme="majorHAnsi" w:hAnsiTheme="majorHAnsi"/>
        </w:rPr>
        <w:t xml:space="preserve">Ensuring Community Involvement in ICANN Decision-making: Seven New Community Powers </w:t>
      </w:r>
    </w:p>
    <w:p w14:paraId="423F6CB4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#5: </w:t>
      </w:r>
      <w:r w:rsidRPr="002273C3">
        <w:rPr>
          <w:rFonts w:asciiTheme="majorHAnsi" w:hAnsiTheme="majorHAnsi"/>
        </w:rPr>
        <w:t xml:space="preserve">Changing Aspects of ICANN’s Mission, Commitments, and Core Values </w:t>
      </w:r>
    </w:p>
    <w:p w14:paraId="537351A0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#6: </w:t>
      </w:r>
      <w:r w:rsidRPr="002273C3">
        <w:rPr>
          <w:rFonts w:asciiTheme="majorHAnsi" w:hAnsiTheme="majorHAnsi"/>
        </w:rPr>
        <w:t xml:space="preserve">Reaffirming ICANN’s Commitment to Respect Internationally Recognized Human Rights as it Carries out its Mission </w:t>
      </w:r>
    </w:p>
    <w:p w14:paraId="1E7E205C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#7: </w:t>
      </w:r>
      <w:r w:rsidRPr="002273C3">
        <w:rPr>
          <w:rFonts w:asciiTheme="majorHAnsi" w:hAnsiTheme="majorHAnsi"/>
        </w:rPr>
        <w:t xml:space="preserve">Strengthening ICANN’s Independent Review Process </w:t>
      </w:r>
    </w:p>
    <w:p w14:paraId="72A93939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#8: </w:t>
      </w:r>
      <w:r w:rsidRPr="002273C3">
        <w:rPr>
          <w:rFonts w:asciiTheme="majorHAnsi" w:hAnsiTheme="majorHAnsi"/>
        </w:rPr>
        <w:t xml:space="preserve">Improving ICANN’s Request for Reconsideration Process </w:t>
      </w:r>
    </w:p>
    <w:p w14:paraId="6AC0D798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#9: </w:t>
      </w:r>
      <w:r w:rsidRPr="002273C3">
        <w:rPr>
          <w:rFonts w:asciiTheme="majorHAnsi" w:hAnsiTheme="majorHAnsi"/>
        </w:rPr>
        <w:t xml:space="preserve">Incorporating the Affirmation of Commitments in ICANN’s Bylaws </w:t>
      </w:r>
    </w:p>
    <w:p w14:paraId="143E8ED9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#10: </w:t>
      </w:r>
      <w:r w:rsidRPr="002273C3">
        <w:rPr>
          <w:rFonts w:asciiTheme="majorHAnsi" w:hAnsiTheme="majorHAnsi"/>
        </w:rPr>
        <w:t xml:space="preserve">Enhancing the Accountability of Supporting Organizations and Advisory Committees </w:t>
      </w:r>
    </w:p>
    <w:p w14:paraId="5830786E" w14:textId="77777777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#11: </w:t>
      </w:r>
      <w:r w:rsidRPr="002273C3">
        <w:rPr>
          <w:rFonts w:asciiTheme="majorHAnsi" w:hAnsiTheme="majorHAnsi"/>
        </w:rPr>
        <w:t xml:space="preserve">Board Obligations with Regard to Governmental Advisory Committee Advice (Stress Test 18) </w:t>
      </w:r>
    </w:p>
    <w:p w14:paraId="1A0DA01D" w14:textId="5688EE19" w:rsidR="001C46B1" w:rsidRPr="002273C3" w:rsidRDefault="001C46B1" w:rsidP="004C4385">
      <w:pPr>
        <w:pStyle w:val="Default"/>
        <w:numPr>
          <w:ilvl w:val="0"/>
          <w:numId w:val="7"/>
        </w:numPr>
        <w:rPr>
          <w:rFonts w:asciiTheme="majorHAnsi" w:hAnsiTheme="majorHAnsi"/>
        </w:rPr>
      </w:pPr>
      <w:r w:rsidRPr="002273C3">
        <w:rPr>
          <w:rFonts w:asciiTheme="majorHAnsi" w:hAnsiTheme="majorHAnsi"/>
          <w:b/>
          <w:bCs/>
        </w:rPr>
        <w:t xml:space="preserve">Recommendation #12: </w:t>
      </w:r>
      <w:r w:rsidRPr="002273C3">
        <w:rPr>
          <w:rFonts w:asciiTheme="majorHAnsi" w:hAnsiTheme="majorHAnsi"/>
        </w:rPr>
        <w:t>Committing to Further Accountability Work in Work Stream 2</w:t>
      </w:r>
    </w:p>
    <w:p w14:paraId="033CB99D" w14:textId="77777777" w:rsidR="002C3A24" w:rsidRPr="002273C3" w:rsidRDefault="002C3A24" w:rsidP="002C3A24">
      <w:pPr>
        <w:rPr>
          <w:rFonts w:asciiTheme="majorHAnsi" w:hAnsiTheme="majorHAnsi"/>
        </w:rPr>
      </w:pPr>
    </w:p>
    <w:p w14:paraId="2C99715B" w14:textId="336AB767" w:rsidR="004C4385" w:rsidRPr="002273C3" w:rsidRDefault="002C3A24" w:rsidP="004C438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 </w:t>
      </w:r>
      <w:r w:rsidR="00B20194" w:rsidRPr="002273C3">
        <w:rPr>
          <w:rFonts w:asciiTheme="majorHAnsi" w:hAnsiTheme="majorHAnsi"/>
        </w:rPr>
        <w:t xml:space="preserve">instructs the GNSO Secretariat to </w:t>
      </w:r>
      <w:r w:rsidRPr="002273C3">
        <w:rPr>
          <w:rFonts w:asciiTheme="majorHAnsi" w:hAnsiTheme="majorHAnsi"/>
        </w:rPr>
        <w:t xml:space="preserve">share </w:t>
      </w:r>
      <w:r w:rsidR="004C4385" w:rsidRPr="002273C3">
        <w:rPr>
          <w:rFonts w:asciiTheme="majorHAnsi" w:hAnsiTheme="majorHAnsi"/>
        </w:rPr>
        <w:t>the results of this motion</w:t>
      </w:r>
      <w:r w:rsidR="00B20194" w:rsidRPr="002273C3">
        <w:rPr>
          <w:rFonts w:asciiTheme="majorHAnsi" w:hAnsiTheme="majorHAnsi"/>
        </w:rPr>
        <w:t xml:space="preserve"> </w:t>
      </w:r>
      <w:r w:rsidRPr="002273C3">
        <w:rPr>
          <w:rFonts w:asciiTheme="majorHAnsi" w:hAnsiTheme="majorHAnsi"/>
        </w:rPr>
        <w:t>with</w:t>
      </w:r>
      <w:r w:rsidR="00B20194" w:rsidRPr="002273C3">
        <w:rPr>
          <w:rFonts w:asciiTheme="majorHAnsi" w:hAnsiTheme="majorHAnsi"/>
        </w:rPr>
        <w:t xml:space="preserve"> the Chairs of the CCWG-Accountability as soon as possible. </w:t>
      </w:r>
    </w:p>
    <w:p w14:paraId="729C3568" w14:textId="4BC79FA4" w:rsidR="00955C0B" w:rsidRPr="002273C3" w:rsidRDefault="00955C0B" w:rsidP="004C4385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273C3">
        <w:rPr>
          <w:rFonts w:asciiTheme="majorHAnsi" w:hAnsiTheme="majorHAnsi"/>
        </w:rPr>
        <w:t xml:space="preserve">The GNSO Council </w:t>
      </w:r>
      <w:r w:rsidR="004C4385" w:rsidRPr="002273C3">
        <w:rPr>
          <w:rFonts w:asciiTheme="majorHAnsi" w:hAnsiTheme="majorHAnsi"/>
        </w:rPr>
        <w:t xml:space="preserve">wants to express its </w:t>
      </w:r>
      <w:r w:rsidR="000A21C5" w:rsidRPr="002273C3">
        <w:rPr>
          <w:rFonts w:asciiTheme="majorHAnsi" w:hAnsiTheme="majorHAnsi"/>
        </w:rPr>
        <w:t xml:space="preserve">sincere </w:t>
      </w:r>
      <w:r w:rsidR="004C4385" w:rsidRPr="002273C3">
        <w:rPr>
          <w:rFonts w:asciiTheme="majorHAnsi" w:hAnsiTheme="majorHAnsi"/>
        </w:rPr>
        <w:t xml:space="preserve">appreciation to the </w:t>
      </w:r>
      <w:r w:rsidRPr="002273C3">
        <w:rPr>
          <w:rFonts w:asciiTheme="majorHAnsi" w:hAnsiTheme="majorHAnsi"/>
        </w:rPr>
        <w:t>CCWG-Accountability</w:t>
      </w:r>
      <w:r w:rsidR="000A21C5" w:rsidRPr="002273C3">
        <w:rPr>
          <w:rFonts w:asciiTheme="majorHAnsi" w:hAnsiTheme="majorHAnsi"/>
        </w:rPr>
        <w:t>, the GNSO members and participants in that effort</w:t>
      </w:r>
      <w:r w:rsidR="00937F3A" w:rsidRPr="002273C3">
        <w:rPr>
          <w:rFonts w:asciiTheme="majorHAnsi" w:hAnsiTheme="majorHAnsi"/>
        </w:rPr>
        <w:t xml:space="preserve">, and especially </w:t>
      </w:r>
      <w:r w:rsidR="000A21C5" w:rsidRPr="002273C3">
        <w:rPr>
          <w:rFonts w:asciiTheme="majorHAnsi" w:hAnsiTheme="majorHAnsi"/>
        </w:rPr>
        <w:t xml:space="preserve">the GNSO appointed </w:t>
      </w:r>
      <w:r w:rsidR="00BE2BA1">
        <w:rPr>
          <w:rFonts w:asciiTheme="majorHAnsi" w:hAnsiTheme="majorHAnsi"/>
        </w:rPr>
        <w:t>C</w:t>
      </w:r>
      <w:r w:rsidR="000A21C5" w:rsidRPr="002273C3">
        <w:rPr>
          <w:rFonts w:asciiTheme="majorHAnsi" w:hAnsiTheme="majorHAnsi"/>
        </w:rPr>
        <w:t xml:space="preserve">hair, Thomas </w:t>
      </w:r>
      <w:proofErr w:type="spellStart"/>
      <w:r w:rsidR="000A21C5" w:rsidRPr="002273C3">
        <w:rPr>
          <w:rFonts w:asciiTheme="majorHAnsi" w:hAnsiTheme="majorHAnsi"/>
        </w:rPr>
        <w:t>Rickert</w:t>
      </w:r>
      <w:proofErr w:type="spellEnd"/>
      <w:r w:rsidR="000A21C5" w:rsidRPr="002273C3">
        <w:rPr>
          <w:rFonts w:asciiTheme="majorHAnsi" w:hAnsiTheme="majorHAnsi"/>
        </w:rPr>
        <w:t>,</w:t>
      </w:r>
      <w:r w:rsidR="004C4385" w:rsidRPr="002273C3">
        <w:rPr>
          <w:rFonts w:asciiTheme="majorHAnsi" w:hAnsiTheme="majorHAnsi"/>
        </w:rPr>
        <w:t xml:space="preserve"> for all </w:t>
      </w:r>
      <w:r w:rsidR="000A21C5" w:rsidRPr="002273C3">
        <w:rPr>
          <w:rFonts w:asciiTheme="majorHAnsi" w:hAnsiTheme="majorHAnsi"/>
        </w:rPr>
        <w:t>their</w:t>
      </w:r>
      <w:r w:rsidR="004C4385" w:rsidRPr="002273C3">
        <w:rPr>
          <w:rFonts w:asciiTheme="majorHAnsi" w:hAnsiTheme="majorHAnsi"/>
        </w:rPr>
        <w:t xml:space="preserve"> hard work and delivery of Supplemental Final Proposal on Work Stream 1 Recommendations. </w:t>
      </w:r>
    </w:p>
    <w:p w14:paraId="6DB9CF43" w14:textId="77777777" w:rsidR="00B20194" w:rsidRPr="002273C3" w:rsidRDefault="00B20194" w:rsidP="00B20194">
      <w:pPr>
        <w:pStyle w:val="ListParagraph"/>
        <w:rPr>
          <w:rFonts w:asciiTheme="majorHAnsi" w:hAnsiTheme="majorHAnsi"/>
        </w:rPr>
      </w:pPr>
    </w:p>
    <w:sectPr w:rsidR="00B20194" w:rsidRPr="002273C3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DB072" w15:done="0"/>
  <w15:commentEx w15:paraId="6312D2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E0B"/>
    <w:multiLevelType w:val="hybridMultilevel"/>
    <w:tmpl w:val="2C1CA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B8A"/>
    <w:multiLevelType w:val="hybridMultilevel"/>
    <w:tmpl w:val="2E50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2228"/>
    <w:multiLevelType w:val="hybridMultilevel"/>
    <w:tmpl w:val="3FE6D5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65EEB"/>
    <w:multiLevelType w:val="hybridMultilevel"/>
    <w:tmpl w:val="63F6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6ED4"/>
    <w:multiLevelType w:val="hybridMultilevel"/>
    <w:tmpl w:val="C88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052C2"/>
    <w:multiLevelType w:val="hybridMultilevel"/>
    <w:tmpl w:val="2F64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5A43"/>
    <w:multiLevelType w:val="hybridMultilevel"/>
    <w:tmpl w:val="2132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austin">
    <w15:presenceInfo w15:providerId="None" w15:userId="donna a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2E"/>
    <w:rsid w:val="000A21C5"/>
    <w:rsid w:val="001C46B1"/>
    <w:rsid w:val="002273C3"/>
    <w:rsid w:val="002C3A24"/>
    <w:rsid w:val="004A7B4D"/>
    <w:rsid w:val="004C4385"/>
    <w:rsid w:val="00717F6A"/>
    <w:rsid w:val="0073403B"/>
    <w:rsid w:val="00937F3A"/>
    <w:rsid w:val="00955C0B"/>
    <w:rsid w:val="00B20194"/>
    <w:rsid w:val="00BB5D2E"/>
    <w:rsid w:val="00BE2BA1"/>
    <w:rsid w:val="00C029D1"/>
    <w:rsid w:val="00E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5C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46B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C46B1"/>
    <w:rPr>
      <w:rFonts w:ascii="Times" w:hAnsi="Times"/>
      <w:b/>
      <w:bCs/>
    </w:rPr>
  </w:style>
  <w:style w:type="paragraph" w:customStyle="1" w:styleId="Default">
    <w:name w:val="Default"/>
    <w:rsid w:val="001C46B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B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46B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C46B1"/>
    <w:rPr>
      <w:rFonts w:ascii="Times" w:hAnsi="Times"/>
      <w:b/>
      <w:bCs/>
    </w:rPr>
  </w:style>
  <w:style w:type="paragraph" w:customStyle="1" w:styleId="Default">
    <w:name w:val="Default"/>
    <w:rsid w:val="001C46B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F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F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F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2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cann.org/public-comments/draft-ccwg-accountability-proposal-2015-11-30-en" TargetMode="External"/><Relationship Id="rId7" Type="http://schemas.openxmlformats.org/officeDocument/2006/relationships/hyperlink" Target="http://gnso.icann.org/en/correspondence/gnso-council-to-ccwg-accountability-22jan16-en.pdf" TargetMode="External"/><Relationship Id="rId8" Type="http://schemas.openxmlformats.org/officeDocument/2006/relationships/hyperlink" Target="https://www.icann.org/news/blog/ccwg-accountability-delivers-report-to-chartering-organiz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cp:lastPrinted>2016-01-04T17:23:00Z</cp:lastPrinted>
  <dcterms:created xsi:type="dcterms:W3CDTF">2016-02-25T18:46:00Z</dcterms:created>
  <dcterms:modified xsi:type="dcterms:W3CDTF">2016-02-25T18:46:00Z</dcterms:modified>
</cp:coreProperties>
</file>