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9F5F3" w14:textId="77777777" w:rsidR="009D7663" w:rsidRPr="00C74FB8" w:rsidRDefault="00C74FB8" w:rsidP="00C74FB8">
      <w:pPr>
        <w:jc w:val="center"/>
        <w:rPr>
          <w:b/>
        </w:rPr>
      </w:pPr>
      <w:r w:rsidRPr="00C74FB8">
        <w:rPr>
          <w:b/>
        </w:rPr>
        <w:t>COMPARISON OF AND NOTES ON THE DIFFERENCES BETWEEN GNSO POLICY RECOMMENDATIONS, GAC ADVICE AND THE RECENT SMALL GROUP PROPOSAL</w:t>
      </w:r>
    </w:p>
    <w:p w14:paraId="137D3B61" w14:textId="77777777" w:rsidR="00C74FB8" w:rsidRPr="00C74FB8" w:rsidRDefault="00C74FB8" w:rsidP="00C74FB8">
      <w:pPr>
        <w:jc w:val="center"/>
        <w:rPr>
          <w:b/>
        </w:rPr>
      </w:pPr>
    </w:p>
    <w:p w14:paraId="465BB262" w14:textId="77777777" w:rsidR="00C74FB8" w:rsidRPr="00C74FB8" w:rsidRDefault="00C74FB8" w:rsidP="00C74FB8">
      <w:pPr>
        <w:jc w:val="center"/>
        <w:rPr>
          <w:b/>
        </w:rPr>
      </w:pPr>
      <w:r w:rsidRPr="00C74FB8">
        <w:rPr>
          <w:b/>
        </w:rPr>
        <w:t>10 October 2016</w:t>
      </w:r>
    </w:p>
    <w:p w14:paraId="46D731A4" w14:textId="77777777" w:rsidR="00FF59B9" w:rsidRDefault="00FF59B9"/>
    <w:p w14:paraId="48984AD4" w14:textId="22460C30" w:rsidR="00FF59B9" w:rsidRDefault="004B624C">
      <w:r>
        <w:t xml:space="preserve">I. </w:t>
      </w:r>
      <w:r w:rsidR="005C73FF">
        <w:t>GENERAL:</w:t>
      </w:r>
    </w:p>
    <w:p w14:paraId="56FC6F5F" w14:textId="77777777" w:rsidR="005C73FF" w:rsidRDefault="005C73FF"/>
    <w:p w14:paraId="32A36944" w14:textId="6E919E2C" w:rsidR="00BB3D41" w:rsidRDefault="005C73FF">
      <w:r>
        <w:t xml:space="preserve">There are two types of protections under consideration, each of which </w:t>
      </w:r>
      <w:r w:rsidR="002944C2">
        <w:t>may</w:t>
      </w:r>
      <w:r w:rsidR="00BB3D41">
        <w:t xml:space="preserve"> be</w:t>
      </w:r>
      <w:r>
        <w:t xml:space="preserve"> dealt with differently under the GNSO’s processes because of how these were treated by the original (2012-2013) GNSO PDP. </w:t>
      </w:r>
      <w:r w:rsidR="00BB3D41" w:rsidRPr="005910AA">
        <w:rPr>
          <w:u w:val="single"/>
        </w:rPr>
        <w:t>Accordingly, it may be easier to cons</w:t>
      </w:r>
      <w:r w:rsidR="002944C2" w:rsidRPr="005910AA">
        <w:rPr>
          <w:u w:val="single"/>
        </w:rPr>
        <w:t>ider the small group proposal in</w:t>
      </w:r>
      <w:r w:rsidR="00BB3D41" w:rsidRPr="005910AA">
        <w:rPr>
          <w:u w:val="single"/>
        </w:rPr>
        <w:t xml:space="preserve"> two parts, </w:t>
      </w:r>
      <w:r w:rsidR="002944C2" w:rsidRPr="005910AA">
        <w:rPr>
          <w:u w:val="single"/>
        </w:rPr>
        <w:t xml:space="preserve">with </w:t>
      </w:r>
      <w:r w:rsidR="00BB3D41" w:rsidRPr="005910AA">
        <w:rPr>
          <w:u w:val="single"/>
        </w:rPr>
        <w:t>each requiring a different procedural resolution.</w:t>
      </w:r>
      <w:r w:rsidR="002944C2" w:rsidRPr="005910AA">
        <w:rPr>
          <w:u w:val="single"/>
        </w:rPr>
        <w:t xml:space="preserve"> </w:t>
      </w:r>
      <w:r w:rsidR="002944C2" w:rsidRPr="005910AA">
        <w:t>However, w</w:t>
      </w:r>
      <w:r w:rsidR="002944C2" w:rsidRPr="005910AA">
        <w:t xml:space="preserve">hile the two types of protections are distinct in nature, it may be necessary in considering next steps </w:t>
      </w:r>
      <w:r w:rsidR="005910AA" w:rsidRPr="005910AA">
        <w:t xml:space="preserve">and consequences </w:t>
      </w:r>
      <w:r w:rsidR="002944C2" w:rsidRPr="005910AA">
        <w:t>to view them in combination – i.e. any “preventative” protections conferred may be more effective when combined with some form of curative rights protection</w:t>
      </w:r>
      <w:r w:rsidR="002944C2" w:rsidRPr="002944C2">
        <w:t>.</w:t>
      </w:r>
    </w:p>
    <w:p w14:paraId="183402AF" w14:textId="77777777" w:rsidR="00BB3D41" w:rsidRDefault="00BB3D41"/>
    <w:p w14:paraId="157B7039" w14:textId="5C6D0BD5" w:rsidR="00FF59B9" w:rsidRDefault="005C73FF">
      <w:r>
        <w:t xml:space="preserve">Current, known examples of the first type – the </w:t>
      </w:r>
      <w:r w:rsidR="00FF59B9">
        <w:t xml:space="preserve">so-called </w:t>
      </w:r>
      <w:r w:rsidR="00FF59B9" w:rsidRPr="00BB3D41">
        <w:rPr>
          <w:b/>
        </w:rPr>
        <w:t>“preventative”</w:t>
      </w:r>
      <w:r>
        <w:t xml:space="preserve"> protections - </w:t>
      </w:r>
      <w:r w:rsidR="00BB3D41">
        <w:t xml:space="preserve"> include</w:t>
      </w:r>
      <w:r>
        <w:t xml:space="preserve"> the </w:t>
      </w:r>
      <w:r w:rsidR="00BC5D41">
        <w:t>temporary</w:t>
      </w:r>
      <w:r w:rsidR="00FF59B9">
        <w:t xml:space="preserve"> reservation of IGO acronyms under Specification 5 of the New gTLD Registry Agreement; and in the trademark context, sunrise registrations and pre-registration </w:t>
      </w:r>
      <w:r w:rsidR="0020306F">
        <w:t>C</w:t>
      </w:r>
      <w:r w:rsidR="00FF59B9">
        <w:t xml:space="preserve">laims </w:t>
      </w:r>
      <w:r w:rsidR="0020306F">
        <w:t>N</w:t>
      </w:r>
      <w:r w:rsidR="00FF59B9">
        <w:t>otices</w:t>
      </w:r>
      <w:r>
        <w:t>.</w:t>
      </w:r>
    </w:p>
    <w:p w14:paraId="5EB8911B" w14:textId="77777777" w:rsidR="005C73FF" w:rsidRDefault="005C73FF"/>
    <w:p w14:paraId="494E2D5D" w14:textId="7D9CA9EE" w:rsidR="00BB3D41" w:rsidRPr="00BB3D41" w:rsidRDefault="00BB3D41" w:rsidP="00BB3D41">
      <w:pPr>
        <w:ind w:left="720"/>
        <w:rPr>
          <w:b/>
          <w:i/>
          <w:color w:val="0070C0"/>
        </w:rPr>
      </w:pPr>
      <w:r w:rsidRPr="00BB3D41">
        <w:rPr>
          <w:b/>
          <w:i/>
          <w:color w:val="0070C0"/>
        </w:rPr>
        <w:t>Recommendations regarding some form of</w:t>
      </w:r>
      <w:r w:rsidR="005C73FF" w:rsidRPr="00BB3D41">
        <w:rPr>
          <w:b/>
          <w:i/>
          <w:color w:val="0070C0"/>
        </w:rPr>
        <w:t xml:space="preserve"> “preventative” protections </w:t>
      </w:r>
      <w:r w:rsidRPr="00BB3D41">
        <w:rPr>
          <w:b/>
          <w:i/>
          <w:color w:val="0070C0"/>
        </w:rPr>
        <w:t>from the original GNSO PDP were approved by the GNSO Council in November 2013</w:t>
      </w:r>
      <w:r w:rsidR="00B16C1E">
        <w:rPr>
          <w:rStyle w:val="FootnoteReference"/>
          <w:b/>
          <w:i/>
          <w:color w:val="0070C0"/>
        </w:rPr>
        <w:footnoteReference w:id="1"/>
      </w:r>
      <w:r w:rsidR="005910AA">
        <w:rPr>
          <w:b/>
          <w:i/>
          <w:color w:val="0070C0"/>
        </w:rPr>
        <w:t>. These recommendations</w:t>
      </w:r>
      <w:r w:rsidRPr="00BB3D41">
        <w:rPr>
          <w:b/>
          <w:i/>
          <w:color w:val="0070C0"/>
        </w:rPr>
        <w:t xml:space="preserve"> remain pending before the ICANN Board. Should the GNSO Council decide to propose modifications to the approved recommendations, the process to</w:t>
      </w:r>
      <w:r w:rsidR="005910AA">
        <w:rPr>
          <w:b/>
          <w:i/>
          <w:color w:val="0070C0"/>
        </w:rPr>
        <w:t xml:space="preserve"> be</w:t>
      </w:r>
      <w:r w:rsidRPr="00BB3D41">
        <w:rPr>
          <w:b/>
          <w:i/>
          <w:color w:val="0070C0"/>
        </w:rPr>
        <w:t xml:space="preserve"> follow</w:t>
      </w:r>
      <w:r w:rsidR="005910AA">
        <w:rPr>
          <w:b/>
          <w:i/>
          <w:color w:val="0070C0"/>
        </w:rPr>
        <w:t>ed</w:t>
      </w:r>
      <w:r w:rsidRPr="00BB3D41">
        <w:rPr>
          <w:b/>
          <w:i/>
          <w:color w:val="0070C0"/>
        </w:rPr>
        <w:t xml:space="preserve"> is outlined in Section 16 of the PDP Manual</w:t>
      </w:r>
      <w:r w:rsidR="004B624C">
        <w:rPr>
          <w:rStyle w:val="FootnoteReference"/>
          <w:b/>
          <w:i/>
          <w:color w:val="0070C0"/>
        </w:rPr>
        <w:footnoteReference w:id="2"/>
      </w:r>
      <w:r w:rsidR="005910AA">
        <w:rPr>
          <w:b/>
          <w:i/>
          <w:color w:val="0070C0"/>
        </w:rPr>
        <w:t xml:space="preserve"> (see further note under IV, below)</w:t>
      </w:r>
      <w:r w:rsidRPr="00BB3D41">
        <w:rPr>
          <w:b/>
          <w:i/>
          <w:color w:val="0070C0"/>
        </w:rPr>
        <w:t>.</w:t>
      </w:r>
    </w:p>
    <w:p w14:paraId="1E57B91C" w14:textId="77777777" w:rsidR="00BB3D41" w:rsidRDefault="00BB3D41"/>
    <w:p w14:paraId="1F5FA8BA" w14:textId="5EDEB311" w:rsidR="00BB3D41" w:rsidRDefault="00BB3D41">
      <w:r>
        <w:t xml:space="preserve">The second type </w:t>
      </w:r>
      <w:r w:rsidR="00BC5D41">
        <w:t>of protections are the</w:t>
      </w:r>
      <w:r>
        <w:t xml:space="preserve"> </w:t>
      </w:r>
      <w:r w:rsidRPr="00BB3D41">
        <w:rPr>
          <w:b/>
        </w:rPr>
        <w:t>“curative rights”</w:t>
      </w:r>
      <w:r>
        <w:t xml:space="preserve"> processes</w:t>
      </w:r>
      <w:r w:rsidR="00BC5D41">
        <w:t>; c</w:t>
      </w:r>
      <w:r>
        <w:t xml:space="preserve">urrently, the Uniform Dispute Resolution Policy (UDRP) and the Uniform Rapid Suspension procedure (URS). The original GNSO PDP did not include specific recommendations in this regard. </w:t>
      </w:r>
    </w:p>
    <w:p w14:paraId="1895A377" w14:textId="77777777" w:rsidR="00BB3D41" w:rsidRDefault="00BB3D41"/>
    <w:p w14:paraId="2ABAECB1" w14:textId="152EDA93" w:rsidR="00BB3D41" w:rsidRDefault="00BB3D41" w:rsidP="00BB3D41">
      <w:pPr>
        <w:ind w:left="720"/>
      </w:pPr>
      <w:r w:rsidRPr="00BB3D41">
        <w:rPr>
          <w:b/>
          <w:i/>
          <w:color w:val="0070C0"/>
        </w:rPr>
        <w:t>The question of appropriate curative protections for IGOs (and INGOs) is currently being considered by the ongoing IGO-INGO Curative Rights PD</w:t>
      </w:r>
      <w:r w:rsidR="005910AA">
        <w:rPr>
          <w:b/>
          <w:i/>
          <w:color w:val="0070C0"/>
        </w:rPr>
        <w:t>P Working Group. It is</w:t>
      </w:r>
      <w:r w:rsidRPr="00BB3D41">
        <w:rPr>
          <w:b/>
          <w:i/>
          <w:color w:val="0070C0"/>
        </w:rPr>
        <w:t xml:space="preserve"> expected that the GNSO Council will refer these aspects of the small group proposal to this Working Group. The Board has stated that it will not act on GAC advice regarding curative rights until the PDP is concluded.</w:t>
      </w:r>
    </w:p>
    <w:p w14:paraId="6A6D7D62" w14:textId="77777777" w:rsidR="002944C2" w:rsidRDefault="002944C2"/>
    <w:p w14:paraId="09C5E5FF" w14:textId="37C7F045" w:rsidR="00C04B88" w:rsidRDefault="002944C2">
      <w:r>
        <w:t>I</w:t>
      </w:r>
      <w:r w:rsidR="004B624C">
        <w:t xml:space="preserve">I. </w:t>
      </w:r>
      <w:r w:rsidR="00C04B88">
        <w:t>PREVENTATIVE PROTECTIONS – A COMPARISON:</w:t>
      </w:r>
    </w:p>
    <w:p w14:paraId="0815174C" w14:textId="77777777" w:rsidR="00C04B88" w:rsidRDefault="00C04B88"/>
    <w:tbl>
      <w:tblPr>
        <w:tblStyle w:val="TableGrid"/>
        <w:tblW w:w="0" w:type="auto"/>
        <w:tblLook w:val="04A0" w:firstRow="1" w:lastRow="0" w:firstColumn="1" w:lastColumn="0" w:noHBand="0" w:noVBand="1"/>
      </w:tblPr>
      <w:tblGrid>
        <w:gridCol w:w="4316"/>
        <w:gridCol w:w="4317"/>
        <w:gridCol w:w="4317"/>
      </w:tblGrid>
      <w:tr w:rsidR="00FF59B9" w14:paraId="5A7F0E85" w14:textId="77777777" w:rsidTr="0020306F">
        <w:tc>
          <w:tcPr>
            <w:tcW w:w="4316" w:type="dxa"/>
            <w:shd w:val="clear" w:color="auto" w:fill="DEEAF6" w:themeFill="accent1" w:themeFillTint="33"/>
          </w:tcPr>
          <w:p w14:paraId="2B439419" w14:textId="77777777" w:rsidR="00FF59B9" w:rsidRPr="00C74FB8" w:rsidRDefault="00FF59B9">
            <w:pPr>
              <w:rPr>
                <w:b/>
              </w:rPr>
            </w:pPr>
            <w:r w:rsidRPr="00C74FB8">
              <w:rPr>
                <w:b/>
              </w:rPr>
              <w:t>Initial GNSO policy recommendations</w:t>
            </w:r>
          </w:p>
        </w:tc>
        <w:tc>
          <w:tcPr>
            <w:tcW w:w="4317" w:type="dxa"/>
            <w:shd w:val="clear" w:color="auto" w:fill="DEEAF6" w:themeFill="accent1" w:themeFillTint="33"/>
          </w:tcPr>
          <w:p w14:paraId="5A954ADD" w14:textId="77777777" w:rsidR="00FF59B9" w:rsidRPr="00C74FB8" w:rsidRDefault="00FF59B9">
            <w:pPr>
              <w:rPr>
                <w:b/>
              </w:rPr>
            </w:pPr>
            <w:r w:rsidRPr="00C74FB8">
              <w:rPr>
                <w:b/>
              </w:rPr>
              <w:t>GAC advice</w:t>
            </w:r>
          </w:p>
        </w:tc>
        <w:tc>
          <w:tcPr>
            <w:tcW w:w="4317" w:type="dxa"/>
            <w:shd w:val="clear" w:color="auto" w:fill="DEEAF6" w:themeFill="accent1" w:themeFillTint="33"/>
          </w:tcPr>
          <w:p w14:paraId="2C65DA93" w14:textId="77777777" w:rsidR="00FF59B9" w:rsidRPr="00C74FB8" w:rsidRDefault="00FF59B9">
            <w:pPr>
              <w:rPr>
                <w:b/>
              </w:rPr>
            </w:pPr>
            <w:r w:rsidRPr="00C74FB8">
              <w:rPr>
                <w:b/>
              </w:rPr>
              <w:t>Small group proposal</w:t>
            </w:r>
          </w:p>
        </w:tc>
      </w:tr>
      <w:tr w:rsidR="00FF59B9" w14:paraId="47211D92" w14:textId="77777777" w:rsidTr="00FF59B9">
        <w:tc>
          <w:tcPr>
            <w:tcW w:w="4316" w:type="dxa"/>
          </w:tcPr>
          <w:p w14:paraId="575CEB57" w14:textId="77777777" w:rsidR="00FF59B9" w:rsidRDefault="00FF59B9" w:rsidP="00FF59B9">
            <w:r w:rsidRPr="00FF59B9">
              <w:t xml:space="preserve">Second level </w:t>
            </w:r>
            <w:r>
              <w:t>protection in the form of:</w:t>
            </w:r>
          </w:p>
          <w:p w14:paraId="4F051432" w14:textId="77777777" w:rsidR="002944C2" w:rsidRDefault="002944C2" w:rsidP="00FF59B9"/>
          <w:p w14:paraId="22BD5F72" w14:textId="77777777" w:rsidR="00FF59B9" w:rsidRPr="00FF59B9" w:rsidRDefault="00FF59B9" w:rsidP="00FF59B9">
            <w:pPr>
              <w:pStyle w:val="ListParagraph"/>
              <w:numPr>
                <w:ilvl w:val="0"/>
                <w:numId w:val="2"/>
              </w:numPr>
              <w:rPr>
                <w:b/>
              </w:rPr>
            </w:pPr>
            <w:r w:rsidRPr="00FF59B9">
              <w:t xml:space="preserve">90 days TMCH claims notice for </w:t>
            </w:r>
            <w:r>
              <w:t xml:space="preserve">IGOs whose </w:t>
            </w:r>
            <w:r w:rsidRPr="00FF59B9">
              <w:t xml:space="preserve">acronyms </w:t>
            </w:r>
            <w:r>
              <w:t>are</w:t>
            </w:r>
            <w:r w:rsidRPr="00FF59B9">
              <w:t xml:space="preserve"> on </w:t>
            </w:r>
            <w:r>
              <w:t xml:space="preserve">the </w:t>
            </w:r>
            <w:r w:rsidRPr="00FF59B9">
              <w:t>GAC list of 22 March 2013</w:t>
            </w:r>
            <w:r w:rsidRPr="00FF59B9">
              <w:rPr>
                <w:vertAlign w:val="superscript"/>
              </w:rPr>
              <w:footnoteReference w:id="3"/>
            </w:r>
          </w:p>
          <w:p w14:paraId="56034F09" w14:textId="77777777" w:rsidR="00FF59B9" w:rsidRDefault="00FF59B9" w:rsidP="00FF59B9">
            <w:pPr>
              <w:rPr>
                <w:b/>
              </w:rPr>
            </w:pPr>
          </w:p>
          <w:p w14:paraId="57FBF611" w14:textId="30277F37" w:rsidR="00FF59B9" w:rsidRDefault="00FF59B9" w:rsidP="00FF59B9">
            <w:pPr>
              <w:rPr>
                <w:b/>
              </w:rPr>
            </w:pPr>
            <w:r>
              <w:rPr>
                <w:b/>
              </w:rPr>
              <w:t>Note:</w:t>
            </w:r>
          </w:p>
          <w:p w14:paraId="781BD64B" w14:textId="6B5837AA" w:rsidR="00FF59B9" w:rsidRDefault="00BC5D41" w:rsidP="002944C2">
            <w:pPr>
              <w:pStyle w:val="ListParagraph"/>
              <w:numPr>
                <w:ilvl w:val="0"/>
                <w:numId w:val="10"/>
              </w:numPr>
            </w:pPr>
            <w:r>
              <w:t xml:space="preserve">The </w:t>
            </w:r>
            <w:r w:rsidR="00FF59B9" w:rsidRPr="00FF59B9">
              <w:t xml:space="preserve">PDP WG did not </w:t>
            </w:r>
            <w:r w:rsidR="005C73FF">
              <w:t xml:space="preserve">fully </w:t>
            </w:r>
            <w:r w:rsidR="00FF59B9" w:rsidRPr="00FF59B9">
              <w:t>discuss the question whether the current TMCH remains the best mechanism, and whether it will continue to operate beyond the current 2012 round (</w:t>
            </w:r>
            <w:r w:rsidR="005C73FF">
              <w:t xml:space="preserve">the </w:t>
            </w:r>
            <w:r w:rsidR="00FF59B9" w:rsidRPr="00FF59B9">
              <w:t>PDP recommendations were issued in November 2013, as the first wave of new gTLDs were being delegated)</w:t>
            </w:r>
          </w:p>
          <w:p w14:paraId="3385D1B9" w14:textId="77777777" w:rsidR="005C73FF" w:rsidRPr="00FF59B9" w:rsidRDefault="005C73FF" w:rsidP="00FF59B9"/>
          <w:p w14:paraId="5EF8FF91" w14:textId="77777777" w:rsidR="00FF59B9" w:rsidRDefault="00FF59B9"/>
        </w:tc>
        <w:tc>
          <w:tcPr>
            <w:tcW w:w="4317" w:type="dxa"/>
          </w:tcPr>
          <w:p w14:paraId="1171557D" w14:textId="77777777" w:rsidR="00FF59B9" w:rsidRDefault="00FF59B9" w:rsidP="00FF59B9">
            <w:pPr>
              <w:spacing w:after="120"/>
              <w:contextualSpacing/>
            </w:pPr>
            <w:r w:rsidRPr="00FF59B9">
              <w:t>Second level protection in the form of:</w:t>
            </w:r>
          </w:p>
          <w:p w14:paraId="10E49ACF" w14:textId="77777777" w:rsidR="002944C2" w:rsidRPr="00FF59B9" w:rsidRDefault="002944C2" w:rsidP="00FF59B9">
            <w:pPr>
              <w:spacing w:after="120"/>
              <w:contextualSpacing/>
            </w:pPr>
          </w:p>
          <w:p w14:paraId="43E960E5" w14:textId="77777777" w:rsidR="00FF59B9" w:rsidRDefault="00FF59B9" w:rsidP="002944C2">
            <w:pPr>
              <w:widowControl w:val="0"/>
              <w:numPr>
                <w:ilvl w:val="0"/>
                <w:numId w:val="1"/>
              </w:numPr>
              <w:tabs>
                <w:tab w:val="left" w:pos="220"/>
                <w:tab w:val="left" w:pos="720"/>
              </w:tabs>
              <w:autoSpaceDE w:val="0"/>
              <w:autoSpaceDN w:val="0"/>
              <w:adjustRightInd w:val="0"/>
              <w:spacing w:before="120" w:after="120"/>
              <w:rPr>
                <w:rFonts w:cs="Calibri"/>
                <w:b/>
              </w:rPr>
            </w:pPr>
            <w:r w:rsidRPr="00FF59B9">
              <w:rPr>
                <w:rFonts w:cs="Calibri"/>
              </w:rPr>
              <w:t xml:space="preserve">Permanent system of notifications to both the potential registrant of a matching domain and the relevant IGO; </w:t>
            </w:r>
          </w:p>
          <w:p w14:paraId="6B370BC7" w14:textId="77777777" w:rsidR="00FF59B9" w:rsidRPr="00FF59B9" w:rsidRDefault="00FF59B9" w:rsidP="002944C2">
            <w:pPr>
              <w:widowControl w:val="0"/>
              <w:numPr>
                <w:ilvl w:val="0"/>
                <w:numId w:val="1"/>
              </w:numPr>
              <w:tabs>
                <w:tab w:val="left" w:pos="220"/>
                <w:tab w:val="left" w:pos="720"/>
              </w:tabs>
              <w:autoSpaceDE w:val="0"/>
              <w:autoSpaceDN w:val="0"/>
              <w:adjustRightInd w:val="0"/>
              <w:spacing w:before="120" w:after="120"/>
              <w:rPr>
                <w:rFonts w:cs="Calibri"/>
                <w:b/>
              </w:rPr>
            </w:pPr>
            <w:r w:rsidRPr="00FF59B9">
              <w:rPr>
                <w:rFonts w:cs="Calibri"/>
              </w:rPr>
              <w:t xml:space="preserve">Allow the IGO a timely opportunity to effectively prevent potential misuse and confusion; </w:t>
            </w:r>
          </w:p>
          <w:p w14:paraId="39CBC249" w14:textId="77777777" w:rsidR="00FF59B9" w:rsidRPr="00FF59B9" w:rsidRDefault="00FF59B9" w:rsidP="002944C2">
            <w:pPr>
              <w:widowControl w:val="0"/>
              <w:numPr>
                <w:ilvl w:val="0"/>
                <w:numId w:val="1"/>
              </w:numPr>
              <w:tabs>
                <w:tab w:val="left" w:pos="220"/>
                <w:tab w:val="left" w:pos="720"/>
              </w:tabs>
              <w:autoSpaceDE w:val="0"/>
              <w:autoSpaceDN w:val="0"/>
              <w:adjustRightInd w:val="0"/>
              <w:spacing w:before="120" w:after="120"/>
              <w:rPr>
                <w:rFonts w:cs="Calibri"/>
                <w:b/>
              </w:rPr>
            </w:pPr>
            <w:r w:rsidRPr="00FF59B9">
              <w:rPr>
                <w:rFonts w:cs="Calibri"/>
              </w:rPr>
              <w:t>Allow for final and binding determination by an independent third party in order to resolve any disagreement between an IGO and a potential registrant; and</w:t>
            </w:r>
          </w:p>
          <w:p w14:paraId="58E9410F" w14:textId="77777777" w:rsidR="00FF59B9" w:rsidRPr="00C74FB8" w:rsidRDefault="00FF59B9" w:rsidP="002944C2">
            <w:pPr>
              <w:pStyle w:val="ListParagraph"/>
              <w:numPr>
                <w:ilvl w:val="0"/>
                <w:numId w:val="1"/>
              </w:numPr>
              <w:spacing w:before="120" w:after="120"/>
              <w:rPr>
                <w:b/>
              </w:rPr>
            </w:pPr>
            <w:r w:rsidRPr="00FF59B9">
              <w:rPr>
                <w:rFonts w:cs="Calibri"/>
              </w:rPr>
              <w:t>Be at no cost or of a nominal cost only to the IGO</w:t>
            </w:r>
          </w:p>
        </w:tc>
        <w:tc>
          <w:tcPr>
            <w:tcW w:w="4317" w:type="dxa"/>
          </w:tcPr>
          <w:p w14:paraId="0771D4CA" w14:textId="77777777" w:rsidR="00FF59B9" w:rsidRDefault="00FF59B9">
            <w:r w:rsidRPr="00FF59B9">
              <w:t>Second level protection in the form of:</w:t>
            </w:r>
          </w:p>
          <w:p w14:paraId="2D13A61B" w14:textId="77777777" w:rsidR="002944C2" w:rsidRPr="00FF59B9" w:rsidRDefault="002944C2"/>
          <w:p w14:paraId="34FCF1EC" w14:textId="77777777" w:rsidR="00FF59B9" w:rsidRPr="00FF59B9" w:rsidRDefault="00FF59B9" w:rsidP="002944C2">
            <w:pPr>
              <w:pStyle w:val="ListParagraph"/>
              <w:numPr>
                <w:ilvl w:val="0"/>
                <w:numId w:val="3"/>
              </w:numPr>
              <w:spacing w:before="120" w:after="120"/>
              <w:contextualSpacing w:val="0"/>
            </w:pPr>
            <w:r w:rsidRPr="00FF59B9">
              <w:t xml:space="preserve">A </w:t>
            </w:r>
            <w:r>
              <w:t>mechanism functionally equivalent to the current TMCH, for IGOs on the GAC list (as updated from time to time by the GAC)</w:t>
            </w:r>
            <w:r w:rsidRPr="00FF59B9">
              <w:t xml:space="preserve"> to submit up to two</w:t>
            </w:r>
            <w:r w:rsidR="00C74FB8">
              <w:t xml:space="preserve"> </w:t>
            </w:r>
            <w:r w:rsidRPr="00FF59B9">
              <w:t xml:space="preserve">acronyms per IGO </w:t>
            </w:r>
            <w:r>
              <w:t xml:space="preserve">name </w:t>
            </w:r>
            <w:r w:rsidRPr="00FF59B9">
              <w:t>in up to two different languages</w:t>
            </w:r>
            <w:r w:rsidR="00C74FB8">
              <w:t>, at no cost</w:t>
            </w:r>
          </w:p>
          <w:p w14:paraId="66D9A879" w14:textId="4E2D7249" w:rsidR="00C74FB8" w:rsidRPr="00FF59B9" w:rsidRDefault="00FF59B9" w:rsidP="002944C2">
            <w:pPr>
              <w:pStyle w:val="ListParagraph"/>
              <w:numPr>
                <w:ilvl w:val="0"/>
                <w:numId w:val="3"/>
              </w:numPr>
              <w:spacing w:before="120" w:after="120"/>
              <w:contextualSpacing w:val="0"/>
            </w:pPr>
            <w:r w:rsidRPr="00FF59B9">
              <w:t>Participating IGOs</w:t>
            </w:r>
            <w:r w:rsidR="00C74FB8">
              <w:t xml:space="preserve"> </w:t>
            </w:r>
            <w:r w:rsidRPr="00FF59B9">
              <w:t>to receive ema</w:t>
            </w:r>
            <w:r w:rsidR="00C74FB8">
              <w:t xml:space="preserve">il notifications of </w:t>
            </w:r>
            <w:r w:rsidRPr="00FF59B9">
              <w:t>registrations</w:t>
            </w:r>
            <w:r w:rsidR="00C74FB8">
              <w:t xml:space="preserve"> </w:t>
            </w:r>
            <w:r w:rsidRPr="00FF59B9">
              <w:t>corresponding to their submitted IGO Acronyms for the duration of the existence</w:t>
            </w:r>
            <w:r w:rsidR="00C74FB8">
              <w:t xml:space="preserve"> </w:t>
            </w:r>
            <w:r w:rsidRPr="00FF59B9">
              <w:t xml:space="preserve">of </w:t>
            </w:r>
            <w:r w:rsidR="00C74FB8">
              <w:t>that functionally equivalent mechanism</w:t>
            </w:r>
            <w:r w:rsidR="005910AA">
              <w:rPr>
                <w:rStyle w:val="FootnoteReference"/>
              </w:rPr>
              <w:footnoteReference w:id="4"/>
            </w:r>
          </w:p>
        </w:tc>
      </w:tr>
    </w:tbl>
    <w:p w14:paraId="0F56B77F" w14:textId="77777777" w:rsidR="002944C2" w:rsidRDefault="002944C2" w:rsidP="002944C2"/>
    <w:p w14:paraId="20888285" w14:textId="77777777" w:rsidR="00BC5D41" w:rsidRDefault="00BC5D41" w:rsidP="002944C2">
      <w:pPr>
        <w:rPr>
          <w:b/>
        </w:rPr>
      </w:pPr>
    </w:p>
    <w:p w14:paraId="3815E56E" w14:textId="49423BC6" w:rsidR="0020306F" w:rsidRDefault="0020306F" w:rsidP="002944C2">
      <w:pPr>
        <w:rPr>
          <w:b/>
        </w:rPr>
      </w:pPr>
      <w:r w:rsidRPr="0020306F">
        <w:rPr>
          <w:b/>
        </w:rPr>
        <w:t>Notes:</w:t>
      </w:r>
    </w:p>
    <w:p w14:paraId="6A39DA15" w14:textId="77777777" w:rsidR="0020306F" w:rsidRPr="0020306F" w:rsidRDefault="0020306F" w:rsidP="002944C2">
      <w:pPr>
        <w:rPr>
          <w:b/>
        </w:rPr>
      </w:pPr>
    </w:p>
    <w:p w14:paraId="76482862" w14:textId="23E45670" w:rsidR="0020306F" w:rsidRDefault="0020306F" w:rsidP="0020306F">
      <w:pPr>
        <w:pStyle w:val="ListParagraph"/>
        <w:numPr>
          <w:ilvl w:val="0"/>
          <w:numId w:val="10"/>
        </w:numPr>
      </w:pPr>
      <w:r>
        <w:t xml:space="preserve">The differences between the GNSO policy recommendations in this regard essentially revolve around the </w:t>
      </w:r>
      <w:r w:rsidRPr="0020306F">
        <w:rPr>
          <w:u w:val="single"/>
        </w:rPr>
        <w:t>duration</w:t>
      </w:r>
      <w:r>
        <w:t xml:space="preserve"> of the Notice of Registered Name that is sent to the IGO, and whether it is the TMCH that is to be used for this purpose.</w:t>
      </w:r>
    </w:p>
    <w:p w14:paraId="3B0F7617" w14:textId="011059F8" w:rsidR="0020306F" w:rsidRDefault="0020306F" w:rsidP="002944C2">
      <w:pPr>
        <w:pStyle w:val="ListParagraph"/>
        <w:numPr>
          <w:ilvl w:val="0"/>
          <w:numId w:val="10"/>
        </w:numPr>
      </w:pPr>
      <w:r>
        <w:t>Unlike the trademark context, no sunrise period or pre-registration Claims Notice is being proposed.</w:t>
      </w:r>
    </w:p>
    <w:p w14:paraId="5B3234FC" w14:textId="77777777" w:rsidR="0020306F" w:rsidRDefault="0020306F" w:rsidP="002944C2"/>
    <w:p w14:paraId="0C594B2E" w14:textId="77777777" w:rsidR="002944C2" w:rsidRDefault="002944C2" w:rsidP="002944C2"/>
    <w:p w14:paraId="5E005C4D" w14:textId="325C53EB" w:rsidR="00C74FB8" w:rsidRDefault="004B624C">
      <w:r>
        <w:t>I</w:t>
      </w:r>
      <w:r w:rsidR="002944C2">
        <w:t>II</w:t>
      </w:r>
      <w:r>
        <w:t xml:space="preserve">. </w:t>
      </w:r>
      <w:r w:rsidR="00C04B88">
        <w:t>CURATIVE RIGHTS PROTECTIONS – A COMPARISON:</w:t>
      </w:r>
    </w:p>
    <w:p w14:paraId="47C3122D" w14:textId="77777777" w:rsidR="00C74FB8" w:rsidRDefault="00C74FB8"/>
    <w:tbl>
      <w:tblPr>
        <w:tblStyle w:val="TableGrid"/>
        <w:tblW w:w="0" w:type="auto"/>
        <w:tblLook w:val="04A0" w:firstRow="1" w:lastRow="0" w:firstColumn="1" w:lastColumn="0" w:noHBand="0" w:noVBand="1"/>
      </w:tblPr>
      <w:tblGrid>
        <w:gridCol w:w="3495"/>
        <w:gridCol w:w="3387"/>
        <w:gridCol w:w="6068"/>
      </w:tblGrid>
      <w:tr w:rsidR="002944C2" w14:paraId="0A682CF9" w14:textId="77777777" w:rsidTr="0020306F">
        <w:tc>
          <w:tcPr>
            <w:tcW w:w="0" w:type="auto"/>
            <w:shd w:val="clear" w:color="auto" w:fill="DEEAF6" w:themeFill="accent1" w:themeFillTint="33"/>
          </w:tcPr>
          <w:p w14:paraId="219D12D4" w14:textId="77777777" w:rsidR="00C74FB8" w:rsidRPr="0020306F" w:rsidRDefault="00C74FB8">
            <w:pPr>
              <w:rPr>
                <w:b/>
              </w:rPr>
            </w:pPr>
            <w:r w:rsidRPr="0020306F">
              <w:rPr>
                <w:b/>
              </w:rPr>
              <w:t>Initial GNSO policy recommendations</w:t>
            </w:r>
          </w:p>
        </w:tc>
        <w:tc>
          <w:tcPr>
            <w:tcW w:w="0" w:type="auto"/>
            <w:shd w:val="clear" w:color="auto" w:fill="DEEAF6" w:themeFill="accent1" w:themeFillTint="33"/>
          </w:tcPr>
          <w:p w14:paraId="21E817A0" w14:textId="77777777" w:rsidR="00C74FB8" w:rsidRPr="0020306F" w:rsidRDefault="00C74FB8">
            <w:pPr>
              <w:rPr>
                <w:b/>
              </w:rPr>
            </w:pPr>
            <w:r w:rsidRPr="0020306F">
              <w:rPr>
                <w:b/>
              </w:rPr>
              <w:t>GAC advice</w:t>
            </w:r>
          </w:p>
        </w:tc>
        <w:tc>
          <w:tcPr>
            <w:tcW w:w="0" w:type="auto"/>
            <w:shd w:val="clear" w:color="auto" w:fill="DEEAF6" w:themeFill="accent1" w:themeFillTint="33"/>
          </w:tcPr>
          <w:p w14:paraId="5FDF08F9" w14:textId="77777777" w:rsidR="00C74FB8" w:rsidRPr="0020306F" w:rsidRDefault="00C74FB8">
            <w:pPr>
              <w:rPr>
                <w:b/>
              </w:rPr>
            </w:pPr>
            <w:r w:rsidRPr="0020306F">
              <w:rPr>
                <w:b/>
              </w:rPr>
              <w:t>Small group proposal</w:t>
            </w:r>
          </w:p>
        </w:tc>
      </w:tr>
      <w:tr w:rsidR="002944C2" w14:paraId="45D3521B" w14:textId="77777777" w:rsidTr="00C74FB8">
        <w:tc>
          <w:tcPr>
            <w:tcW w:w="0" w:type="auto"/>
          </w:tcPr>
          <w:p w14:paraId="69B0B143" w14:textId="211A21E8" w:rsidR="00C74FB8" w:rsidRDefault="00C74FB8" w:rsidP="002944C2">
            <w:r>
              <w:t xml:space="preserve">No specific recommendation – called for an </w:t>
            </w:r>
            <w:r w:rsidRPr="00C74FB8">
              <w:t>Issue Report (</w:t>
            </w:r>
            <w:r w:rsidR="002944C2">
              <w:t xml:space="preserve">now </w:t>
            </w:r>
            <w:r w:rsidRPr="00C74FB8">
              <w:t>completed</w:t>
            </w:r>
            <w:r>
              <w:t>)</w:t>
            </w:r>
            <w:r w:rsidRPr="00C74FB8">
              <w:rPr>
                <w:vertAlign w:val="superscript"/>
              </w:rPr>
              <w:footnoteReference w:id="5"/>
            </w:r>
          </w:p>
          <w:p w14:paraId="3A8D37D9" w14:textId="77777777" w:rsidR="002944C2" w:rsidRDefault="002944C2" w:rsidP="002944C2"/>
          <w:p w14:paraId="56A457DF" w14:textId="77777777" w:rsidR="002944C2" w:rsidRPr="002944C2" w:rsidRDefault="002944C2" w:rsidP="002944C2">
            <w:pPr>
              <w:rPr>
                <w:b/>
              </w:rPr>
            </w:pPr>
            <w:r w:rsidRPr="002944C2">
              <w:rPr>
                <w:b/>
              </w:rPr>
              <w:t>Notes:</w:t>
            </w:r>
          </w:p>
          <w:p w14:paraId="6829A7E0" w14:textId="77777777" w:rsidR="002944C2" w:rsidRDefault="002944C2" w:rsidP="002944C2">
            <w:pPr>
              <w:pStyle w:val="ListParagraph"/>
              <w:numPr>
                <w:ilvl w:val="0"/>
                <w:numId w:val="9"/>
              </w:numPr>
            </w:pPr>
            <w:r>
              <w:t>Issue Report resulted in the launch of the ongoing IGO-INGO Curative Rights PDP</w:t>
            </w:r>
          </w:p>
          <w:p w14:paraId="5992113D" w14:textId="0293797B" w:rsidR="002944C2" w:rsidRDefault="002944C2" w:rsidP="002944C2">
            <w:pPr>
              <w:pStyle w:val="ListParagraph"/>
              <w:numPr>
                <w:ilvl w:val="0"/>
                <w:numId w:val="9"/>
              </w:numPr>
            </w:pPr>
            <w:r>
              <w:t>This PDP Working Group intends to complete its Initial Report for public comment shortly after ICANN57</w:t>
            </w:r>
          </w:p>
        </w:tc>
        <w:tc>
          <w:tcPr>
            <w:tcW w:w="0" w:type="auto"/>
          </w:tcPr>
          <w:p w14:paraId="53AC479F" w14:textId="19F4394E" w:rsidR="00C74FB8" w:rsidRDefault="004B624C">
            <w:r>
              <w:t xml:space="preserve">See #3 &amp; #4 above: </w:t>
            </w:r>
            <w:r w:rsidRPr="002944C2">
              <w:rPr>
                <w:i/>
              </w:rPr>
              <w:t>“final and binding determination by an independent third party … at no cost or nominal cost only to the IGO”</w:t>
            </w:r>
          </w:p>
        </w:tc>
        <w:tc>
          <w:tcPr>
            <w:tcW w:w="0" w:type="auto"/>
          </w:tcPr>
          <w:p w14:paraId="1E051CCA" w14:textId="7B6CE486" w:rsidR="00C74FB8" w:rsidRDefault="004B624C">
            <w:r>
              <w:t>Two different forms of dispute resolution:</w:t>
            </w:r>
          </w:p>
          <w:p w14:paraId="74E6E1B3" w14:textId="3FABEA4F" w:rsidR="004B624C" w:rsidRDefault="004B624C" w:rsidP="002944C2">
            <w:pPr>
              <w:pStyle w:val="ListParagraph"/>
              <w:numPr>
                <w:ilvl w:val="0"/>
                <w:numId w:val="4"/>
              </w:numPr>
              <w:spacing w:before="120" w:after="120"/>
              <w:contextualSpacing w:val="0"/>
            </w:pPr>
            <w:r>
              <w:t xml:space="preserve">A rapid relief mechanism in clear-cut cases of abuse, </w:t>
            </w:r>
            <w:r w:rsidRPr="004B624C">
              <w:t>in situations where it would</w:t>
            </w:r>
            <w:r>
              <w:t xml:space="preserve"> not be reasonable for the IGO </w:t>
            </w:r>
            <w:r w:rsidRPr="004B624C">
              <w:t>to use the agreed Dispute Resolution Mechanism</w:t>
            </w:r>
            <w:r>
              <w:t>, subject to specific conditions</w:t>
            </w:r>
          </w:p>
          <w:p w14:paraId="086834EC" w14:textId="41489D42" w:rsidR="004B624C" w:rsidRDefault="004B624C" w:rsidP="002944C2">
            <w:pPr>
              <w:pStyle w:val="ListParagraph"/>
              <w:numPr>
                <w:ilvl w:val="0"/>
                <w:numId w:val="4"/>
              </w:numPr>
              <w:spacing w:before="120" w:after="120"/>
              <w:contextualSpacing w:val="0"/>
            </w:pPr>
            <w:r>
              <w:t xml:space="preserve">A </w:t>
            </w:r>
            <w:r w:rsidRPr="004B624C">
              <w:t>separate</w:t>
            </w:r>
            <w:r>
              <w:t xml:space="preserve"> </w:t>
            </w:r>
            <w:r w:rsidRPr="004B624C">
              <w:t xml:space="preserve">(i.e., separate from the existing UDRP) </w:t>
            </w:r>
            <w:r>
              <w:t>process</w:t>
            </w:r>
            <w:r w:rsidRPr="004B624C">
              <w:t xml:space="preserve"> to resolve</w:t>
            </w:r>
            <w:r>
              <w:t xml:space="preserve"> </w:t>
            </w:r>
            <w:r w:rsidRPr="004B624C">
              <w:t>claims o</w:t>
            </w:r>
            <w:r>
              <w:t>f abuse of domains</w:t>
            </w:r>
            <w:r w:rsidRPr="004B624C">
              <w:t xml:space="preserve"> registered </w:t>
            </w:r>
            <w:r w:rsidRPr="002944C2">
              <w:rPr>
                <w:u w:val="single"/>
              </w:rPr>
              <w:t>and</w:t>
            </w:r>
            <w:r w:rsidR="002944C2">
              <w:t xml:space="preserve"> used</w:t>
            </w:r>
            <w:r w:rsidRPr="004B624C">
              <w:t xml:space="preserve"> in situations</w:t>
            </w:r>
            <w:r>
              <w:t xml:space="preserve"> </w:t>
            </w:r>
            <w:r w:rsidRPr="004B624C">
              <w:t>where</w:t>
            </w:r>
            <w:r>
              <w:t>:</w:t>
            </w:r>
          </w:p>
          <w:p w14:paraId="46204AB6" w14:textId="0766BC2F" w:rsidR="004B624C" w:rsidRDefault="004B624C" w:rsidP="004B624C">
            <w:pPr>
              <w:pStyle w:val="ListParagraph"/>
              <w:numPr>
                <w:ilvl w:val="1"/>
                <w:numId w:val="4"/>
              </w:numPr>
            </w:pPr>
            <w:r w:rsidRPr="004B624C">
              <w:t>the registrant is pretending to be the IGO or that are otherwise likely to</w:t>
            </w:r>
            <w:r>
              <w:t xml:space="preserve"> </w:t>
            </w:r>
            <w:r w:rsidRPr="004B624C">
              <w:t xml:space="preserve">result in fraud or deception, and </w:t>
            </w:r>
            <w:r>
              <w:t>where the domain is either</w:t>
            </w:r>
          </w:p>
          <w:p w14:paraId="2142773F" w14:textId="13D366C0" w:rsidR="004B624C" w:rsidRDefault="004B624C" w:rsidP="004B624C">
            <w:pPr>
              <w:pStyle w:val="ListParagraph"/>
              <w:numPr>
                <w:ilvl w:val="2"/>
                <w:numId w:val="4"/>
              </w:numPr>
            </w:pPr>
            <w:r>
              <w:t>identical to an IGO acronym;</w:t>
            </w:r>
            <w:r w:rsidR="00AB3341">
              <w:t xml:space="preserve"> or</w:t>
            </w:r>
          </w:p>
          <w:p w14:paraId="21E92FB6" w14:textId="77777777" w:rsidR="004B624C" w:rsidRDefault="004B624C" w:rsidP="004B624C">
            <w:pPr>
              <w:pStyle w:val="ListParagraph"/>
              <w:numPr>
                <w:ilvl w:val="2"/>
                <w:numId w:val="4"/>
              </w:numPr>
            </w:pPr>
            <w:r w:rsidRPr="004B624C">
              <w:t>confusingly si</w:t>
            </w:r>
            <w:r>
              <w:t xml:space="preserve">milar to an IGO acronym; or </w:t>
            </w:r>
          </w:p>
          <w:p w14:paraId="0DE58188" w14:textId="45785A91" w:rsidR="004B624C" w:rsidRPr="004B624C" w:rsidRDefault="004B624C" w:rsidP="004B624C">
            <w:pPr>
              <w:pStyle w:val="ListParagraph"/>
              <w:numPr>
                <w:ilvl w:val="2"/>
                <w:numId w:val="4"/>
              </w:numPr>
            </w:pPr>
            <w:r w:rsidRPr="004B624C">
              <w:t>contain</w:t>
            </w:r>
            <w:r>
              <w:t>s</w:t>
            </w:r>
            <w:r w:rsidRPr="004B624C">
              <w:t xml:space="preserve"> the IGO acronym.</w:t>
            </w:r>
          </w:p>
          <w:p w14:paraId="3596D621" w14:textId="77777777" w:rsidR="004B624C" w:rsidRDefault="004B624C" w:rsidP="004B624C"/>
          <w:p w14:paraId="2F175158" w14:textId="3DCCD760" w:rsidR="004B624C" w:rsidRDefault="002944C2" w:rsidP="004B624C">
            <w:pPr>
              <w:rPr>
                <w:b/>
              </w:rPr>
            </w:pPr>
            <w:r>
              <w:rPr>
                <w:b/>
              </w:rPr>
              <w:t>Notes on 1</w:t>
            </w:r>
            <w:r w:rsidR="004B624C" w:rsidRPr="002944C2">
              <w:rPr>
                <w:b/>
              </w:rPr>
              <w:t>:</w:t>
            </w:r>
          </w:p>
          <w:p w14:paraId="2D560914" w14:textId="77777777" w:rsidR="002944C2" w:rsidRPr="002944C2" w:rsidRDefault="002944C2" w:rsidP="004B624C">
            <w:pPr>
              <w:rPr>
                <w:b/>
              </w:rPr>
            </w:pPr>
          </w:p>
          <w:p w14:paraId="496F55F5" w14:textId="77777777" w:rsidR="002944C2" w:rsidRDefault="004B624C" w:rsidP="002944C2">
            <w:pPr>
              <w:pStyle w:val="ListParagraph"/>
              <w:numPr>
                <w:ilvl w:val="0"/>
                <w:numId w:val="8"/>
              </w:numPr>
            </w:pPr>
            <w:r w:rsidRPr="004B624C">
              <w:t xml:space="preserve">The </w:t>
            </w:r>
            <w:r>
              <w:t>rapid</w:t>
            </w:r>
            <w:r w:rsidR="002944C2">
              <w:t xml:space="preserve"> relief mechanism would apply </w:t>
            </w:r>
            <w:r w:rsidR="002944C2" w:rsidRPr="002944C2">
              <w:rPr>
                <w:u w:val="single"/>
              </w:rPr>
              <w:t>only</w:t>
            </w:r>
            <w:r w:rsidR="002944C2">
              <w:t xml:space="preserve"> if the domain</w:t>
            </w:r>
            <w:r w:rsidRPr="004B624C">
              <w:t xml:space="preserve"> is</w:t>
            </w:r>
            <w:r w:rsidR="002944C2">
              <w:t>:</w:t>
            </w:r>
          </w:p>
          <w:p w14:paraId="3C9F06A0" w14:textId="77777777" w:rsidR="002944C2" w:rsidRDefault="002944C2" w:rsidP="002944C2">
            <w:pPr>
              <w:spacing w:before="120" w:after="120"/>
              <w:ind w:left="720"/>
            </w:pPr>
            <w:r>
              <w:t xml:space="preserve">(a) </w:t>
            </w:r>
            <w:r w:rsidR="004B624C" w:rsidRPr="004B624C">
              <w:t>identical or confusingly similar to an IGO</w:t>
            </w:r>
            <w:r>
              <w:t xml:space="preserve"> </w:t>
            </w:r>
            <w:r w:rsidR="004B624C" w:rsidRPr="004B624C">
              <w:t xml:space="preserve">acronym, </w:t>
            </w:r>
            <w:r w:rsidR="004B624C" w:rsidRPr="002944C2">
              <w:rPr>
                <w:u w:val="single"/>
              </w:rPr>
              <w:t>and</w:t>
            </w:r>
            <w:r w:rsidR="004B624C" w:rsidRPr="004B624C">
              <w:t xml:space="preserve"> </w:t>
            </w:r>
          </w:p>
          <w:p w14:paraId="20499B72" w14:textId="7967EBDC" w:rsidR="004B624C" w:rsidRPr="004B624C" w:rsidRDefault="004B624C" w:rsidP="002944C2">
            <w:pPr>
              <w:spacing w:before="120" w:after="120"/>
              <w:ind w:left="720"/>
            </w:pPr>
            <w:r w:rsidRPr="004B624C">
              <w:t>(b) registered and used in situations where the registrant is</w:t>
            </w:r>
            <w:r w:rsidR="002944C2">
              <w:t xml:space="preserve"> </w:t>
            </w:r>
            <w:r w:rsidRPr="004B624C">
              <w:t>pretending to be the IGO or that are otherwise likely to result in fraud or</w:t>
            </w:r>
            <w:r w:rsidR="002944C2">
              <w:t xml:space="preserve"> </w:t>
            </w:r>
            <w:r w:rsidRPr="004B624C">
              <w:t xml:space="preserve">deception; </w:t>
            </w:r>
            <w:r w:rsidRPr="002944C2">
              <w:rPr>
                <w:u w:val="single"/>
              </w:rPr>
              <w:t>and</w:t>
            </w:r>
          </w:p>
          <w:p w14:paraId="27946FA6" w14:textId="1B88402D" w:rsidR="004B624C" w:rsidRDefault="002944C2" w:rsidP="002944C2">
            <w:pPr>
              <w:spacing w:before="120" w:after="120"/>
              <w:ind w:left="720"/>
            </w:pPr>
            <w:r>
              <w:t xml:space="preserve">(c) </w:t>
            </w:r>
            <w:r w:rsidR="004B624C" w:rsidRPr="004B624C">
              <w:t>there is an obvious risk of imminent harm from the claimed abuse of such</w:t>
            </w:r>
            <w:r>
              <w:t xml:space="preserve"> domain name, (e.g. such </w:t>
            </w:r>
            <w:r w:rsidR="004B624C" w:rsidRPr="004B624C">
              <w:t>as fraudulently soliciting donations in the wake of</w:t>
            </w:r>
            <w:r>
              <w:t xml:space="preserve"> a humanitarian disaster)</w:t>
            </w:r>
          </w:p>
          <w:p w14:paraId="38F63E19" w14:textId="77777777" w:rsidR="002944C2" w:rsidRPr="004B624C" w:rsidRDefault="002944C2" w:rsidP="004B624C"/>
          <w:p w14:paraId="2C985FBB" w14:textId="24ED314E" w:rsidR="004B624C" w:rsidRDefault="002944C2" w:rsidP="004B624C">
            <w:pPr>
              <w:pStyle w:val="ListParagraph"/>
              <w:numPr>
                <w:ilvl w:val="0"/>
                <w:numId w:val="7"/>
              </w:numPr>
            </w:pPr>
            <w:r>
              <w:t xml:space="preserve">Remedy to be the same as </w:t>
            </w:r>
            <w:r w:rsidR="004B624C" w:rsidRPr="004B624C">
              <w:t>under the</w:t>
            </w:r>
            <w:r>
              <w:t xml:space="preserve"> URS (i.e. suspension of the domain)</w:t>
            </w:r>
          </w:p>
          <w:p w14:paraId="76A18FD2" w14:textId="77777777" w:rsidR="004B624C" w:rsidRDefault="004B624C" w:rsidP="004B624C"/>
          <w:p w14:paraId="5512C202" w14:textId="26A1EEE2" w:rsidR="002944C2" w:rsidRDefault="002944C2" w:rsidP="004B624C">
            <w:pPr>
              <w:rPr>
                <w:b/>
              </w:rPr>
            </w:pPr>
            <w:r>
              <w:rPr>
                <w:b/>
              </w:rPr>
              <w:t>Notes on 2</w:t>
            </w:r>
            <w:r w:rsidRPr="002944C2">
              <w:rPr>
                <w:b/>
              </w:rPr>
              <w:t>:</w:t>
            </w:r>
          </w:p>
          <w:p w14:paraId="58A707DA" w14:textId="77777777" w:rsidR="002944C2" w:rsidRPr="002944C2" w:rsidRDefault="002944C2" w:rsidP="004B624C">
            <w:pPr>
              <w:rPr>
                <w:b/>
              </w:rPr>
            </w:pPr>
          </w:p>
          <w:p w14:paraId="13447F46" w14:textId="6F875362" w:rsidR="004B624C" w:rsidRDefault="004B624C" w:rsidP="002944C2">
            <w:pPr>
              <w:pStyle w:val="ListParagraph"/>
              <w:numPr>
                <w:ilvl w:val="0"/>
                <w:numId w:val="6"/>
              </w:numPr>
            </w:pPr>
            <w:r>
              <w:t>Decisions</w:t>
            </w:r>
            <w:r w:rsidRPr="004B624C">
              <w:t xml:space="preserve"> from this </w:t>
            </w:r>
            <w:r>
              <w:t xml:space="preserve">separate </w:t>
            </w:r>
            <w:r w:rsidRPr="004B624C">
              <w:t xml:space="preserve">mechanism </w:t>
            </w:r>
            <w:r>
              <w:t>to</w:t>
            </w:r>
            <w:r w:rsidRPr="004B624C">
              <w:t xml:space="preserve"> be “appealable” throu</w:t>
            </w:r>
            <w:r>
              <w:t>gh arbitration (process to be agreed)</w:t>
            </w:r>
          </w:p>
        </w:tc>
      </w:tr>
    </w:tbl>
    <w:p w14:paraId="59B8BD08" w14:textId="77777777" w:rsidR="00C74FB8" w:rsidRDefault="00C74FB8"/>
    <w:p w14:paraId="1AE509E5" w14:textId="77777777" w:rsidR="002944C2" w:rsidRDefault="002944C2"/>
    <w:p w14:paraId="258431C4" w14:textId="77777777" w:rsidR="005910AA" w:rsidRDefault="005910AA"/>
    <w:p w14:paraId="3EBE4253" w14:textId="77777777" w:rsidR="00BC5D41" w:rsidRDefault="00BC5D41">
      <w:pPr>
        <w:sectPr w:rsidR="00BC5D41" w:rsidSect="00FF59B9">
          <w:footerReference w:type="even" r:id="rId7"/>
          <w:footerReference w:type="default" r:id="rId8"/>
          <w:pgSz w:w="15840" w:h="12240" w:orient="landscape"/>
          <w:pgMar w:top="1440" w:right="1440" w:bottom="1440" w:left="1440" w:header="720" w:footer="720" w:gutter="0"/>
          <w:cols w:space="720"/>
          <w:docGrid w:linePitch="360"/>
        </w:sectPr>
      </w:pPr>
    </w:p>
    <w:p w14:paraId="4183EDC7" w14:textId="1B0C379D" w:rsidR="005910AA" w:rsidRDefault="005910AA">
      <w:r>
        <w:t>IV. NOTES ON SECTION 16 OF THE GNSO PDP MANUAL:</w:t>
      </w:r>
    </w:p>
    <w:p w14:paraId="7D45C3DB" w14:textId="77777777" w:rsidR="005910AA" w:rsidRDefault="005910AA"/>
    <w:p w14:paraId="035BACAE" w14:textId="77777777" w:rsidR="005910AA" w:rsidRPr="005910AA" w:rsidRDefault="005910AA" w:rsidP="005910AA">
      <w:r w:rsidRPr="005910AA">
        <w:t xml:space="preserve">Section 16 of the GNSO’s </w:t>
      </w:r>
      <w:hyperlink r:id="rId9" w:history="1">
        <w:r w:rsidRPr="005910AA">
          <w:rPr>
            <w:rStyle w:val="Hyperlink"/>
          </w:rPr>
          <w:t>PDP Manual</w:t>
        </w:r>
      </w:hyperlink>
      <w:r w:rsidRPr="005910AA">
        <w:t xml:space="preserve"> provides that (with emphasis added) -</w:t>
      </w:r>
    </w:p>
    <w:p w14:paraId="6EFC2F81" w14:textId="77777777" w:rsidR="005910AA" w:rsidRPr="005910AA" w:rsidRDefault="005910AA" w:rsidP="005910AA">
      <w:pPr>
        <w:rPr>
          <w:i/>
        </w:rPr>
      </w:pPr>
    </w:p>
    <w:p w14:paraId="5BB74CB7" w14:textId="77777777" w:rsidR="005910AA" w:rsidRPr="005910AA" w:rsidRDefault="005910AA" w:rsidP="005910AA">
      <w:pPr>
        <w:ind w:left="720"/>
        <w:rPr>
          <w:i/>
        </w:rPr>
      </w:pPr>
      <w:r w:rsidRPr="005910AA">
        <w:rPr>
          <w:i/>
        </w:rPr>
        <w:t xml:space="preserve">“Approved GNSO Council policies may be modified or amended by the GNSO Council </w:t>
      </w:r>
      <w:r w:rsidRPr="005910AA">
        <w:rPr>
          <w:b/>
          <w:i/>
        </w:rPr>
        <w:t>at any time prior to the final approval by the ICANN Board</w:t>
      </w:r>
      <w:r w:rsidRPr="005910AA">
        <w:rPr>
          <w:i/>
        </w:rPr>
        <w:t xml:space="preserve"> as follows: </w:t>
      </w:r>
    </w:p>
    <w:p w14:paraId="2206F534" w14:textId="77777777" w:rsidR="005910AA" w:rsidRPr="005910AA" w:rsidRDefault="005910AA" w:rsidP="005910AA">
      <w:pPr>
        <w:ind w:left="720"/>
        <w:rPr>
          <w:i/>
        </w:rPr>
      </w:pPr>
    </w:p>
    <w:p w14:paraId="7FF994DE" w14:textId="77777777" w:rsidR="005910AA" w:rsidRPr="005910AA" w:rsidRDefault="005910AA" w:rsidP="005910AA">
      <w:pPr>
        <w:ind w:left="1440"/>
        <w:rPr>
          <w:i/>
        </w:rPr>
      </w:pPr>
      <w:r w:rsidRPr="005910AA">
        <w:rPr>
          <w:i/>
        </w:rPr>
        <w:t xml:space="preserve">1. The PDP Team is reconvened or, if disbanded, reformed, and should be </w:t>
      </w:r>
      <w:r w:rsidRPr="005910AA">
        <w:rPr>
          <w:b/>
          <w:i/>
        </w:rPr>
        <w:t>consulted with regards to the proposed amendments or modifications</w:t>
      </w:r>
      <w:r w:rsidRPr="005910AA">
        <w:rPr>
          <w:i/>
        </w:rPr>
        <w:t xml:space="preserve">; </w:t>
      </w:r>
    </w:p>
    <w:p w14:paraId="24D105B5" w14:textId="77777777" w:rsidR="005910AA" w:rsidRPr="005910AA" w:rsidRDefault="005910AA" w:rsidP="005910AA">
      <w:pPr>
        <w:ind w:left="1440"/>
        <w:rPr>
          <w:i/>
        </w:rPr>
      </w:pPr>
      <w:r w:rsidRPr="005910AA">
        <w:rPr>
          <w:i/>
        </w:rPr>
        <w:t xml:space="preserve">2. The proposed amendments or modifications are posted for </w:t>
      </w:r>
      <w:r w:rsidRPr="005910AA">
        <w:rPr>
          <w:b/>
          <w:i/>
        </w:rPr>
        <w:t>public comment</w:t>
      </w:r>
      <w:r w:rsidRPr="005910AA">
        <w:rPr>
          <w:i/>
        </w:rPr>
        <w:t xml:space="preserve"> for not less than thirty (30) days; </w:t>
      </w:r>
    </w:p>
    <w:p w14:paraId="01D4AA61" w14:textId="20A72930" w:rsidR="005910AA" w:rsidRPr="005910AA" w:rsidRDefault="005910AA" w:rsidP="005910AA">
      <w:pPr>
        <w:ind w:left="1440"/>
        <w:rPr>
          <w:i/>
        </w:rPr>
      </w:pPr>
      <w:r w:rsidRPr="005910AA">
        <w:rPr>
          <w:i/>
        </w:rPr>
        <w:t xml:space="preserve">3. The GNSO Council approves of such amendments or modifications with a </w:t>
      </w:r>
      <w:r w:rsidRPr="005910AA">
        <w:rPr>
          <w:b/>
          <w:i/>
        </w:rPr>
        <w:t>Supermajority Vote of both Houses</w:t>
      </w:r>
      <w:r w:rsidRPr="005910AA">
        <w:rPr>
          <w:i/>
        </w:rPr>
        <w:t xml:space="preserve"> in favour.</w:t>
      </w:r>
      <w:r>
        <w:rPr>
          <w:i/>
        </w:rPr>
        <w:t>”</w:t>
      </w:r>
      <w:r w:rsidRPr="005910AA">
        <w:rPr>
          <w:i/>
        </w:rPr>
        <w:t xml:space="preserve"> </w:t>
      </w:r>
    </w:p>
    <w:p w14:paraId="1FD76681" w14:textId="77777777" w:rsidR="005910AA" w:rsidRDefault="005910AA"/>
    <w:p w14:paraId="2E693831" w14:textId="2440C6EC" w:rsidR="005910AA" w:rsidRDefault="005910AA">
      <w:pPr>
        <w:rPr>
          <w:b/>
        </w:rPr>
      </w:pPr>
      <w:r w:rsidRPr="005910AA">
        <w:rPr>
          <w:b/>
        </w:rPr>
        <w:t>Note that it is the Council that makes the modifications (if any) – subject to consultation with the original PDP Working Group on the nature and content of the proposed modifications, as well as public comments on the proposal.</w:t>
      </w:r>
    </w:p>
    <w:p w14:paraId="219BE679" w14:textId="77777777" w:rsidR="005910AA" w:rsidRPr="005910AA" w:rsidRDefault="005910AA"/>
    <w:p w14:paraId="59AE7F61" w14:textId="3AB1F83C" w:rsidR="005910AA" w:rsidRPr="005910AA" w:rsidRDefault="005910AA" w:rsidP="005910AA">
      <w:pPr>
        <w:rPr>
          <w:i/>
        </w:rPr>
      </w:pPr>
      <w:r w:rsidRPr="005910AA">
        <w:t>Note further that this procedure will apply only where the Board has not yet approved the original PDP recommendations (“</w:t>
      </w:r>
      <w:r w:rsidRPr="005910AA">
        <w:rPr>
          <w:i/>
        </w:rPr>
        <w:t>Approved GNSO Council policies that have been adopted by the ICANN Board and have been implemented by ICANN Staff may only be amended by the initi</w:t>
      </w:r>
      <w:r>
        <w:rPr>
          <w:i/>
        </w:rPr>
        <w:t>ation of a new PDP on the issue</w:t>
      </w:r>
      <w:r w:rsidRPr="005910AA">
        <w:rPr>
          <w:i/>
        </w:rPr>
        <w:t>”)</w:t>
      </w:r>
      <w:r>
        <w:rPr>
          <w:i/>
        </w:rPr>
        <w:t>.</w:t>
      </w:r>
    </w:p>
    <w:p w14:paraId="74E56959" w14:textId="689FE8AF" w:rsidR="005910AA" w:rsidRDefault="005910AA">
      <w:pPr>
        <w:rPr>
          <w:b/>
        </w:rPr>
      </w:pPr>
    </w:p>
    <w:p w14:paraId="24033E26" w14:textId="77777777" w:rsidR="00BC5D41" w:rsidRDefault="00BC5D41">
      <w:pPr>
        <w:rPr>
          <w:b/>
        </w:rPr>
      </w:pPr>
    </w:p>
    <w:p w14:paraId="2B740309" w14:textId="1CA531D6" w:rsidR="00BC5D41" w:rsidRPr="005910AA" w:rsidRDefault="00BC5D41" w:rsidP="00BC5D41">
      <w:pPr>
        <w:jc w:val="center"/>
        <w:rPr>
          <w:b/>
        </w:rPr>
      </w:pPr>
      <w:r>
        <w:rPr>
          <w:b/>
        </w:rPr>
        <w:t>________________________________________</w:t>
      </w:r>
      <w:bookmarkStart w:id="0" w:name="_GoBack"/>
      <w:bookmarkEnd w:id="0"/>
    </w:p>
    <w:sectPr w:rsidR="00BC5D41" w:rsidRPr="005910AA" w:rsidSect="00FF59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F2AE" w14:textId="77777777" w:rsidR="00694E76" w:rsidRDefault="00694E76" w:rsidP="00FF59B9">
      <w:r>
        <w:separator/>
      </w:r>
    </w:p>
  </w:endnote>
  <w:endnote w:type="continuationSeparator" w:id="0">
    <w:p w14:paraId="682363FE" w14:textId="77777777" w:rsidR="00694E76" w:rsidRDefault="00694E76" w:rsidP="00FF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4BD8" w14:textId="77777777" w:rsidR="002944C2" w:rsidRDefault="002944C2" w:rsidP="00A52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3B69B" w14:textId="77777777" w:rsidR="002944C2" w:rsidRDefault="002944C2" w:rsidP="002944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0F8C" w14:textId="77777777" w:rsidR="002944C2" w:rsidRDefault="002944C2" w:rsidP="00A52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E76">
      <w:rPr>
        <w:rStyle w:val="PageNumber"/>
        <w:noProof/>
      </w:rPr>
      <w:t>1</w:t>
    </w:r>
    <w:r>
      <w:rPr>
        <w:rStyle w:val="PageNumber"/>
      </w:rPr>
      <w:fldChar w:fldCharType="end"/>
    </w:r>
  </w:p>
  <w:p w14:paraId="19029B07" w14:textId="77777777" w:rsidR="002944C2" w:rsidRDefault="002944C2" w:rsidP="002944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70A9E" w14:textId="77777777" w:rsidR="00694E76" w:rsidRDefault="00694E76" w:rsidP="00FF59B9">
      <w:r>
        <w:separator/>
      </w:r>
    </w:p>
  </w:footnote>
  <w:footnote w:type="continuationSeparator" w:id="0">
    <w:p w14:paraId="6CD95A50" w14:textId="77777777" w:rsidR="00694E76" w:rsidRDefault="00694E76" w:rsidP="00FF59B9">
      <w:r>
        <w:continuationSeparator/>
      </w:r>
    </w:p>
  </w:footnote>
  <w:footnote w:id="1">
    <w:p w14:paraId="17C63D31" w14:textId="4CAB5961" w:rsidR="00B16C1E" w:rsidRPr="004B624C" w:rsidRDefault="00B16C1E">
      <w:pPr>
        <w:pStyle w:val="FootnoteText"/>
        <w:rPr>
          <w:sz w:val="20"/>
          <w:szCs w:val="20"/>
        </w:rPr>
      </w:pPr>
      <w:r w:rsidRPr="00B16C1E">
        <w:rPr>
          <w:rStyle w:val="FootnoteReference"/>
          <w:sz w:val="20"/>
          <w:szCs w:val="20"/>
        </w:rPr>
        <w:footnoteRef/>
      </w:r>
      <w:r w:rsidRPr="00B16C1E">
        <w:rPr>
          <w:sz w:val="20"/>
          <w:szCs w:val="20"/>
        </w:rPr>
        <w:t xml:space="preserve"> GNSO Council resolution: </w:t>
      </w:r>
      <w:hyperlink r:id="rId1" w:history="1">
        <w:r w:rsidRPr="00B16C1E">
          <w:rPr>
            <w:rStyle w:val="Hyperlink"/>
            <w:sz w:val="20"/>
            <w:szCs w:val="20"/>
          </w:rPr>
          <w:t>https://gnso.icann.org/en/council/resolutions#20131120-2</w:t>
        </w:r>
      </w:hyperlink>
      <w:r w:rsidRPr="00B16C1E">
        <w:rPr>
          <w:sz w:val="20"/>
          <w:szCs w:val="20"/>
        </w:rPr>
        <w:t xml:space="preserve">. </w:t>
      </w:r>
    </w:p>
  </w:footnote>
  <w:footnote w:id="2">
    <w:p w14:paraId="7291F82E" w14:textId="7C1DE779" w:rsidR="004B624C" w:rsidRDefault="004B624C">
      <w:pPr>
        <w:pStyle w:val="FootnoteText"/>
      </w:pPr>
      <w:r w:rsidRPr="004B624C">
        <w:rPr>
          <w:rStyle w:val="FootnoteReference"/>
          <w:sz w:val="20"/>
          <w:szCs w:val="20"/>
        </w:rPr>
        <w:footnoteRef/>
      </w:r>
      <w:r w:rsidRPr="004B624C">
        <w:rPr>
          <w:sz w:val="20"/>
          <w:szCs w:val="20"/>
        </w:rPr>
        <w:t xml:space="preserve"> PDP Manual: </w:t>
      </w:r>
      <w:hyperlink r:id="rId2" w:history="1">
        <w:r w:rsidRPr="004B624C">
          <w:rPr>
            <w:rStyle w:val="Hyperlink"/>
            <w:sz w:val="20"/>
            <w:szCs w:val="20"/>
          </w:rPr>
          <w:t>https://gnso.icann.org/en/council/annex-2-pdp-manual-01sep16-en.pdf</w:t>
        </w:r>
      </w:hyperlink>
      <w:r w:rsidRPr="004B624C">
        <w:rPr>
          <w:sz w:val="20"/>
          <w:szCs w:val="20"/>
        </w:rPr>
        <w:t xml:space="preserve">. </w:t>
      </w:r>
    </w:p>
  </w:footnote>
  <w:footnote w:id="3">
    <w:p w14:paraId="64E4B584" w14:textId="3F386476" w:rsidR="00FF59B9" w:rsidRPr="0020306F" w:rsidRDefault="00FF59B9" w:rsidP="00FF59B9">
      <w:pPr>
        <w:pStyle w:val="FootnoteText"/>
        <w:rPr>
          <w:sz w:val="20"/>
          <w:szCs w:val="20"/>
        </w:rPr>
      </w:pPr>
      <w:r w:rsidRPr="004B624C">
        <w:rPr>
          <w:rStyle w:val="FootnoteReference"/>
          <w:sz w:val="20"/>
          <w:szCs w:val="20"/>
        </w:rPr>
        <w:footnoteRef/>
      </w:r>
      <w:r w:rsidRPr="004B624C">
        <w:rPr>
          <w:sz w:val="20"/>
          <w:szCs w:val="20"/>
        </w:rPr>
        <w:t xml:space="preserve"> See Section 3.3.5 and 3.3.7 of the IGO-INGO PDP WG Final Report</w:t>
      </w:r>
      <w:r w:rsidR="004B624C" w:rsidRPr="004B624C">
        <w:rPr>
          <w:sz w:val="20"/>
          <w:szCs w:val="20"/>
        </w:rPr>
        <w:t xml:space="preserve"> (</w:t>
      </w:r>
      <w:hyperlink r:id="rId3" w:history="1">
        <w:r w:rsidR="004B624C" w:rsidRPr="004B624C">
          <w:rPr>
            <w:rStyle w:val="Hyperlink"/>
            <w:sz w:val="20"/>
            <w:szCs w:val="20"/>
          </w:rPr>
          <w:t>https://gnso.icann.org/en/issues/igo-ingo-final-10nov13-en.pdf)</w:t>
        </w:r>
      </w:hyperlink>
      <w:r w:rsidRPr="004B624C">
        <w:rPr>
          <w:sz w:val="20"/>
          <w:szCs w:val="20"/>
        </w:rPr>
        <w:t>.</w:t>
      </w:r>
      <w:r w:rsidR="004B624C" w:rsidRPr="004B624C">
        <w:rPr>
          <w:sz w:val="20"/>
          <w:szCs w:val="20"/>
        </w:rPr>
        <w:t xml:space="preserve"> </w:t>
      </w:r>
      <w:r w:rsidRPr="004B624C">
        <w:rPr>
          <w:sz w:val="20"/>
          <w:szCs w:val="20"/>
        </w:rPr>
        <w:t xml:space="preserve">The GAC’s list of IGOs (as at 22 March 2013) can be found here: </w:t>
      </w:r>
      <w:hyperlink r:id="rId4" w:history="1">
        <w:r w:rsidRPr="004B624C">
          <w:rPr>
            <w:rStyle w:val="Hyperlink"/>
            <w:sz w:val="20"/>
            <w:szCs w:val="20"/>
          </w:rPr>
          <w:t>https://www.icann.org/en/news/correspondence/dryden-to-crocker-chalaby-annex2-22mar13-en.pdf</w:t>
        </w:r>
      </w:hyperlink>
      <w:r w:rsidRPr="004B624C">
        <w:rPr>
          <w:sz w:val="20"/>
          <w:szCs w:val="20"/>
        </w:rPr>
        <w:t xml:space="preserve">, and the criteria used for their selection and inclusion explained here by the GAC: </w:t>
      </w:r>
      <w:hyperlink r:id="rId5" w:history="1">
        <w:r w:rsidRPr="004B624C">
          <w:rPr>
            <w:rStyle w:val="Hyperlink"/>
            <w:sz w:val="20"/>
            <w:szCs w:val="20"/>
          </w:rPr>
          <w:t>https://www.icann.org/en/news/correspondence/dryden-to-crocker-chalaby-annex1-22mar13-en.pdf</w:t>
        </w:r>
      </w:hyperlink>
      <w:r w:rsidRPr="004B624C">
        <w:rPr>
          <w:sz w:val="20"/>
          <w:szCs w:val="20"/>
        </w:rPr>
        <w:t xml:space="preserve">. </w:t>
      </w:r>
    </w:p>
  </w:footnote>
  <w:footnote w:id="4">
    <w:p w14:paraId="40862EAA" w14:textId="2A688E32" w:rsidR="005910AA" w:rsidRDefault="005910AA">
      <w:pPr>
        <w:pStyle w:val="FootnoteText"/>
      </w:pPr>
      <w:r w:rsidRPr="0020306F">
        <w:rPr>
          <w:rStyle w:val="FootnoteReference"/>
          <w:sz w:val="20"/>
          <w:szCs w:val="20"/>
        </w:rPr>
        <w:footnoteRef/>
      </w:r>
      <w:r w:rsidRPr="0020306F">
        <w:rPr>
          <w:sz w:val="20"/>
          <w:szCs w:val="20"/>
        </w:rPr>
        <w:t xml:space="preserve"> This would correspond to the Notice of Registered Name (“NORN”) that is issued to trademark owners in the TMCH context, following a registrant’s proceeding with registering a domain after receiving and acknowledging a Claims Notice.</w:t>
      </w:r>
    </w:p>
  </w:footnote>
  <w:footnote w:id="5">
    <w:p w14:paraId="790C8353" w14:textId="605F76FB" w:rsidR="00C74FB8" w:rsidRPr="00AB3341" w:rsidRDefault="00C74FB8" w:rsidP="00C74FB8">
      <w:pPr>
        <w:pStyle w:val="FootnoteText"/>
      </w:pPr>
      <w:r w:rsidRPr="00AB3341">
        <w:rPr>
          <w:rStyle w:val="FootnoteReference"/>
          <w:sz w:val="20"/>
          <w:szCs w:val="20"/>
        </w:rPr>
        <w:footnoteRef/>
      </w:r>
      <w:r w:rsidRPr="00AB3341">
        <w:rPr>
          <w:sz w:val="20"/>
          <w:szCs w:val="20"/>
        </w:rPr>
        <w:t xml:space="preserve"> See Section 3.5.3 of the IGO-INGO PDP WG Final Report.</w:t>
      </w:r>
      <w:r w:rsidR="00AB3341">
        <w:rPr>
          <w:sz w:val="20"/>
          <w:szCs w:val="20"/>
        </w:rPr>
        <w:t xml:space="preserve"> For information about the ongoing</w:t>
      </w:r>
      <w:r w:rsidRPr="00AB3341">
        <w:rPr>
          <w:sz w:val="20"/>
          <w:szCs w:val="20"/>
        </w:rPr>
        <w:t xml:space="preserve"> IGO-INGO Curative Rights PDP, see </w:t>
      </w:r>
      <w:hyperlink r:id="rId6" w:history="1">
        <w:r w:rsidRPr="00AB3341">
          <w:rPr>
            <w:rStyle w:val="Hyperlink"/>
            <w:sz w:val="20"/>
            <w:szCs w:val="20"/>
          </w:rPr>
          <w:t>http://gnso.icann.org/en/group-activities/active/igo-ingo-crp-access</w:t>
        </w:r>
      </w:hyperlink>
      <w:r w:rsidRPr="00AB3341">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DF6"/>
    <w:multiLevelType w:val="hybridMultilevel"/>
    <w:tmpl w:val="1FB8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A48FB"/>
    <w:multiLevelType w:val="hybridMultilevel"/>
    <w:tmpl w:val="3EAA8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C5437"/>
    <w:multiLevelType w:val="hybridMultilevel"/>
    <w:tmpl w:val="04E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F1D42"/>
    <w:multiLevelType w:val="hybridMultilevel"/>
    <w:tmpl w:val="3EAA8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27729"/>
    <w:multiLevelType w:val="hybridMultilevel"/>
    <w:tmpl w:val="E5DCE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C170D"/>
    <w:multiLevelType w:val="hybridMultilevel"/>
    <w:tmpl w:val="120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7148C"/>
    <w:multiLevelType w:val="hybridMultilevel"/>
    <w:tmpl w:val="13A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057C3"/>
    <w:multiLevelType w:val="hybridMultilevel"/>
    <w:tmpl w:val="3B7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4175A"/>
    <w:multiLevelType w:val="hybridMultilevel"/>
    <w:tmpl w:val="171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50212"/>
    <w:multiLevelType w:val="hybridMultilevel"/>
    <w:tmpl w:val="211E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70030"/>
    <w:multiLevelType w:val="hybridMultilevel"/>
    <w:tmpl w:val="B8924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
  </w:num>
  <w:num w:numId="6">
    <w:abstractNumId w:val="7"/>
  </w:num>
  <w:num w:numId="7">
    <w:abstractNumId w:val="2"/>
  </w:num>
  <w:num w:numId="8">
    <w:abstractNumId w:val="8"/>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B9"/>
    <w:rsid w:val="000A2AAC"/>
    <w:rsid w:val="0020306F"/>
    <w:rsid w:val="00273856"/>
    <w:rsid w:val="002944C2"/>
    <w:rsid w:val="00326516"/>
    <w:rsid w:val="00435BDF"/>
    <w:rsid w:val="004B624C"/>
    <w:rsid w:val="005910AA"/>
    <w:rsid w:val="005C73FF"/>
    <w:rsid w:val="00694E76"/>
    <w:rsid w:val="00AB3341"/>
    <w:rsid w:val="00B16C1E"/>
    <w:rsid w:val="00BB3D41"/>
    <w:rsid w:val="00BC5D41"/>
    <w:rsid w:val="00C04B88"/>
    <w:rsid w:val="00C74FB8"/>
    <w:rsid w:val="00FB2D09"/>
    <w:rsid w:val="00FF5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B767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F59B9"/>
    <w:rPr>
      <w:lang w:eastAsia="en-US"/>
    </w:rPr>
  </w:style>
  <w:style w:type="character" w:customStyle="1" w:styleId="FootnoteTextChar">
    <w:name w:val="Footnote Text Char"/>
    <w:basedOn w:val="DefaultParagraphFont"/>
    <w:link w:val="FootnoteText"/>
    <w:uiPriority w:val="99"/>
    <w:rsid w:val="00FF59B9"/>
    <w:rPr>
      <w:lang w:eastAsia="en-US"/>
    </w:rPr>
  </w:style>
  <w:style w:type="character" w:styleId="FootnoteReference">
    <w:name w:val="footnote reference"/>
    <w:basedOn w:val="DefaultParagraphFont"/>
    <w:uiPriority w:val="99"/>
    <w:unhideWhenUsed/>
    <w:rsid w:val="00FF59B9"/>
    <w:rPr>
      <w:vertAlign w:val="superscript"/>
    </w:rPr>
  </w:style>
  <w:style w:type="character" w:styleId="Hyperlink">
    <w:name w:val="Hyperlink"/>
    <w:basedOn w:val="DefaultParagraphFont"/>
    <w:uiPriority w:val="99"/>
    <w:unhideWhenUsed/>
    <w:rsid w:val="00FF59B9"/>
    <w:rPr>
      <w:color w:val="0563C1" w:themeColor="hyperlink"/>
      <w:u w:val="single"/>
    </w:rPr>
  </w:style>
  <w:style w:type="paragraph" w:styleId="ListParagraph">
    <w:name w:val="List Paragraph"/>
    <w:basedOn w:val="Normal"/>
    <w:uiPriority w:val="34"/>
    <w:qFormat/>
    <w:rsid w:val="00FF59B9"/>
    <w:pPr>
      <w:ind w:left="720"/>
      <w:contextualSpacing/>
    </w:pPr>
    <w:rPr>
      <w:lang w:eastAsia="en-US"/>
    </w:rPr>
  </w:style>
  <w:style w:type="paragraph" w:styleId="Footer">
    <w:name w:val="footer"/>
    <w:basedOn w:val="Normal"/>
    <w:link w:val="FooterChar"/>
    <w:uiPriority w:val="99"/>
    <w:unhideWhenUsed/>
    <w:rsid w:val="002944C2"/>
    <w:pPr>
      <w:tabs>
        <w:tab w:val="center" w:pos="4680"/>
        <w:tab w:val="right" w:pos="9360"/>
      </w:tabs>
    </w:pPr>
  </w:style>
  <w:style w:type="character" w:customStyle="1" w:styleId="FooterChar">
    <w:name w:val="Footer Char"/>
    <w:basedOn w:val="DefaultParagraphFont"/>
    <w:link w:val="Footer"/>
    <w:uiPriority w:val="99"/>
    <w:rsid w:val="002944C2"/>
  </w:style>
  <w:style w:type="character" w:styleId="PageNumber">
    <w:name w:val="page number"/>
    <w:basedOn w:val="DefaultParagraphFont"/>
    <w:uiPriority w:val="99"/>
    <w:semiHidden/>
    <w:unhideWhenUsed/>
    <w:rsid w:val="0029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gnso.icann.org/en/council/annex-2-pdp-manual-16feb16-en.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gnso.icann.org/en/issues/igo-ingo-final-10nov13-en.pdf)" TargetMode="External"/><Relationship Id="rId4" Type="http://schemas.openxmlformats.org/officeDocument/2006/relationships/hyperlink" Target="https://www.icann.org/en/news/correspondence/dryden-to-crocker-chalaby-annex2-22mar13-en.pdf" TargetMode="External"/><Relationship Id="rId5" Type="http://schemas.openxmlformats.org/officeDocument/2006/relationships/hyperlink" Target="https://www.icann.org/en/news/correspondence/dryden-to-crocker-chalaby-annex1-22mar13-en.pdf" TargetMode="External"/><Relationship Id="rId6" Type="http://schemas.openxmlformats.org/officeDocument/2006/relationships/hyperlink" Target="http://gnso.icann.org/en/group-activities/active/igo-ingo-crp-access" TargetMode="External"/><Relationship Id="rId1" Type="http://schemas.openxmlformats.org/officeDocument/2006/relationships/hyperlink" Target="https://gnso.icann.org/en/council/resolutions#20131120-2" TargetMode="External"/><Relationship Id="rId2" Type="http://schemas.openxmlformats.org/officeDocument/2006/relationships/hyperlink" Target="https://gnso.icann.org/en/council/annex-2-pdp-manual-01sep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1040</Words>
  <Characters>5930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2016-10-11T05:51:00Z</dcterms:created>
  <dcterms:modified xsi:type="dcterms:W3CDTF">2016-10-11T05:51:00Z</dcterms:modified>
</cp:coreProperties>
</file>