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0D74" w14:textId="4B907B42" w:rsidR="00D559F3" w:rsidRPr="00BC785C" w:rsidRDefault="00384BBC">
      <w:pPr>
        <w:rPr>
          <w:rStyle w:val="Funotenanker"/>
          <w:rFonts w:ascii="Calibri" w:hAnsi="Calibri"/>
          <w:b/>
          <w:bCs/>
          <w:sz w:val="20"/>
          <w:szCs w:val="20"/>
        </w:rPr>
      </w:pPr>
      <w:r w:rsidRPr="00BC785C">
        <w:rPr>
          <w:rFonts w:ascii="Calibri" w:hAnsi="Calibri"/>
          <w:b/>
          <w:bCs/>
          <w:sz w:val="20"/>
          <w:szCs w:val="20"/>
        </w:rPr>
        <w:t xml:space="preserve">GNSO REVIEW OF THE </w:t>
      </w:r>
      <w:hyperlink r:id="rId7" w:history="1">
        <w:r w:rsidR="00942E31" w:rsidRPr="00BC785C">
          <w:rPr>
            <w:rStyle w:val="Hyperlink"/>
            <w:rFonts w:ascii="Calibri" w:hAnsi="Calibri"/>
            <w:b/>
            <w:bCs/>
            <w:sz w:val="20"/>
            <w:szCs w:val="20"/>
          </w:rPr>
          <w:t>COPENHAGEN GAC COMMUNIQUE</w:t>
        </w:r>
      </w:hyperlink>
      <w:r w:rsidRPr="00BC785C">
        <w:rPr>
          <w:rStyle w:val="Funotenanker"/>
          <w:rFonts w:ascii="Calibri" w:hAnsi="Calibri"/>
          <w:b/>
          <w:bCs/>
          <w:sz w:val="20"/>
          <w:szCs w:val="20"/>
        </w:rPr>
        <w:footnoteReference w:id="1"/>
      </w:r>
    </w:p>
    <w:p w14:paraId="3229F535" w14:textId="77777777" w:rsidR="00D559F3" w:rsidRPr="00BC785C" w:rsidRDefault="00D559F3">
      <w:pPr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57"/>
        <w:gridCol w:w="2835"/>
        <w:gridCol w:w="2551"/>
        <w:gridCol w:w="2864"/>
        <w:gridCol w:w="3230"/>
      </w:tblGrid>
      <w:tr w:rsidR="00D559F3" w:rsidRPr="00BC785C" w14:paraId="649D2538" w14:textId="77777777" w:rsidTr="004443BD">
        <w:trPr>
          <w:trHeight w:val="1830"/>
          <w:tblHeader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75" w:type="dxa"/>
            </w:tcMar>
          </w:tcPr>
          <w:p w14:paraId="0EB0B279" w14:textId="77777777" w:rsidR="00D559F3" w:rsidRPr="00BC785C" w:rsidRDefault="00384BBC" w:rsidP="007410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bCs/>
                <w:sz w:val="20"/>
                <w:szCs w:val="20"/>
              </w:rPr>
              <w:t>GAC Advice - Topic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75" w:type="dxa"/>
            </w:tcMar>
          </w:tcPr>
          <w:p w14:paraId="2BBB729F" w14:textId="77777777" w:rsidR="00D559F3" w:rsidRPr="00BC785C" w:rsidRDefault="00384BBC" w:rsidP="007410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bCs/>
                <w:sz w:val="20"/>
                <w:szCs w:val="20"/>
              </w:rPr>
              <w:t>GAC Advice Details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75" w:type="dxa"/>
            </w:tcMar>
          </w:tcPr>
          <w:p w14:paraId="51290D1C" w14:textId="77777777" w:rsidR="00D559F3" w:rsidRPr="00BC785C" w:rsidRDefault="00384BBC" w:rsidP="007410A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bCs/>
                <w:sz w:val="20"/>
                <w:szCs w:val="20"/>
              </w:rPr>
              <w:t>Does the advice concern an issue that can be considered within the remit</w:t>
            </w:r>
            <w:r w:rsidRPr="00BC785C">
              <w:rPr>
                <w:rStyle w:val="FootnoteReference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  <w:r w:rsidRPr="00BC785C">
              <w:rPr>
                <w:rFonts w:ascii="Calibri" w:hAnsi="Calibri"/>
                <w:b/>
                <w:bCs/>
                <w:sz w:val="20"/>
                <w:szCs w:val="20"/>
              </w:rPr>
              <w:t xml:space="preserve"> of the GNSO (yes/no)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75" w:type="dxa"/>
            </w:tcMar>
          </w:tcPr>
          <w:p w14:paraId="2EE8D2B9" w14:textId="77777777" w:rsidR="00D559F3" w:rsidRPr="00BC785C" w:rsidRDefault="00384BBC" w:rsidP="00C140B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If yes, is it subject to existing policy recommendations, implementation action or ongoing GNSO policy development work?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75" w:type="dxa"/>
            </w:tcMar>
          </w:tcPr>
          <w:p w14:paraId="34E8DE19" w14:textId="77777777" w:rsidR="00D559F3" w:rsidRPr="00BC785C" w:rsidRDefault="00384BBC" w:rsidP="005B6C2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How has this issue been/is being/will be dealt with by the GNSO</w:t>
            </w:r>
          </w:p>
        </w:tc>
      </w:tr>
      <w:tr w:rsidR="00D559F3" w:rsidRPr="00BC785C" w14:paraId="13CBD623" w14:textId="77777777" w:rsidTr="004443BD">
        <w:trPr>
          <w:trHeight w:val="1827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A5D70A5" w14:textId="77777777" w:rsidR="008E3BD9" w:rsidRPr="00BC785C" w:rsidRDefault="008E3BD9" w:rsidP="008E3BD9">
            <w:pPr>
              <w:pStyle w:val="p1"/>
              <w:rPr>
                <w:rFonts w:ascii="Calibri" w:hAnsi="Calibri"/>
                <w:b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sz w:val="20"/>
                <w:szCs w:val="20"/>
              </w:rPr>
              <w:t>1. Protection of the Red Cross and Red Crescent designations and identifiers</w:t>
            </w:r>
          </w:p>
          <w:p w14:paraId="7BA9C1C3" w14:textId="5FA28F39" w:rsidR="00D559F3" w:rsidRPr="00BC785C" w:rsidRDefault="00D559F3" w:rsidP="00C37BB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20A5C97" w14:textId="3ADE8C52" w:rsidR="008E3BD9" w:rsidRPr="00BC785C" w:rsidRDefault="008E3BD9" w:rsidP="008E3BD9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Re-affirming previous GAC Advice for a permanent reservation of the Red Cross and Red Crescent</w:t>
            </w:r>
            <w:r w:rsid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design</w:t>
            </w:r>
            <w:r w:rsidR="00BC785C">
              <w:rPr>
                <w:rFonts w:ascii="Calibri" w:hAnsi="Calibri"/>
                <w:sz w:val="20"/>
                <w:szCs w:val="20"/>
              </w:rPr>
              <w:t xml:space="preserve">ations and identifiers, the GAC </w:t>
            </w:r>
            <w:r w:rsidRPr="00BC785C">
              <w:rPr>
                <w:rFonts w:ascii="Calibri" w:hAnsi="Calibri"/>
                <w:sz w:val="20"/>
                <w:szCs w:val="20"/>
              </w:rPr>
              <w:t>acknowledges the conclusions of the facilitated dialogue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held during ICANN 58 on resolving outstanding differences between the GAC’s previous advice</w:t>
            </w:r>
            <w:r w:rsid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and the GNSO's past recommendations to the Board on the protections of the names and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identifiers of the respective Red Cross and Red Crescent organizations.</w:t>
            </w:r>
          </w:p>
          <w:p w14:paraId="428F0677" w14:textId="28CCF272" w:rsidR="008E3BD9" w:rsidRPr="00BC785C" w:rsidRDefault="008E3BD9" w:rsidP="008E3BD9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Consistent with the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co</w:t>
            </w:r>
            <w:r w:rsidR="00BC785C">
              <w:rPr>
                <w:rFonts w:ascii="Calibri" w:hAnsi="Calibri"/>
                <w:sz w:val="20"/>
                <w:szCs w:val="20"/>
              </w:rPr>
              <w:t xml:space="preserve">nclusions of the abovementioned </w:t>
            </w:r>
            <w:r w:rsidRPr="00BC785C">
              <w:rPr>
                <w:rFonts w:ascii="Calibri" w:hAnsi="Calibri"/>
                <w:sz w:val="20"/>
                <w:szCs w:val="20"/>
              </w:rPr>
              <w:t>dialogue,</w:t>
            </w:r>
          </w:p>
          <w:p w14:paraId="03F7D581" w14:textId="77777777" w:rsidR="008E3BD9" w:rsidRPr="00BC785C" w:rsidRDefault="008E3BD9" w:rsidP="008E3BD9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 xml:space="preserve">a. The GAC advises the ICANN </w:t>
            </w:r>
            <w:r w:rsidRPr="00BC785C">
              <w:rPr>
                <w:rFonts w:ascii="Calibri" w:hAnsi="Calibri"/>
                <w:sz w:val="20"/>
                <w:szCs w:val="20"/>
              </w:rPr>
              <w:lastRenderedPageBreak/>
              <w:t>Board to:</w:t>
            </w:r>
          </w:p>
          <w:p w14:paraId="3A4DA30D" w14:textId="4A7A9601" w:rsidR="008E3BD9" w:rsidRPr="00BC785C" w:rsidRDefault="008E3BD9" w:rsidP="008E3BD9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I. request the GNSO without delay to re-examine its 2013 recommendations</w:t>
            </w:r>
            <w:r w:rsid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pertaining to the protections of Red Cross and Red Crescent names and</w:t>
            </w:r>
          </w:p>
          <w:p w14:paraId="38595C11" w14:textId="40195617" w:rsidR="00D559F3" w:rsidRPr="00BC785C" w:rsidRDefault="008E3BD9" w:rsidP="00CE758B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identifiers (defined as “Scope 2” names in the GNSO process) which were</w:t>
            </w:r>
            <w:r w:rsid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inconsistent with GAC Advice.</w:t>
            </w:r>
          </w:p>
          <w:p w14:paraId="7759B6A5" w14:textId="77777777" w:rsidR="00CE758B" w:rsidRPr="00BC785C" w:rsidRDefault="00CE758B" w:rsidP="00CE758B">
            <w:pPr>
              <w:pStyle w:val="p1"/>
              <w:rPr>
                <w:rFonts w:ascii="Calibri" w:hAnsi="Calibri"/>
                <w:sz w:val="20"/>
                <w:szCs w:val="20"/>
              </w:rPr>
            </w:pPr>
          </w:p>
          <w:p w14:paraId="0294C519" w14:textId="77777777" w:rsidR="00CE758B" w:rsidRPr="00BC785C" w:rsidRDefault="00CE758B" w:rsidP="00CE758B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RATIONALE</w:t>
            </w:r>
          </w:p>
          <w:p w14:paraId="27AC60D0" w14:textId="1661283E" w:rsidR="00CE758B" w:rsidRPr="00BC785C" w:rsidRDefault="00CE758B" w:rsidP="00914FB2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The GAC acknowledges the outputs of the facilitated dialogue on this topic and requests the Board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to proceed accordingly without delay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915B45D" w14:textId="08D6C9AC" w:rsidR="004443BD" w:rsidRPr="00BC785C" w:rsidRDefault="004443BD" w:rsidP="00D927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DE5C73B" w14:textId="0847E576" w:rsidR="00D559F3" w:rsidRPr="00BC785C" w:rsidRDefault="00D559F3" w:rsidP="00AB1BA2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31911C7" w14:textId="493A8ACD" w:rsidR="00D559F3" w:rsidRPr="00BC785C" w:rsidRDefault="00D559F3" w:rsidP="00334F51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D559F3" w:rsidRPr="00BC785C" w14:paraId="7AABB7D4" w14:textId="77777777" w:rsidTr="00AD5C5B">
        <w:trPr>
          <w:trHeight w:val="702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3770507" w14:textId="77777777" w:rsidR="00BC785C" w:rsidRPr="00BC785C" w:rsidRDefault="00BC785C" w:rsidP="00BC785C">
            <w:pPr>
              <w:pStyle w:val="p1"/>
              <w:rPr>
                <w:rFonts w:ascii="Calibri" w:hAnsi="Calibri"/>
                <w:b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sz w:val="20"/>
                <w:szCs w:val="20"/>
              </w:rPr>
              <w:lastRenderedPageBreak/>
              <w:t>2. IGO Protections</w:t>
            </w:r>
          </w:p>
          <w:p w14:paraId="0C776D26" w14:textId="77777777" w:rsidR="00D559F3" w:rsidRPr="00BC785C" w:rsidRDefault="00D559F3" w:rsidP="007410AF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47FC8C98" w14:textId="0EDE0400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 xml:space="preserve">The GAC notes that a </w:t>
            </w:r>
            <w:r w:rsidRPr="00BC785C">
              <w:rPr>
                <w:rFonts w:ascii="Calibri" w:hAnsi="Calibri"/>
                <w:sz w:val="20"/>
                <w:szCs w:val="20"/>
              </w:rPr>
              <w:t>dialogue facilitated by the Board on this topic has begun between the GAC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and the GNSO (including its relevant Working Groups). The GAC expects that these discussions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would resolve the long-outstanding issue of IGO </w:t>
            </w:r>
            <w:r w:rsidRPr="00BC785C">
              <w:rPr>
                <w:rFonts w:ascii="Calibri" w:hAnsi="Calibri"/>
                <w:sz w:val="20"/>
                <w:szCs w:val="20"/>
              </w:rPr>
              <w:lastRenderedPageBreak/>
              <w:t>acronym protections and understands that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temporary protections will continue to remain in place </w:t>
            </w: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until such time as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a permanent agreed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solution is found. Based upon the facilitated discussions up to this stage,</w:t>
            </w:r>
          </w:p>
          <w:p w14:paraId="74A68CD2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</w:p>
          <w:p w14:paraId="3EAA769D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a. The GAC advises the ICANN Board to:</w:t>
            </w:r>
          </w:p>
          <w:p w14:paraId="11E605C2" w14:textId="5BCA8C30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I. pursue implementati</w:t>
            </w:r>
            <w:r>
              <w:rPr>
                <w:rFonts w:ascii="Calibri" w:hAnsi="Calibri"/>
                <w:sz w:val="20"/>
                <w:szCs w:val="20"/>
              </w:rPr>
              <w:t>on of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a permanent system of </w:t>
            </w:r>
            <w:r w:rsidRPr="00BC785C">
              <w:rPr>
                <w:rFonts w:ascii="Calibri" w:hAnsi="Calibri"/>
                <w:sz w:val="20"/>
                <w:szCs w:val="20"/>
              </w:rPr>
              <w:t>notification to IGOs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regarding second-level registrat</w:t>
            </w:r>
            <w:r>
              <w:rPr>
                <w:rFonts w:ascii="Calibri" w:hAnsi="Calibri"/>
                <w:sz w:val="20"/>
                <w:szCs w:val="20"/>
              </w:rPr>
              <w:t xml:space="preserve">ion of strings that match their </w:t>
            </w:r>
            <w:r w:rsidRPr="00BC785C">
              <w:rPr>
                <w:rFonts w:ascii="Calibri" w:hAnsi="Calibri"/>
                <w:sz w:val="20"/>
                <w:szCs w:val="20"/>
              </w:rPr>
              <w:t>acronyms in up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to two languages and (ii) a parallel system of notification to registrants for a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more limited </w:t>
            </w: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time period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>,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in line with both previous GAC </w:t>
            </w:r>
            <w:r w:rsidRPr="00BC785C">
              <w:rPr>
                <w:rFonts w:ascii="Calibri" w:hAnsi="Calibri"/>
                <w:sz w:val="20"/>
                <w:szCs w:val="20"/>
              </w:rPr>
              <w:t>advice and GNSO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recommendations;</w:t>
            </w:r>
          </w:p>
          <w:p w14:paraId="03F45734" w14:textId="3F1FF63D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II. f</w:t>
            </w:r>
            <w:r>
              <w:rPr>
                <w:rFonts w:ascii="Calibri" w:hAnsi="Calibri"/>
                <w:sz w:val="20"/>
                <w:szCs w:val="20"/>
              </w:rPr>
              <w:t xml:space="preserve">acilitate continued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discussions </w:t>
            </w: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in order to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develop a resolution that will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reflect (</w:t>
            </w:r>
            <w:proofErr w:type="spellStart"/>
            <w:r w:rsidRPr="00BC785C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BC785C">
              <w:rPr>
                <w:rFonts w:ascii="Calibri" w:hAnsi="Calibri"/>
                <w:sz w:val="20"/>
                <w:szCs w:val="20"/>
              </w:rPr>
              <w:t>) the fact that IGOs are in an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lastRenderedPageBreak/>
              <w:t>objectively unique category of rights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holders and (ii) a better understanding of relevant GAC Advice, particularly as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it relates to IGO immunities recognized under international law as noted by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IGO Legal Counsels; and</w:t>
            </w:r>
          </w:p>
          <w:p w14:paraId="522E56BC" w14:textId="1698D95B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III. urge the Working Group for the ongoing PDP on IGO-INGO Access to Curative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Rights Protection </w:t>
            </w:r>
            <w:r w:rsidRPr="00BC785C">
              <w:rPr>
                <w:rFonts w:ascii="Calibri" w:hAnsi="Calibri"/>
                <w:sz w:val="20"/>
                <w:szCs w:val="20"/>
              </w:rPr>
              <w:t>Mechanisms</w:t>
            </w:r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take into account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the GAC’s </w:t>
            </w:r>
            <w:r w:rsidRPr="00BC785C">
              <w:rPr>
                <w:rFonts w:ascii="Calibri" w:hAnsi="Calibri"/>
                <w:sz w:val="20"/>
                <w:szCs w:val="20"/>
              </w:rPr>
              <w:t>comments on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the Initial Report.</w:t>
            </w:r>
          </w:p>
          <w:p w14:paraId="201111CC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</w:p>
          <w:p w14:paraId="56C24ACE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RATIONALE</w:t>
            </w:r>
          </w:p>
          <w:p w14:paraId="724A159D" w14:textId="08FD657B" w:rsidR="00D559F3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This Advice captures </w:t>
            </w:r>
            <w:r w:rsidRPr="00BC785C">
              <w:rPr>
                <w:rFonts w:ascii="Calibri" w:hAnsi="Calibri"/>
                <w:sz w:val="20"/>
                <w:szCs w:val="20"/>
              </w:rPr>
              <w:t>achievements made to date in the facilitated discussions, in the hope that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this will be </w:t>
            </w:r>
            <w:r w:rsidRPr="00BC785C">
              <w:rPr>
                <w:rFonts w:ascii="Calibri" w:hAnsi="Calibri"/>
                <w:sz w:val="20"/>
                <w:szCs w:val="20"/>
              </w:rPr>
              <w:t>instrumental in resolving this long-standing issue at the earliest opportunity.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56BB7E81" w14:textId="77777777" w:rsidR="00D559F3" w:rsidRPr="00BC785C" w:rsidRDefault="00D559F3">
            <w:pPr>
              <w:rPr>
                <w:rFonts w:ascii="Calibri" w:hAnsi="Calibri"/>
                <w:sz w:val="20"/>
                <w:szCs w:val="20"/>
              </w:rPr>
            </w:pPr>
          </w:p>
          <w:p w14:paraId="71F104BC" w14:textId="77777777" w:rsidR="00337474" w:rsidRPr="00BC785C" w:rsidRDefault="00337474">
            <w:pPr>
              <w:rPr>
                <w:rFonts w:ascii="Calibri" w:hAnsi="Calibri"/>
                <w:sz w:val="20"/>
                <w:szCs w:val="20"/>
              </w:rPr>
            </w:pPr>
          </w:p>
          <w:p w14:paraId="464F9363" w14:textId="77777777" w:rsidR="00337474" w:rsidRPr="00BC785C" w:rsidRDefault="00337474">
            <w:pPr>
              <w:rPr>
                <w:rFonts w:ascii="Calibri" w:hAnsi="Calibri"/>
                <w:sz w:val="20"/>
                <w:szCs w:val="20"/>
              </w:rPr>
            </w:pPr>
          </w:p>
          <w:p w14:paraId="75D616CD" w14:textId="77777777" w:rsidR="00337474" w:rsidRPr="00BC785C" w:rsidRDefault="00337474">
            <w:pPr>
              <w:rPr>
                <w:rFonts w:ascii="Calibri" w:hAnsi="Calibri"/>
                <w:sz w:val="20"/>
                <w:szCs w:val="20"/>
              </w:rPr>
            </w:pPr>
          </w:p>
          <w:p w14:paraId="3135AE82" w14:textId="77777777" w:rsidR="00337474" w:rsidRPr="00BC785C" w:rsidRDefault="00337474">
            <w:pPr>
              <w:rPr>
                <w:rFonts w:ascii="Calibri" w:hAnsi="Calibri"/>
                <w:sz w:val="20"/>
                <w:szCs w:val="20"/>
              </w:rPr>
            </w:pPr>
          </w:p>
          <w:p w14:paraId="1F2C1223" w14:textId="20FB2535" w:rsidR="00337474" w:rsidRPr="00BC785C" w:rsidRDefault="00337474" w:rsidP="00D927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6BF5BBDB" w14:textId="463B6A77" w:rsidR="00337474" w:rsidRPr="00BC785C" w:rsidRDefault="004D75B1" w:rsidP="00AB1BA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C785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2E9C33E" w14:textId="77777777" w:rsidR="00D559F3" w:rsidRPr="00BC785C" w:rsidRDefault="00D559F3" w:rsidP="007410AF">
            <w:pPr>
              <w:rPr>
                <w:rFonts w:ascii="Calibri" w:hAnsi="Calibri"/>
                <w:sz w:val="20"/>
                <w:szCs w:val="20"/>
              </w:rPr>
            </w:pPr>
          </w:p>
          <w:p w14:paraId="0CF4066B" w14:textId="77777777" w:rsidR="00337474" w:rsidRPr="00BC785C" w:rsidRDefault="00337474" w:rsidP="007410AF">
            <w:pPr>
              <w:rPr>
                <w:rFonts w:ascii="Calibri" w:hAnsi="Calibri"/>
                <w:sz w:val="20"/>
                <w:szCs w:val="20"/>
              </w:rPr>
            </w:pPr>
          </w:p>
          <w:p w14:paraId="4D34B90B" w14:textId="1C61E257" w:rsidR="00337474" w:rsidRPr="00BC785C" w:rsidRDefault="00337474" w:rsidP="00D927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59F3" w:rsidRPr="00BC785C" w14:paraId="3CD019BB" w14:textId="77777777" w:rsidTr="00520D82">
        <w:trPr>
          <w:trHeight w:val="316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13F9C538" w14:textId="77777777" w:rsidR="00BC785C" w:rsidRPr="00BC785C" w:rsidRDefault="00BC785C" w:rsidP="00BC785C">
            <w:pPr>
              <w:pStyle w:val="p1"/>
              <w:rPr>
                <w:rFonts w:ascii="Calibri" w:hAnsi="Calibri"/>
                <w:b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sz w:val="20"/>
                <w:szCs w:val="20"/>
              </w:rPr>
              <w:lastRenderedPageBreak/>
              <w:t>3. Mitigation of Domain Name Abuse</w:t>
            </w:r>
          </w:p>
          <w:p w14:paraId="7394AEE6" w14:textId="3A0FB4F6" w:rsidR="00721860" w:rsidRPr="00BC785C" w:rsidRDefault="00721860" w:rsidP="00D9278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19EC424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a. The GAC advises the ICANN Board to:</w:t>
            </w:r>
          </w:p>
          <w:p w14:paraId="7CC285AA" w14:textId="12C85400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I. provide written responses to the questions listed in the Follow-up Scorecard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attached to this </w:t>
            </w:r>
            <w:r w:rsidRPr="00BC785C">
              <w:rPr>
                <w:rFonts w:ascii="Calibri" w:hAnsi="Calibri"/>
                <w:sz w:val="20"/>
                <w:szCs w:val="20"/>
              </w:rPr>
              <w:t>Communique, no later than 5 May 2017 for appropriate</w:t>
            </w:r>
          </w:p>
          <w:p w14:paraId="21DF684A" w14:textId="338F4D02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consideration by the GAC before the ICANN 59 meeting in Johannesburg,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520D82">
              <w:rPr>
                <w:rFonts w:ascii="Calibri" w:hAnsi="Calibri"/>
                <w:sz w:val="20"/>
                <w:szCs w:val="20"/>
              </w:rPr>
              <w:t xml:space="preserve">taking into </w:t>
            </w:r>
            <w:r w:rsidRPr="00BC785C">
              <w:rPr>
                <w:rFonts w:ascii="Calibri" w:hAnsi="Calibri"/>
                <w:sz w:val="20"/>
                <w:szCs w:val="20"/>
              </w:rPr>
              <w:t>account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that the ICANN President and CEO will act as contact point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for the GAC in this matter.</w:t>
            </w:r>
          </w:p>
          <w:p w14:paraId="600886C4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</w:p>
          <w:p w14:paraId="12B0B3EE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RATIONALE</w:t>
            </w:r>
          </w:p>
          <w:p w14:paraId="1FF36B28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The GAC is seeking to assess the effectiveness of its Advice to the ICANN Board.</w:t>
            </w:r>
          </w:p>
          <w:p w14:paraId="5D58523C" w14:textId="0D00A73F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 xml:space="preserve">Annex 1 of the GAC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Hyderabad Communiqué listed </w:t>
            </w: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a number of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questions to conduct such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assessment in relation to Advice implemented as part of the 2013 Registrar Accreditation</w:t>
            </w:r>
          </w:p>
          <w:p w14:paraId="2057B51F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 xml:space="preserve">Agreement and the New gTLD </w:t>
            </w:r>
            <w:r w:rsidRPr="00BC785C">
              <w:rPr>
                <w:rFonts w:ascii="Calibri" w:hAnsi="Calibri"/>
                <w:sz w:val="20"/>
                <w:szCs w:val="20"/>
              </w:rPr>
              <w:lastRenderedPageBreak/>
              <w:t>Registry Agreement.</w:t>
            </w:r>
          </w:p>
          <w:p w14:paraId="3418586E" w14:textId="04B39B51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The GAC is also interested in assessing the contribution of the SSR and Contractual Compliance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departments of ICANN to the prevention and mitigation of domain name abuse.</w:t>
            </w:r>
          </w:p>
          <w:p w14:paraId="58D2706F" w14:textId="46B1C505" w:rsidR="00D559F3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 xml:space="preserve">While ICANN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responded to Annex 1 of the GAC </w:t>
            </w:r>
            <w:r w:rsidRPr="00BC785C">
              <w:rPr>
                <w:rFonts w:ascii="Calibri" w:hAnsi="Calibri"/>
                <w:sz w:val="20"/>
                <w:szCs w:val="20"/>
              </w:rPr>
              <w:t>Hyderabad Communiqué, the information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provided was not sufficient to conduct the necessary assessments.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1C30475D" w14:textId="75F67C01" w:rsidR="00D559F3" w:rsidRPr="00BC785C" w:rsidRDefault="00D559F3" w:rsidP="005B6C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3F18ECD9" w14:textId="0C001CD7" w:rsidR="00D559F3" w:rsidRPr="00BC785C" w:rsidRDefault="00334F51" w:rsidP="00AB1BA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C785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5952F7B" w14:textId="58A8A218" w:rsidR="0072261A" w:rsidRPr="00BC785C" w:rsidRDefault="0072261A" w:rsidP="0072261A">
            <w:pPr>
              <w:pStyle w:val="NormalWeb"/>
              <w:rPr>
                <w:rFonts w:ascii="Calibri" w:hAnsi="Calibri"/>
              </w:rPr>
            </w:pPr>
          </w:p>
          <w:p w14:paraId="3A432430" w14:textId="68874B0C" w:rsidR="0072261A" w:rsidRPr="00BC785C" w:rsidRDefault="0072261A" w:rsidP="00AD5C5B">
            <w:pPr>
              <w:pStyle w:val="NormalWeb"/>
              <w:rPr>
                <w:rFonts w:ascii="Calibri" w:eastAsia="Microsoft YaHei" w:hAnsi="Calibri"/>
              </w:rPr>
            </w:pPr>
          </w:p>
        </w:tc>
      </w:tr>
      <w:tr w:rsidR="00D559F3" w:rsidRPr="00BC785C" w14:paraId="7ECEADDC" w14:textId="77777777" w:rsidTr="00BC785C">
        <w:trPr>
          <w:trHeight w:val="1062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452C11C0" w14:textId="77777777" w:rsidR="00BC785C" w:rsidRPr="00BC785C" w:rsidRDefault="00BC785C" w:rsidP="00BC785C">
            <w:pPr>
              <w:pStyle w:val="p1"/>
              <w:rPr>
                <w:rFonts w:ascii="Calibri" w:hAnsi="Calibri"/>
                <w:b/>
                <w:sz w:val="20"/>
                <w:szCs w:val="20"/>
              </w:rPr>
            </w:pPr>
            <w:r w:rsidRPr="00BC785C">
              <w:rPr>
                <w:rFonts w:ascii="Calibri" w:hAnsi="Calibri"/>
                <w:b/>
                <w:sz w:val="20"/>
                <w:szCs w:val="20"/>
              </w:rPr>
              <w:lastRenderedPageBreak/>
              <w:t>4. 2-Character Country/Territory Codes at the Second Level</w:t>
            </w:r>
          </w:p>
          <w:p w14:paraId="1678020A" w14:textId="65060F85" w:rsidR="00D559F3" w:rsidRPr="00BC785C" w:rsidRDefault="00D559F3" w:rsidP="00D9278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0838624B" w14:textId="1CB8F18C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In light of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the discussions with the ICANN Board in Copenhagen on the Board Resolution of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8 November 2016 and its implementation of 13 December 2016 regarding two-letter country</w:t>
            </w:r>
            <w:r w:rsidR="00520D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codes as second level domains,</w:t>
            </w:r>
          </w:p>
          <w:p w14:paraId="761F931C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a. The GAC advises the ICANN Board to:</w:t>
            </w:r>
          </w:p>
          <w:p w14:paraId="39D86108" w14:textId="60FACDFC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 xml:space="preserve">I. </w:t>
            </w: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Take into account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the serious concerns expressed by some </w:t>
            </w:r>
            <w:r w:rsidRPr="00BC785C">
              <w:rPr>
                <w:rFonts w:ascii="Calibri" w:hAnsi="Calibri"/>
                <w:sz w:val="20"/>
                <w:szCs w:val="20"/>
              </w:rPr>
              <w:lastRenderedPageBreak/>
              <w:t>GAC Members as</w:t>
            </w:r>
            <w:r w:rsidR="00520D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contained in previous GAC Advice</w:t>
            </w:r>
          </w:p>
          <w:p w14:paraId="0F700BD8" w14:textId="423018B4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II. Engage with concerned governments by the next ICANN meeting to resolve</w:t>
            </w:r>
            <w:r w:rsidR="00520D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those concerns.</w:t>
            </w:r>
          </w:p>
          <w:p w14:paraId="3A10A45A" w14:textId="722605CD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III. Immediately explore measures to find a satisfactory solution of the matter to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meet the concerns of these countries before being further aggravated.</w:t>
            </w:r>
          </w:p>
          <w:p w14:paraId="0DDEB81A" w14:textId="17E949F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IV. Provide clarification of the decision-making process and of the rationale for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the November 2016 resolution, particularly </w:t>
            </w: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in regard to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consideration of the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GAC advice, timing and level of support for this resolution.</w:t>
            </w:r>
          </w:p>
          <w:p w14:paraId="6BC741AC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</w:p>
          <w:p w14:paraId="34498800" w14:textId="77777777" w:rsidR="00BC785C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RATIONALE</w:t>
            </w:r>
          </w:p>
          <w:p w14:paraId="462320FB" w14:textId="71FB1CD6" w:rsidR="00D559F3" w:rsidRPr="00BC785C" w:rsidRDefault="00BC785C" w:rsidP="00BC785C">
            <w:pPr>
              <w:pStyle w:val="p1"/>
              <w:rPr>
                <w:rFonts w:ascii="Calibri" w:hAnsi="Calibri"/>
                <w:sz w:val="20"/>
                <w:szCs w:val="20"/>
              </w:rPr>
            </w:pPr>
            <w:r w:rsidRPr="00BC785C">
              <w:rPr>
                <w:rFonts w:ascii="Calibri" w:hAnsi="Calibri"/>
                <w:sz w:val="20"/>
                <w:szCs w:val="20"/>
              </w:rPr>
              <w:t>The GAC noted serious concerns expressed by some governments about the consequences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introduced by the changes created by the 8 November 2016 Resolution. </w:t>
            </w:r>
            <w:proofErr w:type="gramStart"/>
            <w:r w:rsidRPr="00BC785C">
              <w:rPr>
                <w:rFonts w:ascii="Calibri" w:hAnsi="Calibri"/>
                <w:sz w:val="20"/>
                <w:szCs w:val="20"/>
              </w:rPr>
              <w:t>In particular,</w:t>
            </w:r>
            <w:r w:rsidR="00520D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lastRenderedPageBreak/>
              <w:t>according</w:t>
            </w:r>
            <w:proofErr w:type="gramEnd"/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to the new procedure it is no longer mandatory for the registries to notify governments of the</w:t>
            </w:r>
            <w:r w:rsidR="00520D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plans for their use of 2-letter codes, nor are registries required to seek agreement of governments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when releasing two-letter country codes </w:t>
            </w:r>
            <w:r w:rsidR="00520D82">
              <w:rPr>
                <w:rFonts w:ascii="Calibri" w:hAnsi="Calibri"/>
                <w:sz w:val="20"/>
                <w:szCs w:val="20"/>
              </w:rPr>
              <w:t xml:space="preserve">at the second level, which, for </w:t>
            </w:r>
            <w:r w:rsidRPr="00BC785C">
              <w:rPr>
                <w:rFonts w:ascii="Calibri" w:hAnsi="Calibri"/>
                <w:sz w:val="20"/>
                <w:szCs w:val="20"/>
              </w:rPr>
              <w:t>example, allows registries</w:t>
            </w:r>
            <w:r w:rsidRPr="00BC78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785C">
              <w:rPr>
                <w:rFonts w:ascii="Calibri" w:hAnsi="Calibri"/>
                <w:sz w:val="20"/>
                <w:szCs w:val="20"/>
              </w:rPr>
              <w:t>to charge governments substantial fees.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75733ABF" w14:textId="2D275E85" w:rsidR="00D559F3" w:rsidRPr="00BC785C" w:rsidRDefault="00D559F3" w:rsidP="005B6C2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368D9D49" w14:textId="77777777" w:rsidR="00D559F3" w:rsidRPr="00BC785C" w:rsidRDefault="00D559F3" w:rsidP="00D927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</w:tcPr>
          <w:p w14:paraId="2A328F68" w14:textId="77777777" w:rsidR="0072261A" w:rsidRPr="00BC785C" w:rsidRDefault="0072261A" w:rsidP="0072261A">
            <w:pPr>
              <w:pStyle w:val="NormalWeb"/>
              <w:rPr>
                <w:rFonts w:ascii="Calibri" w:hAnsi="Calibri"/>
              </w:rPr>
            </w:pPr>
          </w:p>
          <w:p w14:paraId="71D7CC8A" w14:textId="77777777" w:rsidR="00D559F3" w:rsidRPr="00BC785C" w:rsidRDefault="00D559F3" w:rsidP="005B6C2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CB16E3" w14:textId="7B93B2B7" w:rsidR="00D559F3" w:rsidRPr="00BC785C" w:rsidRDefault="00D559F3" w:rsidP="00520D82">
      <w:pPr>
        <w:pageBreakBefore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D559F3" w:rsidRPr="00BC785C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5953" w14:textId="77777777" w:rsidR="00553361" w:rsidRDefault="00553361">
      <w:r>
        <w:separator/>
      </w:r>
    </w:p>
  </w:endnote>
  <w:endnote w:type="continuationSeparator" w:id="0">
    <w:p w14:paraId="30B48B7F" w14:textId="77777777" w:rsidR="00553361" w:rsidRDefault="005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0535" w14:textId="77777777" w:rsidR="004F3B5A" w:rsidRDefault="004F3B5A" w:rsidP="00444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ED576" w14:textId="77777777" w:rsidR="004F3B5A" w:rsidRDefault="004F3B5A" w:rsidP="00535F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871C" w14:textId="77777777" w:rsidR="004F3B5A" w:rsidRPr="00535FA2" w:rsidRDefault="004F3B5A" w:rsidP="004443BD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535FA2">
      <w:rPr>
        <w:rStyle w:val="PageNumber"/>
        <w:rFonts w:ascii="Calibri" w:hAnsi="Calibri"/>
        <w:sz w:val="18"/>
        <w:szCs w:val="18"/>
      </w:rPr>
      <w:fldChar w:fldCharType="begin"/>
    </w:r>
    <w:r w:rsidRPr="00535FA2">
      <w:rPr>
        <w:rStyle w:val="PageNumber"/>
        <w:rFonts w:ascii="Calibri" w:hAnsi="Calibri"/>
        <w:sz w:val="18"/>
        <w:szCs w:val="18"/>
      </w:rPr>
      <w:instrText xml:space="preserve">PAGE  </w:instrText>
    </w:r>
    <w:r w:rsidRPr="00535FA2">
      <w:rPr>
        <w:rStyle w:val="PageNumber"/>
        <w:rFonts w:ascii="Calibri" w:hAnsi="Calibri"/>
        <w:sz w:val="18"/>
        <w:szCs w:val="18"/>
      </w:rPr>
      <w:fldChar w:fldCharType="separate"/>
    </w:r>
    <w:r w:rsidR="00520D82">
      <w:rPr>
        <w:rStyle w:val="PageNumber"/>
        <w:rFonts w:ascii="Calibri" w:hAnsi="Calibri"/>
        <w:noProof/>
        <w:sz w:val="18"/>
        <w:szCs w:val="18"/>
      </w:rPr>
      <w:t>1</w:t>
    </w:r>
    <w:r w:rsidRPr="00535FA2">
      <w:rPr>
        <w:rStyle w:val="PageNumber"/>
        <w:rFonts w:ascii="Calibri" w:hAnsi="Calibri"/>
        <w:sz w:val="18"/>
        <w:szCs w:val="18"/>
      </w:rPr>
      <w:fldChar w:fldCharType="end"/>
    </w:r>
  </w:p>
  <w:p w14:paraId="07D220D3" w14:textId="77777777" w:rsidR="004F3B5A" w:rsidRDefault="004F3B5A" w:rsidP="00535FA2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63AD" w14:textId="77777777" w:rsidR="00553361" w:rsidRDefault="00553361">
      <w:r>
        <w:separator/>
      </w:r>
    </w:p>
  </w:footnote>
  <w:footnote w:type="continuationSeparator" w:id="0">
    <w:p w14:paraId="0C60E919" w14:textId="77777777" w:rsidR="00553361" w:rsidRDefault="00553361">
      <w:r>
        <w:continuationSeparator/>
      </w:r>
    </w:p>
  </w:footnote>
  <w:footnote w:id="1">
    <w:p w14:paraId="1419F463" w14:textId="6DB75C34" w:rsidR="004F3B5A" w:rsidRDefault="004F3B5A" w:rsidP="006C0A17">
      <w:r w:rsidRPr="006C0A17">
        <w:rPr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 xml:space="preserve"> </w:t>
      </w:r>
      <w:r w:rsidRPr="006C0A17">
        <w:rPr>
          <w:rFonts w:ascii="Calibri" w:hAnsi="Calibri"/>
          <w:sz w:val="20"/>
          <w:szCs w:val="20"/>
        </w:rPr>
        <w:t xml:space="preserve"> Only of “Section V</w:t>
      </w:r>
      <w:r w:rsidR="008E3BD9">
        <w:rPr>
          <w:rFonts w:ascii="Calibri" w:hAnsi="Calibri"/>
          <w:sz w:val="20"/>
          <w:szCs w:val="20"/>
        </w:rPr>
        <w:t>I</w:t>
      </w:r>
      <w:r w:rsidRPr="006C0A17">
        <w:rPr>
          <w:rFonts w:ascii="Calibri" w:hAnsi="Calibri"/>
          <w:sz w:val="20"/>
          <w:szCs w:val="20"/>
        </w:rPr>
        <w:t xml:space="preserve"> of the Communiqué: GAC Advice to the ICANN Board”</w:t>
      </w:r>
    </w:p>
  </w:footnote>
  <w:footnote w:id="2">
    <w:p w14:paraId="42C1409F" w14:textId="77777777" w:rsidR="004F3B5A" w:rsidRPr="006C0A17" w:rsidRDefault="004F3B5A">
      <w:pPr>
        <w:pStyle w:val="FootnoteText"/>
        <w:rPr>
          <w:rFonts w:ascii="Calibri" w:hAnsi="Calibri"/>
          <w:sz w:val="20"/>
          <w:szCs w:val="20"/>
        </w:rPr>
      </w:pPr>
      <w:r w:rsidRPr="006C0A17">
        <w:rPr>
          <w:rStyle w:val="FootnoteReference"/>
          <w:rFonts w:ascii="Calibri" w:hAnsi="Calibri"/>
          <w:sz w:val="20"/>
          <w:szCs w:val="20"/>
        </w:rPr>
        <w:footnoteRef/>
      </w:r>
      <w:r w:rsidRPr="006C0A17">
        <w:rPr>
          <w:rFonts w:ascii="Calibri" w:hAnsi="Calibri"/>
          <w:sz w:val="20"/>
          <w:szCs w:val="20"/>
        </w:rPr>
        <w:t xml:space="preserve"> As per the ICANN Bylaws: ‘</w:t>
      </w:r>
      <w:r w:rsidRPr="006C0A17">
        <w:rPr>
          <w:rFonts w:ascii="Calibri" w:eastAsia="Times New Roman" w:hAnsi="Calibri"/>
          <w:sz w:val="20"/>
          <w:szCs w:val="20"/>
        </w:rPr>
        <w:t>There shall be a policy-development body known as the Generic Names Supporting Organization (GNSO), which shall be responsible for developing and recommending to the ICANN Board substantive policies relating to generic top-level domains.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4229"/>
    <w:multiLevelType w:val="hybridMultilevel"/>
    <w:tmpl w:val="C950A544"/>
    <w:lvl w:ilvl="0" w:tplc="2C9CB038">
      <w:start w:val="1"/>
      <w:numFmt w:val="lowerRoman"/>
      <w:lvlText w:val="%1."/>
      <w:lvlJc w:val="left"/>
      <w:pPr>
        <w:ind w:left="720" w:hanging="720"/>
      </w:pPr>
      <w:rPr>
        <w:rFonts w:ascii="Calibri" w:hAnsi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D0254"/>
    <w:multiLevelType w:val="hybridMultilevel"/>
    <w:tmpl w:val="118452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F2C6096">
      <w:start w:val="1"/>
      <w:numFmt w:val="lowerRoman"/>
      <w:lvlText w:val="%3."/>
      <w:lvlJc w:val="right"/>
      <w:pPr>
        <w:ind w:left="36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19570F"/>
    <w:multiLevelType w:val="hybridMultilevel"/>
    <w:tmpl w:val="F696941C"/>
    <w:lvl w:ilvl="0" w:tplc="52FCE61A">
      <w:start w:val="1"/>
      <w:numFmt w:val="lowerRoman"/>
      <w:lvlText w:val="%1."/>
      <w:lvlJc w:val="left"/>
      <w:pPr>
        <w:ind w:left="720" w:hanging="720"/>
      </w:pPr>
      <w:rPr>
        <w:rFonts w:ascii="Calibri" w:hAnsi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E0F6F"/>
    <w:multiLevelType w:val="hybridMultilevel"/>
    <w:tmpl w:val="673CE672"/>
    <w:lvl w:ilvl="0" w:tplc="E2709D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55B7"/>
    <w:multiLevelType w:val="hybridMultilevel"/>
    <w:tmpl w:val="1090B4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67A9790">
      <w:start w:val="1"/>
      <w:numFmt w:val="lowerRoman"/>
      <w:lvlText w:val="%3."/>
      <w:lvlJc w:val="right"/>
      <w:pPr>
        <w:ind w:left="36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74E5D2A"/>
    <w:multiLevelType w:val="hybridMultilevel"/>
    <w:tmpl w:val="E07C78A2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>
      <w:start w:val="1"/>
      <w:numFmt w:val="lowerLetter"/>
      <w:lvlText w:val="%2."/>
      <w:lvlJc w:val="left"/>
      <w:pPr>
        <w:ind w:left="2330" w:hanging="360"/>
      </w:pPr>
    </w:lvl>
    <w:lvl w:ilvl="2" w:tplc="56822FF0">
      <w:start w:val="1"/>
      <w:numFmt w:val="lowerRoman"/>
      <w:lvlText w:val="%3."/>
      <w:lvlJc w:val="right"/>
      <w:pPr>
        <w:ind w:left="30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770" w:hanging="360"/>
      </w:pPr>
    </w:lvl>
    <w:lvl w:ilvl="4" w:tplc="04090019">
      <w:start w:val="1"/>
      <w:numFmt w:val="lowerLetter"/>
      <w:lvlText w:val="%5."/>
      <w:lvlJc w:val="left"/>
      <w:pPr>
        <w:ind w:left="4490" w:hanging="360"/>
      </w:pPr>
    </w:lvl>
    <w:lvl w:ilvl="5" w:tplc="0409001B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>
    <w:nsid w:val="46F20078"/>
    <w:multiLevelType w:val="hybridMultilevel"/>
    <w:tmpl w:val="1090B4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67A979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97D44"/>
    <w:multiLevelType w:val="hybridMultilevel"/>
    <w:tmpl w:val="C0F88EB6"/>
    <w:lvl w:ilvl="0" w:tplc="366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48A5"/>
    <w:multiLevelType w:val="hybridMultilevel"/>
    <w:tmpl w:val="1090B4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67A979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EF493B"/>
    <w:multiLevelType w:val="hybridMultilevel"/>
    <w:tmpl w:val="24842D54"/>
    <w:lvl w:ilvl="0" w:tplc="A986145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6794"/>
    <w:multiLevelType w:val="hybridMultilevel"/>
    <w:tmpl w:val="E5BC0D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3"/>
    <w:rsid w:val="000206DC"/>
    <w:rsid w:val="00041C06"/>
    <w:rsid w:val="00074ECF"/>
    <w:rsid w:val="000C7A74"/>
    <w:rsid w:val="00146B6A"/>
    <w:rsid w:val="00166F08"/>
    <w:rsid w:val="00184084"/>
    <w:rsid w:val="001D29A4"/>
    <w:rsid w:val="002E5680"/>
    <w:rsid w:val="00334F51"/>
    <w:rsid w:val="00337474"/>
    <w:rsid w:val="00351139"/>
    <w:rsid w:val="00384BBC"/>
    <w:rsid w:val="00437570"/>
    <w:rsid w:val="004443BD"/>
    <w:rsid w:val="004C2CB8"/>
    <w:rsid w:val="004D75B1"/>
    <w:rsid w:val="004F3B5A"/>
    <w:rsid w:val="00520D82"/>
    <w:rsid w:val="005307BA"/>
    <w:rsid w:val="00535FA2"/>
    <w:rsid w:val="00553361"/>
    <w:rsid w:val="005606DF"/>
    <w:rsid w:val="005829D4"/>
    <w:rsid w:val="005B6C2C"/>
    <w:rsid w:val="0067270C"/>
    <w:rsid w:val="006C0A17"/>
    <w:rsid w:val="00721860"/>
    <w:rsid w:val="0072261A"/>
    <w:rsid w:val="007410AF"/>
    <w:rsid w:val="007E551C"/>
    <w:rsid w:val="0087096F"/>
    <w:rsid w:val="008B6D02"/>
    <w:rsid w:val="008E3BD9"/>
    <w:rsid w:val="008F710F"/>
    <w:rsid w:val="00914FB2"/>
    <w:rsid w:val="00942E31"/>
    <w:rsid w:val="00AB1BA2"/>
    <w:rsid w:val="00AD5C5B"/>
    <w:rsid w:val="00BC18CB"/>
    <w:rsid w:val="00BC785C"/>
    <w:rsid w:val="00C140B9"/>
    <w:rsid w:val="00C37BB7"/>
    <w:rsid w:val="00CC6D9B"/>
    <w:rsid w:val="00CC77FE"/>
    <w:rsid w:val="00CE758B"/>
    <w:rsid w:val="00D559F3"/>
    <w:rsid w:val="00D92785"/>
    <w:rsid w:val="00DB46EA"/>
    <w:rsid w:val="00DB5951"/>
    <w:rsid w:val="00E52D31"/>
    <w:rsid w:val="00F757CF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69A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de-DE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</w:pPr>
    <w:rPr>
      <w:rFonts w:ascii="Cambria" w:hAnsi="Cambria" w:cs="Arial Unicode MS"/>
      <w:color w:val="000000"/>
      <w:sz w:val="24"/>
      <w:szCs w:val="24"/>
      <w:u w:color="000000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6C0A17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00" w:beforeAutospacing="1" w:after="100" w:afterAutospacing="1"/>
      <w:outlineLvl w:val="0"/>
    </w:pPr>
    <w:rPr>
      <w:rFonts w:ascii="Times" w:hAnsi="Times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  <w:lang w:val="uz-Cyrl-UZ" w:eastAsia="uz-Cyrl-UZ" w:bidi="uz-Cyrl-UZ"/>
    </w:rPr>
  </w:style>
  <w:style w:type="character" w:customStyle="1" w:styleId="Funotenzeichen">
    <w:name w:val="Fußnotenzeichen"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nzeichen">
    <w:name w:val="Endnotenzeichen"/>
  </w:style>
  <w:style w:type="paragraph" w:customStyle="1" w:styleId="berschrift">
    <w:name w:val="Überschrift"/>
    <w:basedOn w:val="Normal"/>
    <w:next w:val="Textkrper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">
    <w:name w:val="Textkörper"/>
    <w:basedOn w:val="Normal"/>
    <w:pPr>
      <w:spacing w:after="140" w:line="288" w:lineRule="auto"/>
    </w:pPr>
  </w:style>
  <w:style w:type="paragraph" w:customStyle="1" w:styleId="Liste">
    <w:name w:val="Liste"/>
    <w:basedOn w:val="Textkrper"/>
    <w:rPr>
      <w:rFonts w:cs="Mangal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HeaderFooter">
    <w:name w:val="Header &amp; Footer"/>
    <w:pPr>
      <w:keepNext/>
      <w:pBdr>
        <w:top w:val="nil"/>
        <w:left w:val="nil"/>
        <w:bottom w:val="nil"/>
        <w:right w:val="nil"/>
      </w:pBdr>
      <w:shd w:val="clear" w:color="auto" w:fill="FFFFFF"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Funote">
    <w:name w:val="Fußnote"/>
    <w:basedOn w:val="Normal"/>
    <w:rPr>
      <w:rFonts w:ascii="Helvetica" w:eastAsia="Helvetica" w:hAnsi="Helvetica" w:cs="Helvetica"/>
      <w:sz w:val="22"/>
      <w:szCs w:val="22"/>
    </w:rPr>
  </w:style>
  <w:style w:type="paragraph" w:customStyle="1" w:styleId="Default">
    <w:name w:val="Default"/>
    <w:pPr>
      <w:keepNext/>
      <w:widowControl w:val="0"/>
      <w:pBdr>
        <w:top w:val="nil"/>
        <w:left w:val="nil"/>
        <w:bottom w:val="nil"/>
        <w:right w:val="nil"/>
      </w:pBdr>
      <w:shd w:val="clear" w:color="auto" w:fill="FFFFFF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Kopfzeile">
    <w:name w:val="Kopfzeile"/>
    <w:basedOn w:val="Normal"/>
  </w:style>
  <w:style w:type="paragraph" w:customStyle="1" w:styleId="Fuzeile">
    <w:name w:val="Fußzeile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hAnsi="Cambria" w:cs="Arial Unicode MS"/>
      <w:color w:val="000000"/>
      <w:sz w:val="24"/>
      <w:szCs w:val="24"/>
      <w:u w:color="000000"/>
      <w:shd w:val="clear" w:color="auto" w:fill="FFFFFF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BC"/>
    <w:rPr>
      <w:rFonts w:ascii="Lucida Grande" w:hAnsi="Lucida Grande" w:cs="Lucida Grande"/>
      <w:color w:val="000000"/>
      <w:sz w:val="18"/>
      <w:szCs w:val="18"/>
      <w:u w:color="000000"/>
      <w:shd w:val="clear" w:color="auto" w:fill="FFFFFF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384BBC"/>
  </w:style>
  <w:style w:type="character" w:customStyle="1" w:styleId="FootnoteTextChar">
    <w:name w:val="Footnote Text Char"/>
    <w:basedOn w:val="DefaultParagraphFont"/>
    <w:link w:val="FootnoteText"/>
    <w:uiPriority w:val="99"/>
    <w:rsid w:val="00384BBC"/>
    <w:rPr>
      <w:rFonts w:ascii="Cambria" w:hAnsi="Cambria" w:cs="Arial Unicode MS"/>
      <w:color w:val="000000"/>
      <w:sz w:val="24"/>
      <w:szCs w:val="24"/>
      <w:u w:color="000000"/>
      <w:shd w:val="clear" w:color="auto" w:fill="FFFFFF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384BB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08"/>
    <w:rPr>
      <w:rFonts w:ascii="Cambria" w:hAnsi="Cambria" w:cs="Arial Unicode MS"/>
      <w:b/>
      <w:bCs/>
      <w:color w:val="000000"/>
      <w:sz w:val="24"/>
      <w:szCs w:val="24"/>
      <w:u w:color="000000"/>
      <w:shd w:val="clear" w:color="auto" w:fill="FFFFFF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C0A17"/>
    <w:rPr>
      <w:rFonts w:ascii="Times" w:hAnsi="Times"/>
      <w:b/>
      <w:bCs/>
      <w:color w:val="auto"/>
      <w:kern w:val="36"/>
      <w:sz w:val="48"/>
      <w:szCs w:val="4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41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C0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5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A2"/>
    <w:rPr>
      <w:rFonts w:ascii="Cambria" w:hAnsi="Cambria" w:cs="Arial Unicode MS"/>
      <w:color w:val="000000"/>
      <w:sz w:val="24"/>
      <w:szCs w:val="24"/>
      <w:u w:color="000000"/>
      <w:shd w:val="clear" w:color="auto" w:fill="FFFFFF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535FA2"/>
  </w:style>
  <w:style w:type="paragraph" w:styleId="Header">
    <w:name w:val="header"/>
    <w:basedOn w:val="Normal"/>
    <w:link w:val="HeaderChar"/>
    <w:uiPriority w:val="99"/>
    <w:unhideWhenUsed/>
    <w:rsid w:val="00535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A2"/>
    <w:rPr>
      <w:rFonts w:ascii="Cambria" w:hAnsi="Cambria" w:cs="Arial Unicode MS"/>
      <w:color w:val="000000"/>
      <w:sz w:val="24"/>
      <w:szCs w:val="24"/>
      <w:u w:color="000000"/>
      <w:shd w:val="clear" w:color="auto" w:fill="FFFFFF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829D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261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paragraph" w:customStyle="1" w:styleId="p1">
    <w:name w:val="p1"/>
    <w:basedOn w:val="Normal"/>
    <w:rsid w:val="008E3BD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rFonts w:ascii="Helvetica" w:hAnsi="Helvetica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acweb.icann.org/download/attachments/27132037/GAC%20ICANN%2058%20Communique.pdf?version=2&amp;modificationDate=1489619243747&amp;api=v2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825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3</cp:revision>
  <cp:lastPrinted>2015-11-06T19:58:00Z</cp:lastPrinted>
  <dcterms:created xsi:type="dcterms:W3CDTF">2017-03-16T07:04:00Z</dcterms:created>
  <dcterms:modified xsi:type="dcterms:W3CDTF">2017-03-16T07:23:00Z</dcterms:modified>
  <dc:language>de-DE</dc:language>
</cp:coreProperties>
</file>