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bookmarkStart w:id="0" w:name="_GoBack"/>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bookmarkEnd w:id="0"/>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2C0876" w:rsidRPr="00BC785C" w14:paraId="649D2538" w14:textId="77777777" w:rsidTr="002C0876">
        <w:trPr>
          <w:trHeight w:val="1830"/>
          <w:tblHeader/>
        </w:trPr>
        <w:tc>
          <w:tcPr>
            <w:tcW w:w="1557" w:type="dxa"/>
            <w:tcBorders>
              <w:bottom w:val="single" w:sz="4" w:space="0" w:color="000001"/>
            </w:tcBorders>
            <w:shd w:val="clear" w:color="auto" w:fill="D8D8D8" w:themeFill="background2" w:themeFillTint="99"/>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bottom w:val="single" w:sz="4" w:space="0" w:color="000001"/>
            </w:tcBorders>
            <w:shd w:val="clear" w:color="auto" w:fill="D8D8D8" w:themeFill="background2" w:themeFillTint="99"/>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bottom w:val="single" w:sz="4" w:space="0" w:color="000001"/>
            </w:tcBorders>
            <w:shd w:val="clear" w:color="auto" w:fill="D8D8D8" w:themeFill="background2" w:themeFillTint="99"/>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bottom w:val="single" w:sz="4" w:space="0" w:color="000001"/>
            </w:tcBorders>
            <w:shd w:val="clear" w:color="auto" w:fill="D8D8D8" w:themeFill="background2" w:themeFillTint="99"/>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bottom w:val="single" w:sz="4" w:space="0" w:color="000001"/>
            </w:tcBorders>
            <w:shd w:val="clear" w:color="auto" w:fill="D8D8D8" w:themeFill="background2" w:themeFillTint="99"/>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A25635">
        <w:trPr>
          <w:trHeight w:val="1827"/>
        </w:trPr>
        <w:tc>
          <w:tcPr>
            <w:tcW w:w="1557" w:type="dxa"/>
            <w:shd w:val="clear" w:color="auto" w:fill="auto"/>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2C0876">
            <w:pPr>
              <w:pStyle w:val="p1"/>
              <w:pBdr>
                <w:top w:val="nil"/>
                <w:left w:val="nil"/>
                <w:bottom w:val="nil"/>
                <w:right w:val="nil"/>
              </w:pBdr>
              <w:rPr>
                <w:b/>
                <w:bCs/>
                <w:sz w:val="20"/>
                <w:szCs w:val="20"/>
              </w:rPr>
            </w:pPr>
          </w:p>
        </w:tc>
        <w:tc>
          <w:tcPr>
            <w:tcW w:w="2835" w:type="dxa"/>
            <w:tcBorders>
              <w:bottom w:val="single" w:sz="4" w:space="0" w:color="000001"/>
            </w:tcBorders>
            <w:shd w:val="clear" w:color="auto" w:fill="auto"/>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r w:rsidRPr="00BC785C">
              <w:rPr>
                <w:rFonts w:ascii="Calibri" w:hAnsi="Calibri"/>
                <w:sz w:val="20"/>
                <w:szCs w:val="20"/>
              </w:rPr>
              <w:t>identifiers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bottom w:val="single" w:sz="4" w:space="0" w:color="000001"/>
            </w:tcBorders>
            <w:shd w:val="clear" w:color="auto" w:fill="auto"/>
            <w:tcMar>
              <w:left w:w="75" w:type="dxa"/>
            </w:tcMar>
          </w:tcPr>
          <w:p w14:paraId="0915B45D" w14:textId="0BF91AC6" w:rsidR="004443BD" w:rsidRPr="00BC785C" w:rsidRDefault="00BC385E" w:rsidP="00D92785">
            <w:pPr>
              <w:rPr>
                <w:rFonts w:ascii="Calibri" w:hAnsi="Calibri"/>
                <w:sz w:val="20"/>
                <w:szCs w:val="20"/>
              </w:rPr>
            </w:pPr>
            <w:r>
              <w:rPr>
                <w:rFonts w:ascii="Calibri" w:hAnsi="Calibri"/>
                <w:sz w:val="20"/>
                <w:szCs w:val="20"/>
              </w:rPr>
              <w:lastRenderedPageBreak/>
              <w:t>Yes</w:t>
            </w:r>
          </w:p>
        </w:tc>
        <w:tc>
          <w:tcPr>
            <w:tcW w:w="2864" w:type="dxa"/>
            <w:shd w:val="clear" w:color="auto" w:fill="auto"/>
            <w:tcMar>
              <w:left w:w="75" w:type="dxa"/>
            </w:tcMar>
          </w:tcPr>
          <w:p w14:paraId="6DE5C73B" w14:textId="6E84E39C" w:rsidR="00D559F3" w:rsidRPr="00BC785C" w:rsidRDefault="00BC385E" w:rsidP="00AB1BA2">
            <w:pPr>
              <w:rPr>
                <w:rFonts w:ascii="Calibri" w:hAnsi="Calibri"/>
                <w:iCs/>
                <w:sz w:val="20"/>
                <w:szCs w:val="20"/>
              </w:rPr>
            </w:pPr>
            <w:r>
              <w:rPr>
                <w:rFonts w:ascii="Calibri" w:hAnsi="Calibri"/>
                <w:iCs/>
                <w:sz w:val="20"/>
                <w:szCs w:val="20"/>
              </w:rPr>
              <w:t>Yes</w:t>
            </w:r>
          </w:p>
        </w:tc>
        <w:tc>
          <w:tcPr>
            <w:tcW w:w="3230" w:type="dxa"/>
            <w:shd w:val="clear" w:color="auto" w:fill="auto"/>
            <w:tcMar>
              <w:left w:w="75" w:type="dxa"/>
            </w:tcMar>
          </w:tcPr>
          <w:p w14:paraId="231911C7" w14:textId="58D17D11" w:rsidR="00D559F3" w:rsidRPr="00BC785C" w:rsidRDefault="00BC385E" w:rsidP="002C0876">
            <w:pPr>
              <w:pStyle w:val="p1"/>
              <w:pBdr>
                <w:top w:val="nil"/>
                <w:left w:val="nil"/>
                <w:bottom w:val="nil"/>
                <w:right w:val="nil"/>
              </w:pBdr>
              <w:rPr>
                <w:rFonts w:ascii="Calibri" w:hAnsi="Calibri"/>
                <w:iCs/>
                <w:sz w:val="20"/>
                <w:szCs w:val="20"/>
              </w:rPr>
            </w:pPr>
            <w:r w:rsidRPr="002C0876">
              <w:rPr>
                <w:rFonts w:ascii="Calibri" w:hAnsi="Calibri"/>
                <w:sz w:val="20"/>
                <w:szCs w:val="20"/>
              </w:rPr>
              <w:t>The GNSO Council discuss</w:t>
            </w:r>
            <w:r w:rsidR="00BF3102" w:rsidRPr="002C0876">
              <w:rPr>
                <w:rFonts w:ascii="Calibri" w:hAnsi="Calibri"/>
                <w:sz w:val="20"/>
                <w:szCs w:val="20"/>
              </w:rPr>
              <w:t>ed</w:t>
            </w:r>
            <w:r w:rsidRPr="002C0876">
              <w:rPr>
                <w:rFonts w:ascii="Calibri" w:hAnsi="Calibri"/>
                <w:sz w:val="20"/>
                <w:szCs w:val="20"/>
              </w:rPr>
              <w:t xml:space="preserve"> the Board’s request to consider possible modifications to the GNSO policy relating to a limited list of Red Cross National Society and international movement names, in accordance with the GNSO’s process as outlined in the GNSO Policy Development Process Manual, at its meeting on 20 April 2017.</w:t>
            </w:r>
            <w:r w:rsidR="00BF3102" w:rsidRPr="002C0876">
              <w:rPr>
                <w:rFonts w:ascii="Calibri" w:hAnsi="Calibri"/>
                <w:sz w:val="20"/>
                <w:szCs w:val="20"/>
              </w:rPr>
              <w:t xml:space="preserve">  A motion to invoke this </w:t>
            </w:r>
            <w:r w:rsidR="00B676F4" w:rsidRPr="002C0876">
              <w:rPr>
                <w:rFonts w:ascii="Calibri" w:hAnsi="Calibri"/>
                <w:sz w:val="20"/>
                <w:szCs w:val="20"/>
              </w:rPr>
              <w:t xml:space="preserve">extraordinary </w:t>
            </w:r>
            <w:r w:rsidR="00BF3102" w:rsidRPr="002C0876">
              <w:rPr>
                <w:rFonts w:ascii="Calibri" w:hAnsi="Calibri"/>
                <w:sz w:val="20"/>
                <w:szCs w:val="20"/>
              </w:rPr>
              <w:t>process is currently under consideration.</w:t>
            </w:r>
          </w:p>
        </w:tc>
      </w:tr>
      <w:tr w:rsidR="00D559F3" w:rsidRPr="00BC785C" w14:paraId="7AABB7D4" w14:textId="77777777" w:rsidTr="00A25635">
        <w:trPr>
          <w:trHeight w:val="702"/>
        </w:trPr>
        <w:tc>
          <w:tcPr>
            <w:tcW w:w="1557" w:type="dxa"/>
            <w:shd w:val="clear" w:color="auto" w:fill="auto"/>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shd w:val="clear" w:color="auto" w:fill="auto"/>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 xml:space="preserve">acronym protections and understands that temporary protections will continue to remain in place </w:t>
            </w:r>
            <w:proofErr w:type="gramStart"/>
            <w:r w:rsidRPr="00BC785C">
              <w:rPr>
                <w:rFonts w:ascii="Calibri" w:hAnsi="Calibri"/>
                <w:sz w:val="20"/>
                <w:szCs w:val="20"/>
              </w:rPr>
              <w:t>until such time as</w:t>
            </w:r>
            <w:proofErr w:type="gramEnd"/>
            <w:r w:rsidRPr="00BC785C">
              <w:rPr>
                <w:rFonts w:ascii="Calibri" w:hAnsi="Calibri"/>
                <w:sz w:val="20"/>
                <w:szCs w:val="20"/>
              </w:rPr>
              <w:t xml:space="preserve">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 xml:space="preserve">on of (i)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 xml:space="preserve">to two languages and (ii) a parallel system of notification to registrants for a more limited </w:t>
            </w:r>
            <w:proofErr w:type="gramStart"/>
            <w:r w:rsidRPr="00BC785C">
              <w:rPr>
                <w:rFonts w:ascii="Calibri" w:hAnsi="Calibri"/>
                <w:sz w:val="20"/>
                <w:szCs w:val="20"/>
              </w:rPr>
              <w:t>time period</w:t>
            </w:r>
            <w:proofErr w:type="gramEnd"/>
            <w:r w:rsidRPr="00BC785C">
              <w:rPr>
                <w:rFonts w:ascii="Calibri" w:hAnsi="Calibri"/>
                <w:sz w:val="20"/>
                <w:szCs w:val="20"/>
              </w:rPr>
              <w:t>,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 xml:space="preserve">discussions </w:t>
            </w:r>
            <w:proofErr w:type="gramStart"/>
            <w:r w:rsidRPr="00BC785C">
              <w:rPr>
                <w:rFonts w:ascii="Calibri" w:hAnsi="Calibri"/>
                <w:sz w:val="20"/>
                <w:szCs w:val="20"/>
              </w:rPr>
              <w:t>in order to</w:t>
            </w:r>
            <w:proofErr w:type="gramEnd"/>
            <w:r w:rsidRPr="00BC785C">
              <w:rPr>
                <w:rFonts w:ascii="Calibri" w:hAnsi="Calibri"/>
                <w:sz w:val="20"/>
                <w:szCs w:val="20"/>
              </w:rPr>
              <w:t xml:space="preserve"> develop a resolution that will</w:t>
            </w:r>
            <w:r>
              <w:rPr>
                <w:rFonts w:ascii="Calibri" w:hAnsi="Calibri"/>
                <w:sz w:val="20"/>
                <w:szCs w:val="20"/>
              </w:rPr>
              <w:t xml:space="preserve"> </w:t>
            </w:r>
            <w:r w:rsidRPr="00BC785C">
              <w:rPr>
                <w:rFonts w:ascii="Calibri" w:hAnsi="Calibri"/>
                <w:sz w:val="20"/>
                <w:szCs w:val="20"/>
              </w:rPr>
              <w:t>reflect (i)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III. urge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w:t>
            </w:r>
            <w:proofErr w:type="gramStart"/>
            <w:r>
              <w:rPr>
                <w:rFonts w:ascii="Calibri" w:hAnsi="Calibri"/>
                <w:sz w:val="20"/>
                <w:szCs w:val="20"/>
              </w:rPr>
              <w:t>take into account</w:t>
            </w:r>
            <w:proofErr w:type="gramEnd"/>
            <w:r>
              <w:rPr>
                <w:rFonts w:ascii="Calibri" w:hAnsi="Calibri"/>
                <w:sz w:val="20"/>
                <w:szCs w:val="20"/>
              </w:rPr>
              <w:t xml:space="preserve">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shd w:val="clear" w:color="auto" w:fill="auto"/>
            <w:tcMar>
              <w:left w:w="75" w:type="dxa"/>
            </w:tcMar>
          </w:tcPr>
          <w:p w14:paraId="56BB7E81" w14:textId="7B1CD506" w:rsidR="00D559F3" w:rsidRPr="00BC785C" w:rsidRDefault="00BC385E">
            <w:pPr>
              <w:rPr>
                <w:rFonts w:ascii="Calibri" w:hAnsi="Calibri"/>
                <w:sz w:val="20"/>
                <w:szCs w:val="20"/>
              </w:rPr>
            </w:pPr>
            <w:r>
              <w:rPr>
                <w:rFonts w:ascii="Calibri" w:hAnsi="Calibri"/>
                <w:sz w:val="20"/>
                <w:szCs w:val="20"/>
              </w:rPr>
              <w:lastRenderedPageBreak/>
              <w:t>Yes</w:t>
            </w:r>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shd w:val="clear" w:color="auto" w:fill="auto"/>
            <w:tcMar>
              <w:left w:w="75" w:type="dxa"/>
            </w:tcMar>
          </w:tcPr>
          <w:p w14:paraId="6BF5BBDB" w14:textId="6EE7F11F" w:rsidR="00337474" w:rsidRPr="00BC785C" w:rsidRDefault="00BC385E" w:rsidP="00AB1BA2">
            <w:pPr>
              <w:rPr>
                <w:rFonts w:ascii="Calibri" w:hAnsi="Calibri"/>
                <w:iCs/>
                <w:sz w:val="20"/>
                <w:szCs w:val="20"/>
              </w:rPr>
            </w:pPr>
            <w:r>
              <w:rPr>
                <w:rFonts w:ascii="Calibri" w:hAnsi="Calibri"/>
                <w:iCs/>
                <w:sz w:val="20"/>
                <w:szCs w:val="20"/>
              </w:rPr>
              <w:t>Yes</w:t>
            </w:r>
          </w:p>
        </w:tc>
        <w:tc>
          <w:tcPr>
            <w:tcW w:w="3230" w:type="dxa"/>
            <w:shd w:val="clear" w:color="auto" w:fill="auto"/>
            <w:tcMar>
              <w:left w:w="75" w:type="dxa"/>
            </w:tcMar>
          </w:tcPr>
          <w:p w14:paraId="0D262417" w14:textId="77777777" w:rsidR="000B5B11" w:rsidRPr="000B5B11" w:rsidRDefault="000B5B11" w:rsidP="00A25635">
            <w:pPr>
              <w:rPr>
                <w:rFonts w:ascii="Calibri" w:hAnsi="Calibri"/>
                <w:sz w:val="20"/>
                <w:szCs w:val="20"/>
              </w:rPr>
            </w:pPr>
            <w:r w:rsidRPr="000B5B11">
              <w:rPr>
                <w:rFonts w:ascii="Calibri" w:hAnsi="Calibri"/>
                <w:sz w:val="20"/>
                <w:szCs w:val="20"/>
              </w:rPr>
              <w:t xml:space="preserve">The GNSO Council refers to its previous response to the Board on this topic, which notes the ongoing work of the IGO-INGO Access to Curative Rights Protection Mechanisms Policy Development Process (PDP) Working Group. The GNSO Council appreciates the </w:t>
            </w:r>
            <w:r w:rsidRPr="000B5B11">
              <w:rPr>
                <w:rFonts w:ascii="Calibri" w:hAnsi="Calibri"/>
                <w:sz w:val="20"/>
                <w:szCs w:val="20"/>
              </w:rPr>
              <w:lastRenderedPageBreak/>
              <w:t>opportunity to participate in the facilitated discussion with the GAC at ICANN58, and the good faith dialogue that took place.</w:t>
            </w:r>
          </w:p>
          <w:p w14:paraId="0B434FA4" w14:textId="77777777" w:rsidR="000B5B11" w:rsidRPr="000B5B11" w:rsidRDefault="000B5B11" w:rsidP="00A25635">
            <w:pPr>
              <w:rPr>
                <w:rFonts w:ascii="Calibri" w:hAnsi="Calibri"/>
                <w:sz w:val="20"/>
                <w:szCs w:val="20"/>
              </w:rPr>
            </w:pPr>
          </w:p>
          <w:p w14:paraId="3052EC6B" w14:textId="77777777" w:rsidR="000B5B11" w:rsidRPr="000B5B11" w:rsidRDefault="000B5B11" w:rsidP="00A25635">
            <w:pPr>
              <w:rPr>
                <w:rFonts w:ascii="Calibri" w:hAnsi="Calibri"/>
                <w:sz w:val="20"/>
                <w:szCs w:val="20"/>
              </w:rPr>
            </w:pPr>
            <w:r w:rsidRPr="000B5B11">
              <w:rPr>
                <w:rFonts w:ascii="Calibri" w:hAnsi="Calibri"/>
                <w:sz w:val="20"/>
                <w:szCs w:val="20"/>
              </w:rPr>
              <w:t>In relation to the GAC’s advice to the Board to pursue implementation of:</w:t>
            </w:r>
          </w:p>
          <w:p w14:paraId="27C99193" w14:textId="77777777" w:rsidR="00A25635" w:rsidRDefault="000B5B11" w:rsidP="00A25635">
            <w:pPr>
              <w:pStyle w:val="ListParagraph"/>
              <w:numPr>
                <w:ilvl w:val="0"/>
                <w:numId w:val="12"/>
              </w:numPr>
              <w:spacing w:after="0" w:line="240" w:lineRule="auto"/>
              <w:rPr>
                <w:sz w:val="20"/>
                <w:szCs w:val="20"/>
              </w:rPr>
            </w:pPr>
            <w:r w:rsidRPr="00A25635">
              <w:rPr>
                <w:sz w:val="20"/>
                <w:szCs w:val="20"/>
              </w:rPr>
              <w:t xml:space="preserve">a permanent system of notification to IGOs regarding second-level registration of strings that match their acronyms in up to two languages; and </w:t>
            </w:r>
          </w:p>
          <w:p w14:paraId="79F9EFC3" w14:textId="7AE26C25" w:rsidR="000B5B11" w:rsidRPr="00A25635" w:rsidRDefault="000B5B11" w:rsidP="00A25635">
            <w:pPr>
              <w:pStyle w:val="ListParagraph"/>
              <w:numPr>
                <w:ilvl w:val="0"/>
                <w:numId w:val="12"/>
              </w:numPr>
              <w:spacing w:after="0" w:line="240" w:lineRule="auto"/>
              <w:rPr>
                <w:sz w:val="20"/>
                <w:szCs w:val="20"/>
              </w:rPr>
            </w:pPr>
            <w:r w:rsidRPr="00A25635">
              <w:rPr>
                <w:sz w:val="20"/>
                <w:szCs w:val="20"/>
              </w:rPr>
              <w:t xml:space="preserve">a parallel system of notification to registrants for a more limited </w:t>
            </w:r>
            <w:proofErr w:type="gramStart"/>
            <w:r w:rsidRPr="00A25635">
              <w:rPr>
                <w:sz w:val="20"/>
                <w:szCs w:val="20"/>
              </w:rPr>
              <w:t>time period</w:t>
            </w:r>
            <w:proofErr w:type="gramEnd"/>
            <w:r w:rsidRPr="00A25635">
              <w:rPr>
                <w:sz w:val="20"/>
                <w:szCs w:val="20"/>
              </w:rPr>
              <w:t xml:space="preserve">, in line with both previous GAC advice and GNSO recommendations. </w:t>
            </w:r>
          </w:p>
          <w:p w14:paraId="434451EB" w14:textId="77777777" w:rsidR="00A25635" w:rsidRDefault="00A25635" w:rsidP="00A25635">
            <w:pPr>
              <w:rPr>
                <w:rFonts w:ascii="Calibri" w:hAnsi="Calibri"/>
                <w:sz w:val="20"/>
                <w:szCs w:val="20"/>
              </w:rPr>
            </w:pPr>
          </w:p>
          <w:p w14:paraId="0470090D" w14:textId="77777777" w:rsidR="000B5B11" w:rsidRPr="000B5B11" w:rsidRDefault="000B5B11" w:rsidP="002C0876">
            <w:pPr>
              <w:pStyle w:val="p1"/>
              <w:pBdr>
                <w:top w:val="nil"/>
                <w:left w:val="nil"/>
                <w:bottom w:val="nil"/>
                <w:right w:val="nil"/>
              </w:pBdr>
              <w:rPr>
                <w:rFonts w:ascii="Calibri" w:hAnsi="Calibri"/>
                <w:sz w:val="20"/>
                <w:szCs w:val="20"/>
              </w:rPr>
            </w:pPr>
            <w:r w:rsidRPr="000B5B11">
              <w:rPr>
                <w:rFonts w:ascii="Calibri" w:hAnsi="Calibri"/>
                <w:sz w:val="20"/>
                <w:szCs w:val="20"/>
              </w:rPr>
              <w:t xml:space="preserve">The GNSO Council understands that the agreed outcome of the facilitated dialogue session at ICANN 58 was that further input from ICANN on the feasibility of permanent notification to IGOs is required; and that a </w:t>
            </w:r>
            <w:r w:rsidRPr="000B5B11">
              <w:rPr>
                <w:rFonts w:ascii="Calibri" w:hAnsi="Calibri"/>
                <w:sz w:val="20"/>
                <w:szCs w:val="20"/>
              </w:rPr>
              <w:lastRenderedPageBreak/>
              <w:t xml:space="preserve">parallel system of notification to registrants for a more limited </w:t>
            </w:r>
            <w:proofErr w:type="gramStart"/>
            <w:r w:rsidRPr="000B5B11">
              <w:rPr>
                <w:rFonts w:ascii="Calibri" w:hAnsi="Calibri"/>
                <w:sz w:val="20"/>
                <w:szCs w:val="20"/>
              </w:rPr>
              <w:t>time period</w:t>
            </w:r>
            <w:proofErr w:type="gramEnd"/>
            <w:r w:rsidRPr="000B5B11">
              <w:rPr>
                <w:rFonts w:ascii="Calibri" w:hAnsi="Calibri"/>
                <w:sz w:val="20"/>
                <w:szCs w:val="20"/>
              </w:rPr>
              <w:t>, is in line with both previous GAC advice and GNSO recommendations.</w:t>
            </w:r>
          </w:p>
          <w:p w14:paraId="5917D8EA" w14:textId="77777777" w:rsidR="000B5B11" w:rsidRPr="000B5B11" w:rsidRDefault="000B5B11" w:rsidP="002C0876">
            <w:pPr>
              <w:pStyle w:val="p1"/>
              <w:pBdr>
                <w:top w:val="nil"/>
                <w:left w:val="nil"/>
                <w:bottom w:val="nil"/>
                <w:right w:val="nil"/>
              </w:pBdr>
              <w:rPr>
                <w:rFonts w:ascii="Calibri" w:hAnsi="Calibri"/>
                <w:sz w:val="20"/>
                <w:szCs w:val="20"/>
              </w:rPr>
            </w:pPr>
          </w:p>
          <w:p w14:paraId="5130F198" w14:textId="2F077153" w:rsidR="000B5B11" w:rsidRDefault="000B5B11" w:rsidP="002C0876">
            <w:pPr>
              <w:pStyle w:val="p1"/>
              <w:pBdr>
                <w:top w:val="nil"/>
                <w:left w:val="nil"/>
                <w:bottom w:val="nil"/>
                <w:right w:val="nil"/>
              </w:pBdr>
              <w:rPr>
                <w:rFonts w:ascii="Calibri" w:hAnsi="Calibri"/>
                <w:sz w:val="20"/>
                <w:szCs w:val="20"/>
              </w:rPr>
            </w:pPr>
            <w:r w:rsidRPr="000B5B11">
              <w:rPr>
                <w:rFonts w:ascii="Calibri" w:hAnsi="Calibri"/>
                <w:sz w:val="20"/>
                <w:szCs w:val="20"/>
              </w:rPr>
              <w:t xml:space="preserve">In relation to the GAC’s advice to the Board to facilitate continued discussions </w:t>
            </w:r>
            <w:proofErr w:type="gramStart"/>
            <w:r w:rsidRPr="000B5B11">
              <w:rPr>
                <w:rFonts w:ascii="Calibri" w:hAnsi="Calibri"/>
                <w:sz w:val="20"/>
                <w:szCs w:val="20"/>
              </w:rPr>
              <w:t>in order to</w:t>
            </w:r>
            <w:proofErr w:type="gramEnd"/>
            <w:r w:rsidRPr="000B5B11">
              <w:rPr>
                <w:rFonts w:ascii="Calibri" w:hAnsi="Calibri"/>
                <w:sz w:val="20"/>
                <w:szCs w:val="20"/>
              </w:rPr>
              <w:t xml:space="preserve"> develop a resolution that will reflect (i) the fact that IGOs are in an objectively unique category of rights holders and (ii) a better understanding of relevant GAC Advice, particularly as it relates to IGO immunities recognized under international law as noted by IGO Legal Counsels. The GNSO Council looks forward to continuing, in good faith, the discussions with the GAC and the Board on appropriate next steps, but is concerned that the GAC advice in this instance seems to suggest a predetermined outcome, which the Council believes is premature. </w:t>
            </w:r>
          </w:p>
          <w:p w14:paraId="4B934588" w14:textId="77777777" w:rsidR="00A25635" w:rsidRPr="000B5B11" w:rsidRDefault="00A25635" w:rsidP="000B5B11">
            <w:pPr>
              <w:rPr>
                <w:rFonts w:ascii="Calibri" w:hAnsi="Calibri"/>
                <w:sz w:val="20"/>
                <w:szCs w:val="20"/>
              </w:rPr>
            </w:pPr>
          </w:p>
          <w:p w14:paraId="4D34B90B" w14:textId="730FA94D" w:rsidR="00337474" w:rsidRPr="00BC785C" w:rsidRDefault="000B5B11" w:rsidP="002C0876">
            <w:pPr>
              <w:pStyle w:val="p1"/>
              <w:pBdr>
                <w:top w:val="nil"/>
                <w:left w:val="nil"/>
                <w:bottom w:val="nil"/>
                <w:right w:val="nil"/>
              </w:pBdr>
              <w:rPr>
                <w:rFonts w:ascii="Calibri" w:hAnsi="Calibri"/>
                <w:sz w:val="20"/>
                <w:szCs w:val="20"/>
              </w:rPr>
            </w:pPr>
            <w:r w:rsidRPr="002C0876">
              <w:rPr>
                <w:rFonts w:ascii="Calibri" w:hAnsi="Calibri"/>
                <w:sz w:val="20"/>
                <w:szCs w:val="20"/>
              </w:rPr>
              <w:lastRenderedPageBreak/>
              <w:t xml:space="preserve">As previously communicated to the Board, the ongoing PDP on IGO-INGO Access to Curative Rights Protection Mechanisms will </w:t>
            </w:r>
            <w:proofErr w:type="gramStart"/>
            <w:r w:rsidRPr="002C0876">
              <w:rPr>
                <w:rFonts w:ascii="Calibri" w:hAnsi="Calibri"/>
                <w:sz w:val="20"/>
                <w:szCs w:val="20"/>
              </w:rPr>
              <w:t>take into account</w:t>
            </w:r>
            <w:proofErr w:type="gramEnd"/>
            <w:r w:rsidRPr="002C0876">
              <w:rPr>
                <w:rFonts w:ascii="Calibri" w:hAnsi="Calibri"/>
                <w:sz w:val="20"/>
                <w:szCs w:val="20"/>
              </w:rPr>
              <w:t xml:space="preserve"> the GAC’s comments on the Initial Report. The GNSO Council notes that the Working Group is actively reviewing all comments received on its Initial Report, including the comments submitted by the GAC and </w:t>
            </w:r>
            <w:proofErr w:type="gramStart"/>
            <w:r w:rsidRPr="002C0876">
              <w:rPr>
                <w:rFonts w:ascii="Calibri" w:hAnsi="Calibri"/>
                <w:sz w:val="20"/>
                <w:szCs w:val="20"/>
              </w:rPr>
              <w:t>a number of</w:t>
            </w:r>
            <w:proofErr w:type="gramEnd"/>
            <w:r w:rsidRPr="002C0876">
              <w:rPr>
                <w:rFonts w:ascii="Calibri" w:hAnsi="Calibri"/>
                <w:sz w:val="20"/>
                <w:szCs w:val="20"/>
              </w:rPr>
              <w:t xml:space="preserve"> IGOs.</w:t>
            </w:r>
          </w:p>
        </w:tc>
      </w:tr>
      <w:tr w:rsidR="00D559F3" w:rsidRPr="00BC785C" w14:paraId="3CD019BB" w14:textId="77777777" w:rsidTr="00A25635">
        <w:trPr>
          <w:trHeight w:val="3168"/>
        </w:trPr>
        <w:tc>
          <w:tcPr>
            <w:tcW w:w="1557" w:type="dxa"/>
            <w:shd w:val="clear" w:color="auto" w:fill="auto"/>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shd w:val="clear" w:color="auto" w:fill="auto"/>
            <w:tcMar>
              <w:left w:w="75" w:type="dxa"/>
            </w:tcMar>
          </w:tcPr>
          <w:p w14:paraId="3AFB1DC6" w14:textId="77777777" w:rsidR="002C0876" w:rsidRDefault="00BC785C" w:rsidP="002C0876">
            <w:pPr>
              <w:pStyle w:val="NormalWeb"/>
              <w:spacing w:before="0" w:beforeAutospacing="0" w:after="0" w:afterAutospacing="0"/>
              <w:rPr>
                <w:rFonts w:ascii="Calibri" w:hAnsi="Calibri"/>
              </w:rPr>
            </w:pPr>
            <w:r w:rsidRPr="002C0876">
              <w:rPr>
                <w:rFonts w:ascii="Calibri" w:hAnsi="Calibri"/>
              </w:rPr>
              <w:t>a. The GAC advises the ICANN Board to:</w:t>
            </w:r>
          </w:p>
          <w:p w14:paraId="7CC285AA" w14:textId="4EB20062" w:rsidR="00BC785C" w:rsidRPr="00A25635" w:rsidRDefault="00BC785C" w:rsidP="002C0876">
            <w:pPr>
              <w:pStyle w:val="NormalWeb"/>
              <w:spacing w:before="0" w:beforeAutospacing="0" w:after="0" w:afterAutospacing="0"/>
              <w:rPr>
                <w:rFonts w:ascii="Calibri" w:hAnsi="Calibri"/>
                <w:iCs/>
              </w:rPr>
            </w:pPr>
            <w:r w:rsidRPr="002C0876">
              <w:rPr>
                <w:rFonts w:ascii="Calibri" w:hAnsi="Calibri"/>
              </w:rPr>
              <w:t>I. provide written responses to the questions listed in the Follow-up Scorecard</w:t>
            </w:r>
            <w:r w:rsidRPr="00A25635">
              <w:rPr>
                <w:rFonts w:ascii="Calibri" w:hAnsi="Calibri"/>
                <w:iCs/>
              </w:rPr>
              <w:t xml:space="preserve"> attached to this Communique, no later than 5 May 2017 for appropriate</w:t>
            </w:r>
          </w:p>
          <w:p w14:paraId="21DF684A" w14:textId="338F4D02" w:rsidR="00BC785C" w:rsidRPr="00A25635" w:rsidRDefault="00BC785C" w:rsidP="00A25635">
            <w:pPr>
              <w:pBdr>
                <w:top w:val="none" w:sz="0" w:space="0" w:color="auto"/>
                <w:left w:val="none" w:sz="0" w:space="0" w:color="auto"/>
                <w:bottom w:val="none" w:sz="0" w:space="0" w:color="auto"/>
                <w:right w:val="none" w:sz="0" w:space="0" w:color="auto"/>
              </w:pBdr>
              <w:rPr>
                <w:rFonts w:ascii="Calibri" w:hAnsi="Calibri"/>
                <w:iCs/>
                <w:sz w:val="20"/>
                <w:szCs w:val="20"/>
              </w:rPr>
            </w:pPr>
            <w:r w:rsidRPr="00A25635">
              <w:rPr>
                <w:rFonts w:ascii="Calibri" w:hAnsi="Calibri"/>
                <w:iCs/>
                <w:sz w:val="20"/>
                <w:szCs w:val="20"/>
              </w:rPr>
              <w:t xml:space="preserve">consideration by the GAC before the ICANN 59 meeting in Johannesburg, </w:t>
            </w:r>
            <w:proofErr w:type="gramStart"/>
            <w:r w:rsidR="00520D82" w:rsidRPr="00A25635">
              <w:rPr>
                <w:rFonts w:ascii="Calibri" w:hAnsi="Calibri"/>
                <w:iCs/>
                <w:sz w:val="20"/>
                <w:szCs w:val="20"/>
              </w:rPr>
              <w:t xml:space="preserve">taking into </w:t>
            </w:r>
            <w:r w:rsidRPr="00A25635">
              <w:rPr>
                <w:rFonts w:ascii="Calibri" w:hAnsi="Calibri"/>
                <w:iCs/>
                <w:sz w:val="20"/>
                <w:szCs w:val="20"/>
              </w:rPr>
              <w:t>account</w:t>
            </w:r>
            <w:proofErr w:type="gramEnd"/>
            <w:r w:rsidRPr="00A25635">
              <w:rPr>
                <w:rFonts w:ascii="Calibri" w:hAnsi="Calibri"/>
                <w:iCs/>
                <w:sz w:val="20"/>
                <w:szCs w:val="20"/>
              </w:rPr>
              <w:t xml:space="preserve"> that the ICANN President and CEO will act as contact point for the GAC in this matter.</w:t>
            </w:r>
          </w:p>
          <w:p w14:paraId="600886C4" w14:textId="77777777" w:rsidR="00BC785C" w:rsidRPr="00A25635" w:rsidRDefault="00BC785C" w:rsidP="00A25635">
            <w:pPr>
              <w:pBdr>
                <w:top w:val="none" w:sz="0" w:space="0" w:color="auto"/>
                <w:left w:val="none" w:sz="0" w:space="0" w:color="auto"/>
                <w:bottom w:val="none" w:sz="0" w:space="0" w:color="auto"/>
                <w:right w:val="none" w:sz="0" w:space="0" w:color="auto"/>
              </w:pBdr>
              <w:rPr>
                <w:rFonts w:ascii="Calibri" w:hAnsi="Calibri"/>
                <w:iCs/>
                <w:sz w:val="20"/>
                <w:szCs w:val="20"/>
              </w:rPr>
            </w:pPr>
          </w:p>
          <w:p w14:paraId="12B0B3EE"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RATIONALE</w:t>
            </w:r>
          </w:p>
          <w:p w14:paraId="1FF36B28"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The GAC is seeking to assess the effectiveness of its Advice to the ICANN Board.</w:t>
            </w:r>
          </w:p>
          <w:p w14:paraId="5D58523C" w14:textId="0D00A73F"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 xml:space="preserve">Annex 1 of the GAC Hyderabad Communiqué listed </w:t>
            </w:r>
            <w:proofErr w:type="gramStart"/>
            <w:r w:rsidRPr="00A25635">
              <w:rPr>
                <w:rFonts w:ascii="Calibri" w:hAnsi="Calibri"/>
                <w:iCs/>
                <w:sz w:val="20"/>
                <w:szCs w:val="20"/>
              </w:rPr>
              <w:t>a number of</w:t>
            </w:r>
            <w:proofErr w:type="gramEnd"/>
            <w:r w:rsidRPr="00A25635">
              <w:rPr>
                <w:rFonts w:ascii="Calibri" w:hAnsi="Calibri"/>
                <w:iCs/>
                <w:sz w:val="20"/>
                <w:szCs w:val="20"/>
              </w:rPr>
              <w:t xml:space="preserve"> questions to conduct such assessment in relation to Advice implemented as part of the 2013 Registrar Accreditation</w:t>
            </w:r>
          </w:p>
          <w:p w14:paraId="2057B51F" w14:textId="77777777"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Agreement and the New gTLD Registry Agreement.</w:t>
            </w:r>
          </w:p>
          <w:p w14:paraId="3418586E" w14:textId="04B39B51" w:rsidR="00BC785C"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The GAC is also interested in assessing the contribution of the SSR and Contractual Compliance departments of ICANN to the prevention and mitigation of domain name abuse.</w:t>
            </w:r>
          </w:p>
          <w:p w14:paraId="58D2706F" w14:textId="46B1C505" w:rsidR="00D559F3" w:rsidRPr="00A25635" w:rsidRDefault="00BC785C" w:rsidP="00A25635">
            <w:pPr>
              <w:pBdr>
                <w:top w:val="none" w:sz="0" w:space="0" w:color="auto"/>
                <w:left w:val="none" w:sz="0" w:space="0" w:color="auto"/>
                <w:bottom w:val="none" w:sz="0" w:space="0" w:color="auto"/>
                <w:right w:val="none" w:sz="0" w:space="0" w:color="auto"/>
              </w:pBdr>
              <w:shd w:val="clear" w:color="auto" w:fill="auto"/>
              <w:rPr>
                <w:rFonts w:ascii="Calibri" w:hAnsi="Calibri"/>
                <w:iCs/>
                <w:sz w:val="20"/>
                <w:szCs w:val="20"/>
              </w:rPr>
            </w:pPr>
            <w:r w:rsidRPr="00A25635">
              <w:rPr>
                <w:rFonts w:ascii="Calibri" w:hAnsi="Calibri"/>
                <w:iCs/>
                <w:sz w:val="20"/>
                <w:szCs w:val="20"/>
              </w:rPr>
              <w:t>While ICANN responded to Annex 1 of the GAC Hyderabad Communiqué, the information provided was not sufficient to conduct the necessary assessments.</w:t>
            </w:r>
          </w:p>
        </w:tc>
        <w:tc>
          <w:tcPr>
            <w:tcW w:w="2551" w:type="dxa"/>
            <w:shd w:val="clear" w:color="auto" w:fill="auto"/>
            <w:tcMar>
              <w:left w:w="75" w:type="dxa"/>
            </w:tcMar>
          </w:tcPr>
          <w:p w14:paraId="1C30475D" w14:textId="12FE9F10" w:rsidR="00D559F3" w:rsidRPr="00A25635" w:rsidRDefault="00C86057" w:rsidP="002C0876">
            <w:pPr>
              <w:pStyle w:val="p1"/>
              <w:rPr>
                <w:rFonts w:ascii="Calibri" w:hAnsi="Calibri"/>
                <w:iCs/>
                <w:sz w:val="20"/>
                <w:szCs w:val="20"/>
              </w:rPr>
            </w:pPr>
            <w:r w:rsidRPr="002C0876">
              <w:rPr>
                <w:rFonts w:ascii="Calibri" w:hAnsi="Calibri"/>
                <w:sz w:val="20"/>
                <w:szCs w:val="20"/>
              </w:rPr>
              <w:lastRenderedPageBreak/>
              <w:t>Yes</w:t>
            </w:r>
          </w:p>
        </w:tc>
        <w:tc>
          <w:tcPr>
            <w:tcW w:w="2864" w:type="dxa"/>
            <w:shd w:val="clear" w:color="auto" w:fill="auto"/>
            <w:tcMar>
              <w:left w:w="75" w:type="dxa"/>
            </w:tcMar>
          </w:tcPr>
          <w:p w14:paraId="3F18ECD9" w14:textId="4D28DA31" w:rsidR="00D559F3" w:rsidRPr="00C86057" w:rsidRDefault="00334F51" w:rsidP="002C0876">
            <w:pPr>
              <w:pStyle w:val="p1"/>
              <w:pBdr>
                <w:top w:val="nil"/>
                <w:left w:val="nil"/>
                <w:bottom w:val="nil"/>
                <w:right w:val="nil"/>
              </w:pBdr>
              <w:rPr>
                <w:rFonts w:ascii="Calibri" w:hAnsi="Calibri"/>
                <w:iCs/>
                <w:sz w:val="20"/>
                <w:szCs w:val="20"/>
              </w:rPr>
            </w:pPr>
            <w:r w:rsidRPr="00BC785C">
              <w:rPr>
                <w:rFonts w:ascii="Calibri" w:hAnsi="Calibri"/>
                <w:i/>
                <w:iCs/>
                <w:sz w:val="20"/>
                <w:szCs w:val="20"/>
              </w:rPr>
              <w:t xml:space="preserve"> </w:t>
            </w:r>
            <w:r w:rsidR="00C86057" w:rsidRPr="006F2D21">
              <w:rPr>
                <w:rFonts w:ascii="Calibri" w:hAnsi="Calibri"/>
                <w:iCs/>
                <w:sz w:val="20"/>
                <w:szCs w:val="20"/>
              </w:rPr>
              <w:t>Yes</w:t>
            </w:r>
          </w:p>
        </w:tc>
        <w:tc>
          <w:tcPr>
            <w:tcW w:w="3230" w:type="dxa"/>
            <w:shd w:val="clear" w:color="auto" w:fill="auto"/>
            <w:tcMar>
              <w:left w:w="75" w:type="dxa"/>
            </w:tcMar>
          </w:tcPr>
          <w:p w14:paraId="05952F7B" w14:textId="6ADD9497" w:rsidR="0072261A" w:rsidRPr="00BC785C" w:rsidRDefault="00A321AE" w:rsidP="0072261A">
            <w:pPr>
              <w:pStyle w:val="NormalWeb"/>
              <w:rPr>
                <w:rFonts w:ascii="Calibri" w:hAnsi="Calibri"/>
              </w:rPr>
            </w:pPr>
            <w:r>
              <w:rPr>
                <w:rFonts w:ascii="Calibri" w:hAnsi="Calibri"/>
              </w:rPr>
              <w:t xml:space="preserve">The GNSO Council refers to its input to the Board regarding the GAC’s Hyderabad Communique on this topic, and reiterates the concerns it stated in that response: </w:t>
            </w:r>
            <w:hyperlink r:id="rId8" w:history="1">
              <w:r w:rsidR="00C86057" w:rsidRPr="00E0696D">
                <w:rPr>
                  <w:rStyle w:val="Hyperlink"/>
                  <w:rFonts w:ascii="Calibri" w:hAnsi="Calibri"/>
                </w:rPr>
                <w:t>https://gnso.icann.org/en/drafts/review-gac-communique-15dec16-en.pdf</w:t>
              </w:r>
            </w:hyperlink>
            <w:r>
              <w:rPr>
                <w:rFonts w:ascii="Calibri" w:hAnsi="Calibri"/>
              </w:rPr>
              <w:t>.</w:t>
            </w:r>
            <w:r w:rsidR="00C86057">
              <w:rPr>
                <w:rFonts w:ascii="Calibri" w:hAnsi="Calibri"/>
              </w:rPr>
              <w:t xml:space="preserve"> </w:t>
            </w:r>
            <w:r>
              <w:rPr>
                <w:rFonts w:ascii="Calibri" w:hAnsi="Calibri"/>
              </w:rPr>
              <w:t xml:space="preserve"> </w:t>
            </w:r>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A25635">
        <w:trPr>
          <w:trHeight w:val="1062"/>
        </w:trPr>
        <w:tc>
          <w:tcPr>
            <w:tcW w:w="1557" w:type="dxa"/>
            <w:shd w:val="clear" w:color="auto" w:fill="auto"/>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shd w:val="clear" w:color="auto" w:fill="auto"/>
            <w:tcMar>
              <w:left w:w="75" w:type="dxa"/>
            </w:tcMar>
          </w:tcPr>
          <w:p w14:paraId="0838624B" w14:textId="1CB8F18C" w:rsidR="00BC785C" w:rsidRPr="00BC785C" w:rsidRDefault="00BC785C" w:rsidP="00BC785C">
            <w:pPr>
              <w:pStyle w:val="p1"/>
              <w:rPr>
                <w:rFonts w:ascii="Calibri" w:hAnsi="Calibri"/>
                <w:sz w:val="20"/>
                <w:szCs w:val="20"/>
              </w:rPr>
            </w:pPr>
            <w:proofErr w:type="gramStart"/>
            <w:r w:rsidRPr="00BC785C">
              <w:rPr>
                <w:rFonts w:ascii="Calibri" w:hAnsi="Calibri"/>
                <w:sz w:val="20"/>
                <w:szCs w:val="20"/>
              </w:rPr>
              <w:t>In light of</w:t>
            </w:r>
            <w:proofErr w:type="gramEnd"/>
            <w:r w:rsidRPr="00BC785C">
              <w:rPr>
                <w:rFonts w:ascii="Calibri" w:hAnsi="Calibri"/>
                <w:sz w:val="20"/>
                <w:szCs w:val="20"/>
              </w:rPr>
              <w:t xml:space="preserve"> the discussions with the ICANN Board in Copenhagen on the Board Resolution of 8 November 2016 and its implementation of 13 December 2016 regarding two-letter 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 xml:space="preserve">I. </w:t>
            </w:r>
            <w:proofErr w:type="gramStart"/>
            <w:r w:rsidRPr="00BC785C">
              <w:rPr>
                <w:rFonts w:ascii="Calibri" w:hAnsi="Calibri"/>
                <w:sz w:val="20"/>
                <w:szCs w:val="20"/>
              </w:rPr>
              <w:t>Take into account</w:t>
            </w:r>
            <w:proofErr w:type="gramEnd"/>
            <w:r w:rsidRPr="00BC785C">
              <w:rPr>
                <w:rFonts w:ascii="Calibri" w:hAnsi="Calibri"/>
                <w:sz w:val="20"/>
                <w:szCs w:val="20"/>
              </w:rPr>
              <w:t xml:space="preserve"> the serious concerns expressed by some 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 xml:space="preserve">IV. Provide clarification of the decision-making process and of the rationale for the November </w:t>
            </w:r>
            <w:r w:rsidRPr="00BC785C">
              <w:rPr>
                <w:rFonts w:ascii="Calibri" w:hAnsi="Calibri"/>
                <w:sz w:val="20"/>
                <w:szCs w:val="20"/>
              </w:rPr>
              <w:lastRenderedPageBreak/>
              <w:t xml:space="preserve">2016 resolution, particularly </w:t>
            </w:r>
            <w:proofErr w:type="gramStart"/>
            <w:r w:rsidRPr="00BC785C">
              <w:rPr>
                <w:rFonts w:ascii="Calibri" w:hAnsi="Calibri"/>
                <w:sz w:val="20"/>
                <w:szCs w:val="20"/>
              </w:rPr>
              <w:t>in regard to</w:t>
            </w:r>
            <w:proofErr w:type="gramEnd"/>
            <w:r w:rsidRPr="00BC785C">
              <w:rPr>
                <w:rFonts w:ascii="Calibri" w:hAnsi="Calibri"/>
                <w:sz w:val="20"/>
                <w:szCs w:val="20"/>
              </w:rPr>
              <w:t xml:space="preserve">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t xml:space="preserve">The GAC noted serious concerns expressed by some governments about the consequences introduced by the changes created by the 8 November 2016 Resolution. </w:t>
            </w:r>
            <w:proofErr w:type="gramStart"/>
            <w:r w:rsidRPr="00BC785C">
              <w:rPr>
                <w:rFonts w:ascii="Calibri" w:hAnsi="Calibri"/>
                <w:sz w:val="20"/>
                <w:szCs w:val="20"/>
              </w:rPr>
              <w:t>In particular,</w:t>
            </w:r>
            <w:r w:rsidR="00520D82">
              <w:rPr>
                <w:rFonts w:ascii="Calibri" w:hAnsi="Calibri"/>
                <w:sz w:val="20"/>
                <w:szCs w:val="20"/>
              </w:rPr>
              <w:t xml:space="preserve"> </w:t>
            </w:r>
            <w:r w:rsidRPr="00BC785C">
              <w:rPr>
                <w:rFonts w:ascii="Calibri" w:hAnsi="Calibri"/>
                <w:sz w:val="20"/>
                <w:szCs w:val="20"/>
              </w:rPr>
              <w:t>according</w:t>
            </w:r>
            <w:proofErr w:type="gramEnd"/>
            <w:r w:rsidRPr="00BC785C">
              <w:rPr>
                <w:rFonts w:ascii="Calibri" w:hAnsi="Calibri"/>
                <w:sz w:val="20"/>
                <w:szCs w:val="20"/>
              </w:rPr>
              <w:t xml:space="preserve">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shd w:val="clear" w:color="auto" w:fill="auto"/>
            <w:tcMar>
              <w:left w:w="75" w:type="dxa"/>
            </w:tcMar>
          </w:tcPr>
          <w:p w14:paraId="75733ABF" w14:textId="3347582D" w:rsidR="00D559F3" w:rsidRPr="00BC785C" w:rsidRDefault="00C86057" w:rsidP="005B6C2C">
            <w:pPr>
              <w:rPr>
                <w:rFonts w:ascii="Calibri" w:hAnsi="Calibri"/>
                <w:sz w:val="20"/>
                <w:szCs w:val="20"/>
              </w:rPr>
            </w:pPr>
            <w:r>
              <w:rPr>
                <w:rFonts w:ascii="Calibri" w:hAnsi="Calibri"/>
                <w:sz w:val="20"/>
                <w:szCs w:val="20"/>
              </w:rPr>
              <w:lastRenderedPageBreak/>
              <w:t>Yes</w:t>
            </w:r>
          </w:p>
        </w:tc>
        <w:tc>
          <w:tcPr>
            <w:tcW w:w="2864" w:type="dxa"/>
            <w:shd w:val="clear" w:color="auto" w:fill="auto"/>
            <w:tcMar>
              <w:left w:w="75" w:type="dxa"/>
            </w:tcMar>
          </w:tcPr>
          <w:p w14:paraId="368D9D49" w14:textId="530E9009" w:rsidR="00D559F3" w:rsidRPr="00BC785C" w:rsidRDefault="00C86057" w:rsidP="00D92785">
            <w:pPr>
              <w:rPr>
                <w:rFonts w:ascii="Calibri" w:hAnsi="Calibri"/>
                <w:sz w:val="20"/>
                <w:szCs w:val="20"/>
              </w:rPr>
            </w:pPr>
            <w:r>
              <w:rPr>
                <w:rFonts w:ascii="Calibri" w:hAnsi="Calibri"/>
                <w:sz w:val="20"/>
                <w:szCs w:val="20"/>
              </w:rPr>
              <w:t>Yes</w:t>
            </w:r>
          </w:p>
        </w:tc>
        <w:tc>
          <w:tcPr>
            <w:tcW w:w="3230" w:type="dxa"/>
            <w:shd w:val="clear" w:color="auto" w:fill="auto"/>
            <w:tcMar>
              <w:left w:w="75" w:type="dxa"/>
            </w:tcMar>
          </w:tcPr>
          <w:p w14:paraId="5331FD5D" w14:textId="39FAAC61" w:rsidR="00845077" w:rsidRDefault="00845077" w:rsidP="00845077">
            <w:pPr>
              <w:pStyle w:val="NormalWeb"/>
              <w:rPr>
                <w:rFonts w:ascii="Calibri" w:hAnsi="Calibri"/>
                <w:lang w:val="en-US"/>
              </w:rPr>
            </w:pPr>
            <w:r>
              <w:rPr>
                <w:rFonts w:ascii="Calibri" w:hAnsi="Calibri"/>
                <w:lang w:val="en-US"/>
              </w:rPr>
              <w:t xml:space="preserve">There should be no opportunity for this Advice to cause the Board to re-open their decision on two letter codes at the second level, as contained in the Board’s resolution </w:t>
            </w:r>
            <w:r w:rsidR="000B5B11">
              <w:rPr>
                <w:rFonts w:ascii="Calibri" w:hAnsi="Calibri"/>
                <w:lang w:val="en-US"/>
              </w:rPr>
              <w:t>of 8 November 2016</w:t>
            </w:r>
            <w:r>
              <w:rPr>
                <w:rFonts w:ascii="Calibri" w:hAnsi="Calibri"/>
                <w:lang w:val="en-US"/>
              </w:rPr>
              <w:t xml:space="preserve"> and subsequent implementation, which came at the end of a long process that included community consultation and input. </w:t>
            </w:r>
          </w:p>
          <w:p w14:paraId="3FD1BE50" w14:textId="2F09110E" w:rsidR="00845077" w:rsidRPr="005010DE" w:rsidRDefault="00845077" w:rsidP="00845077">
            <w:pPr>
              <w:pStyle w:val="NormalWeb"/>
              <w:rPr>
                <w:rFonts w:ascii="Calibri" w:hAnsi="Calibri"/>
                <w:lang w:val="en-US"/>
              </w:rPr>
            </w:pPr>
            <w:r>
              <w:rPr>
                <w:rFonts w:ascii="Calibri" w:hAnsi="Calibri"/>
                <w:lang w:val="en-US"/>
              </w:rPr>
              <w:t>The Council is also concerned that t</w:t>
            </w:r>
            <w:r w:rsidRPr="005010DE">
              <w:rPr>
                <w:rFonts w:ascii="Calibri" w:hAnsi="Calibri"/>
                <w:lang w:val="en-US"/>
              </w:rPr>
              <w:t xml:space="preserve">he Consensus Advice contained in </w:t>
            </w:r>
            <w:r w:rsidR="00C940C0">
              <w:rPr>
                <w:rFonts w:ascii="Calibri" w:hAnsi="Calibri"/>
                <w:lang w:val="en-US"/>
              </w:rPr>
              <w:t>Section VI. 4.</w:t>
            </w:r>
            <w:r>
              <w:rPr>
                <w:rFonts w:ascii="Calibri" w:hAnsi="Calibri"/>
                <w:lang w:val="en-US"/>
              </w:rPr>
              <w:t xml:space="preserve"> of </w:t>
            </w:r>
            <w:r w:rsidRPr="005010DE">
              <w:rPr>
                <w:rFonts w:ascii="Calibri" w:hAnsi="Calibri"/>
                <w:lang w:val="en-US"/>
              </w:rPr>
              <w:t xml:space="preserve">the Communique </w:t>
            </w:r>
            <w:r>
              <w:rPr>
                <w:rFonts w:ascii="Calibri" w:hAnsi="Calibri"/>
                <w:lang w:val="en-US"/>
              </w:rPr>
              <w:t xml:space="preserve">that </w:t>
            </w:r>
            <w:r w:rsidRPr="005010DE">
              <w:rPr>
                <w:rFonts w:ascii="Calibri" w:hAnsi="Calibri"/>
                <w:lang w:val="en-US"/>
              </w:rPr>
              <w:t>essentially requires the ICANN Board to negotiate directly</w:t>
            </w:r>
            <w:r>
              <w:rPr>
                <w:rFonts w:ascii="Calibri" w:hAnsi="Calibri"/>
                <w:lang w:val="en-US"/>
              </w:rPr>
              <w:t>, and reach resolution,</w:t>
            </w:r>
            <w:r w:rsidRPr="005010DE">
              <w:rPr>
                <w:rFonts w:ascii="Calibri" w:hAnsi="Calibri"/>
                <w:lang w:val="en-US"/>
              </w:rPr>
              <w:t xml:space="preserve"> with individual </w:t>
            </w:r>
            <w:r>
              <w:rPr>
                <w:rFonts w:ascii="Calibri" w:hAnsi="Calibri"/>
                <w:lang w:val="en-US"/>
              </w:rPr>
              <w:t>governments</w:t>
            </w:r>
            <w:r w:rsidRPr="005010DE">
              <w:rPr>
                <w:rFonts w:ascii="Calibri" w:hAnsi="Calibri"/>
                <w:lang w:val="en-US"/>
              </w:rPr>
              <w:t xml:space="preserve"> on two letter domain names at the second level </w:t>
            </w:r>
            <w:r>
              <w:rPr>
                <w:rFonts w:ascii="Calibri" w:hAnsi="Calibri"/>
                <w:lang w:val="en-US"/>
              </w:rPr>
              <w:t xml:space="preserve">is, in our view, inconsistent with </w:t>
            </w:r>
            <w:r w:rsidRPr="005010DE">
              <w:rPr>
                <w:rFonts w:ascii="Calibri" w:hAnsi="Calibri"/>
                <w:lang w:val="en-US"/>
              </w:rPr>
              <w:t xml:space="preserve">the Consensus Advice mechanism found in the </w:t>
            </w:r>
            <w:r>
              <w:rPr>
                <w:rFonts w:ascii="Calibri" w:hAnsi="Calibri"/>
                <w:lang w:val="en-US"/>
              </w:rPr>
              <w:t xml:space="preserve">ICANN </w:t>
            </w:r>
            <w:r w:rsidRPr="005010DE">
              <w:rPr>
                <w:rFonts w:ascii="Calibri" w:hAnsi="Calibri"/>
                <w:lang w:val="en-US"/>
              </w:rPr>
              <w:t>bylaws</w:t>
            </w:r>
            <w:r>
              <w:rPr>
                <w:rFonts w:ascii="Calibri" w:hAnsi="Calibri"/>
                <w:lang w:val="en-US"/>
              </w:rPr>
              <w:t xml:space="preserve"> and as such </w:t>
            </w:r>
            <w:r w:rsidRPr="005010DE">
              <w:rPr>
                <w:rFonts w:ascii="Calibri" w:hAnsi="Calibri"/>
                <w:lang w:val="en-US"/>
              </w:rPr>
              <w:t>should not be c</w:t>
            </w:r>
            <w:r w:rsidR="007C3B2A">
              <w:rPr>
                <w:rFonts w:ascii="Calibri" w:hAnsi="Calibri"/>
                <w:lang w:val="en-US"/>
              </w:rPr>
              <w:t xml:space="preserve">onsidered “Consensus Advice”.  </w:t>
            </w:r>
            <w:r w:rsidRPr="005010DE">
              <w:rPr>
                <w:rFonts w:ascii="Calibri" w:hAnsi="Calibri"/>
                <w:lang w:val="en-US"/>
              </w:rPr>
              <w:t xml:space="preserve">The GNSO </w:t>
            </w:r>
            <w:r>
              <w:rPr>
                <w:rFonts w:ascii="Calibri" w:hAnsi="Calibri"/>
                <w:lang w:val="en-US"/>
              </w:rPr>
              <w:t xml:space="preserve">Council </w:t>
            </w:r>
            <w:r w:rsidRPr="005010DE">
              <w:rPr>
                <w:rFonts w:ascii="Calibri" w:hAnsi="Calibri"/>
                <w:lang w:val="en-US"/>
              </w:rPr>
              <w:t>regard</w:t>
            </w:r>
            <w:r>
              <w:rPr>
                <w:rFonts w:ascii="Calibri" w:hAnsi="Calibri"/>
                <w:lang w:val="en-US"/>
              </w:rPr>
              <w:t>s</w:t>
            </w:r>
            <w:r w:rsidRPr="005010DE">
              <w:rPr>
                <w:rFonts w:ascii="Calibri" w:hAnsi="Calibri"/>
                <w:lang w:val="en-US"/>
              </w:rPr>
              <w:t xml:space="preserve"> </w:t>
            </w:r>
            <w:r>
              <w:rPr>
                <w:rFonts w:ascii="Calibri" w:hAnsi="Calibri"/>
                <w:lang w:val="en-US"/>
              </w:rPr>
              <w:t>this</w:t>
            </w:r>
            <w:r w:rsidRPr="005010DE">
              <w:rPr>
                <w:rFonts w:ascii="Calibri" w:hAnsi="Calibri"/>
                <w:lang w:val="en-US"/>
              </w:rPr>
              <w:t xml:space="preserve"> as an unhelpful attempt to </w:t>
            </w:r>
            <w:r>
              <w:rPr>
                <w:rFonts w:ascii="Calibri" w:hAnsi="Calibri"/>
                <w:lang w:val="en-US"/>
              </w:rPr>
              <w:t>sidestep</w:t>
            </w:r>
            <w:r w:rsidRPr="005010DE">
              <w:rPr>
                <w:rFonts w:ascii="Calibri" w:hAnsi="Calibri"/>
                <w:lang w:val="en-US"/>
              </w:rPr>
              <w:t xml:space="preserve"> </w:t>
            </w:r>
            <w:r>
              <w:rPr>
                <w:rFonts w:ascii="Calibri" w:hAnsi="Calibri"/>
                <w:lang w:val="en-US"/>
              </w:rPr>
              <w:t>requirements contained in the B</w:t>
            </w:r>
            <w:r w:rsidRPr="005010DE">
              <w:rPr>
                <w:rFonts w:ascii="Calibri" w:hAnsi="Calibri"/>
                <w:lang w:val="en-US"/>
              </w:rPr>
              <w:t xml:space="preserve">ylaws to </w:t>
            </w:r>
            <w:r>
              <w:rPr>
                <w:rFonts w:ascii="Calibri" w:hAnsi="Calibri"/>
                <w:lang w:val="en-US"/>
              </w:rPr>
              <w:t>delegate</w:t>
            </w:r>
            <w:r w:rsidRPr="005010DE">
              <w:rPr>
                <w:rFonts w:ascii="Calibri" w:hAnsi="Calibri"/>
                <w:lang w:val="en-US"/>
              </w:rPr>
              <w:t xml:space="preserve"> </w:t>
            </w:r>
            <w:r>
              <w:rPr>
                <w:rFonts w:ascii="Calibri" w:hAnsi="Calibri"/>
                <w:lang w:val="en-US"/>
              </w:rPr>
              <w:t>GAC-</w:t>
            </w:r>
            <w:r>
              <w:rPr>
                <w:rFonts w:ascii="Calibri" w:hAnsi="Calibri"/>
                <w:lang w:val="en-US"/>
              </w:rPr>
              <w:lastRenderedPageBreak/>
              <w:t xml:space="preserve">equivalent consensus advice to individual GAC members, rather than the </w:t>
            </w:r>
            <w:proofErr w:type="gramStart"/>
            <w:r>
              <w:rPr>
                <w:rFonts w:ascii="Calibri" w:hAnsi="Calibri"/>
                <w:lang w:val="en-US"/>
              </w:rPr>
              <w:t>GAC as a whole</w:t>
            </w:r>
            <w:proofErr w:type="gramEnd"/>
            <w:r>
              <w:rPr>
                <w:rFonts w:ascii="Calibri" w:hAnsi="Calibri"/>
                <w:lang w:val="en-US"/>
              </w:rPr>
              <w:t xml:space="preserve">.  We note that this was discussed extensively during the CCWG-ACCT </w:t>
            </w:r>
            <w:r w:rsidRPr="005010DE">
              <w:rPr>
                <w:rFonts w:ascii="Calibri" w:hAnsi="Calibri"/>
                <w:lang w:val="en-US"/>
              </w:rPr>
              <w:t>Workstream 1 process</w:t>
            </w:r>
            <w:r>
              <w:rPr>
                <w:rFonts w:ascii="Calibri" w:hAnsi="Calibri"/>
                <w:lang w:val="en-US"/>
              </w:rPr>
              <w:t xml:space="preserve"> and was ultimately rejected.</w:t>
            </w:r>
            <w:r w:rsidRPr="005010DE">
              <w:rPr>
                <w:rFonts w:ascii="Calibri" w:hAnsi="Calibri"/>
                <w:lang w:val="en-US"/>
              </w:rPr>
              <w:t xml:space="preserve">  </w:t>
            </w:r>
            <w:r>
              <w:rPr>
                <w:rFonts w:ascii="Calibri" w:hAnsi="Calibri"/>
                <w:lang w:val="en-US"/>
              </w:rPr>
              <w:t>B</w:t>
            </w:r>
            <w:r w:rsidRPr="005010DE">
              <w:rPr>
                <w:rFonts w:ascii="Calibri" w:hAnsi="Calibri"/>
                <w:lang w:val="en-US"/>
              </w:rPr>
              <w:t xml:space="preserve">ilateralism </w:t>
            </w:r>
            <w:r>
              <w:rPr>
                <w:rFonts w:ascii="Calibri" w:hAnsi="Calibri"/>
                <w:lang w:val="en-US"/>
              </w:rPr>
              <w:t xml:space="preserve">between the Board and individual GAC members also has the potential to </w:t>
            </w:r>
            <w:r w:rsidRPr="005010DE">
              <w:rPr>
                <w:rFonts w:ascii="Calibri" w:hAnsi="Calibri"/>
                <w:lang w:val="en-US"/>
              </w:rPr>
              <w:t xml:space="preserve">undermine the </w:t>
            </w:r>
            <w:r>
              <w:rPr>
                <w:rFonts w:ascii="Calibri" w:hAnsi="Calibri"/>
                <w:lang w:val="en-US"/>
              </w:rPr>
              <w:t>utility</w:t>
            </w:r>
            <w:r w:rsidRPr="005010DE">
              <w:rPr>
                <w:rFonts w:ascii="Calibri" w:hAnsi="Calibri"/>
                <w:lang w:val="en-US"/>
              </w:rPr>
              <w:t xml:space="preserve"> of the GAC itself</w:t>
            </w:r>
            <w:r>
              <w:rPr>
                <w:rFonts w:ascii="Calibri" w:hAnsi="Calibri"/>
                <w:lang w:val="en-US"/>
              </w:rPr>
              <w:t xml:space="preserve"> and</w:t>
            </w:r>
            <w:r w:rsidRPr="005010DE">
              <w:rPr>
                <w:rFonts w:ascii="Calibri" w:hAnsi="Calibri"/>
                <w:lang w:val="en-US"/>
              </w:rPr>
              <w:t xml:space="preserve"> is </w:t>
            </w:r>
            <w:r>
              <w:rPr>
                <w:rFonts w:ascii="Calibri" w:hAnsi="Calibri"/>
                <w:lang w:val="en-US"/>
              </w:rPr>
              <w:t>also in</w:t>
            </w:r>
            <w:r w:rsidRPr="005010DE">
              <w:rPr>
                <w:rFonts w:ascii="Calibri" w:hAnsi="Calibri"/>
                <w:lang w:val="en-US"/>
              </w:rPr>
              <w:t xml:space="preserve">consistent with ICANN’s </w:t>
            </w:r>
            <w:r>
              <w:rPr>
                <w:rFonts w:ascii="Calibri" w:hAnsi="Calibri"/>
                <w:lang w:val="en-US"/>
              </w:rPr>
              <w:t>commitment</w:t>
            </w:r>
            <w:r w:rsidRPr="005010DE">
              <w:rPr>
                <w:rFonts w:ascii="Calibri" w:hAnsi="Calibri"/>
                <w:lang w:val="en-US"/>
              </w:rPr>
              <w:t xml:space="preserve"> to the United States Government </w:t>
            </w:r>
            <w:r>
              <w:rPr>
                <w:rFonts w:ascii="Calibri" w:hAnsi="Calibri"/>
                <w:lang w:val="en-US"/>
              </w:rPr>
              <w:t xml:space="preserve">and other parts of the ICANN Community </w:t>
            </w:r>
            <w:r w:rsidRPr="005010DE">
              <w:rPr>
                <w:rFonts w:ascii="Calibri" w:hAnsi="Calibri"/>
                <w:lang w:val="en-US"/>
              </w:rPr>
              <w:t>that</w:t>
            </w:r>
            <w:r>
              <w:rPr>
                <w:rFonts w:ascii="Calibri" w:hAnsi="Calibri"/>
                <w:lang w:val="en-US"/>
              </w:rPr>
              <w:t xml:space="preserve"> the GAC or</w:t>
            </w:r>
            <w:r w:rsidRPr="005010DE">
              <w:rPr>
                <w:rFonts w:ascii="Calibri" w:hAnsi="Calibri"/>
                <w:lang w:val="en-US"/>
              </w:rPr>
              <w:t xml:space="preserve"> </w:t>
            </w:r>
            <w:r>
              <w:rPr>
                <w:rFonts w:ascii="Calibri" w:hAnsi="Calibri"/>
                <w:lang w:val="en-US"/>
              </w:rPr>
              <w:t xml:space="preserve">individual </w:t>
            </w:r>
            <w:r w:rsidRPr="005010DE">
              <w:rPr>
                <w:rFonts w:ascii="Calibri" w:hAnsi="Calibri"/>
                <w:lang w:val="en-US"/>
              </w:rPr>
              <w:t>governments</w:t>
            </w:r>
            <w:r>
              <w:rPr>
                <w:rFonts w:ascii="Calibri" w:hAnsi="Calibri"/>
                <w:lang w:val="en-US"/>
              </w:rPr>
              <w:t xml:space="preserve"> </w:t>
            </w:r>
            <w:r w:rsidRPr="005010DE">
              <w:rPr>
                <w:rFonts w:ascii="Calibri" w:hAnsi="Calibri"/>
                <w:lang w:val="en-US"/>
              </w:rPr>
              <w:t>would not end up with more power in a post-transition ICANN.</w:t>
            </w:r>
          </w:p>
          <w:p w14:paraId="1D8041B9" w14:textId="77777777" w:rsidR="00845077" w:rsidRPr="00BC785C" w:rsidRDefault="00845077"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5C66149F" w:rsidR="00D559F3" w:rsidRPr="00BC785C" w:rsidRDefault="00D559F3" w:rsidP="00520D82">
      <w:pPr>
        <w:pageBreakBefore/>
        <w:rPr>
          <w:rFonts w:ascii="Calibri" w:hAnsi="Calibri"/>
          <w:sz w:val="20"/>
          <w:szCs w:val="20"/>
        </w:rPr>
      </w:pPr>
    </w:p>
    <w:sectPr w:rsidR="00D559F3" w:rsidRPr="00BC785C">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05862" w14:textId="77777777" w:rsidR="00243DFA" w:rsidRDefault="00243DFA">
      <w:r>
        <w:separator/>
      </w:r>
    </w:p>
  </w:endnote>
  <w:endnote w:type="continuationSeparator" w:id="0">
    <w:p w14:paraId="6468D299" w14:textId="77777777" w:rsidR="00243DFA" w:rsidRDefault="002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0933F8">
      <w:rPr>
        <w:rStyle w:val="PageNumber"/>
        <w:rFonts w:ascii="Calibri" w:hAnsi="Calibri"/>
        <w:noProof/>
        <w:sz w:val="18"/>
        <w:szCs w:val="18"/>
      </w:rPr>
      <w:t>9</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1955" w14:textId="77777777" w:rsidR="00A25635" w:rsidRDefault="00A25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D0BA3" w14:textId="77777777" w:rsidR="00243DFA" w:rsidRDefault="00243DFA">
      <w:r>
        <w:separator/>
      </w:r>
    </w:p>
  </w:footnote>
  <w:footnote w:type="continuationSeparator" w:id="0">
    <w:p w14:paraId="20FB34C1" w14:textId="77777777" w:rsidR="00243DFA" w:rsidRDefault="00243DFA">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9ECD" w14:textId="1859998E" w:rsidR="00A25635" w:rsidRDefault="00A25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C593" w14:textId="36ACA598" w:rsidR="00A25635" w:rsidRDefault="00A256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66FC" w14:textId="40648E30" w:rsidR="00A25635" w:rsidRDefault="00A25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A26D30"/>
    <w:multiLevelType w:val="hybridMultilevel"/>
    <w:tmpl w:val="A07E8454"/>
    <w:lvl w:ilvl="0" w:tplc="CB8E84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8"/>
  </w:num>
  <w:num w:numId="7">
    <w:abstractNumId w:val="9"/>
  </w:num>
  <w:num w:numId="8">
    <w:abstractNumId w:val="6"/>
  </w:num>
  <w:num w:numId="9">
    <w:abstractNumId w:val="1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3341E"/>
    <w:rsid w:val="00041C06"/>
    <w:rsid w:val="00074ECF"/>
    <w:rsid w:val="000933F8"/>
    <w:rsid w:val="000B5B11"/>
    <w:rsid w:val="000C7A74"/>
    <w:rsid w:val="00146B6A"/>
    <w:rsid w:val="00166F08"/>
    <w:rsid w:val="00184084"/>
    <w:rsid w:val="001D29A4"/>
    <w:rsid w:val="00243DFA"/>
    <w:rsid w:val="00250B63"/>
    <w:rsid w:val="002C0876"/>
    <w:rsid w:val="002E5680"/>
    <w:rsid w:val="002E616F"/>
    <w:rsid w:val="00306142"/>
    <w:rsid w:val="00334F51"/>
    <w:rsid w:val="00337474"/>
    <w:rsid w:val="00343DDB"/>
    <w:rsid w:val="00351139"/>
    <w:rsid w:val="00384BBC"/>
    <w:rsid w:val="00396489"/>
    <w:rsid w:val="00437570"/>
    <w:rsid w:val="004443BD"/>
    <w:rsid w:val="004C1954"/>
    <w:rsid w:val="004C2CB8"/>
    <w:rsid w:val="004D75B1"/>
    <w:rsid w:val="004F3B5A"/>
    <w:rsid w:val="005010DE"/>
    <w:rsid w:val="00520D82"/>
    <w:rsid w:val="005265A9"/>
    <w:rsid w:val="005307BA"/>
    <w:rsid w:val="00535FA2"/>
    <w:rsid w:val="005606DF"/>
    <w:rsid w:val="00572F15"/>
    <w:rsid w:val="005829D4"/>
    <w:rsid w:val="005847E5"/>
    <w:rsid w:val="005A159F"/>
    <w:rsid w:val="005B6C2C"/>
    <w:rsid w:val="0067270C"/>
    <w:rsid w:val="006C0A17"/>
    <w:rsid w:val="006F2D21"/>
    <w:rsid w:val="00721860"/>
    <w:rsid w:val="0072261A"/>
    <w:rsid w:val="007410AF"/>
    <w:rsid w:val="007968B4"/>
    <w:rsid w:val="007B6ED6"/>
    <w:rsid w:val="007C3B2A"/>
    <w:rsid w:val="007E551C"/>
    <w:rsid w:val="00845077"/>
    <w:rsid w:val="0087096F"/>
    <w:rsid w:val="008B6D02"/>
    <w:rsid w:val="008E3BD9"/>
    <w:rsid w:val="008F710F"/>
    <w:rsid w:val="00914FB2"/>
    <w:rsid w:val="00942E31"/>
    <w:rsid w:val="009D09C8"/>
    <w:rsid w:val="00A25635"/>
    <w:rsid w:val="00A321AE"/>
    <w:rsid w:val="00AB1BA2"/>
    <w:rsid w:val="00AD5C5B"/>
    <w:rsid w:val="00B361BF"/>
    <w:rsid w:val="00B676F4"/>
    <w:rsid w:val="00BC18CB"/>
    <w:rsid w:val="00BC385E"/>
    <w:rsid w:val="00BC785C"/>
    <w:rsid w:val="00BF3102"/>
    <w:rsid w:val="00C140B9"/>
    <w:rsid w:val="00C37BB7"/>
    <w:rsid w:val="00C4326E"/>
    <w:rsid w:val="00C86057"/>
    <w:rsid w:val="00C940C0"/>
    <w:rsid w:val="00CB7575"/>
    <w:rsid w:val="00CC6D9B"/>
    <w:rsid w:val="00CC77FE"/>
    <w:rsid w:val="00CE758B"/>
    <w:rsid w:val="00D559F3"/>
    <w:rsid w:val="00D741BE"/>
    <w:rsid w:val="00D92785"/>
    <w:rsid w:val="00DB46EA"/>
    <w:rsid w:val="00DB5951"/>
    <w:rsid w:val="00E52D31"/>
    <w:rsid w:val="00EB5823"/>
    <w:rsid w:val="00F01F5C"/>
    <w:rsid w:val="00F51BED"/>
    <w:rsid w:val="00F757CF"/>
    <w:rsid w:val="00F92B05"/>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8%20Communique.pdf?version=2&amp;modificationDate=1489619243747&amp;api=v2" TargetMode="External"/><Relationship Id="rId8" Type="http://schemas.openxmlformats.org/officeDocument/2006/relationships/hyperlink" Target="https://gnso.icann.org/en/drafts/review-gac-communique-15dec16-en.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1461</Words>
  <Characters>8331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Marika Konings</cp:lastModifiedBy>
  <cp:revision>2</cp:revision>
  <cp:lastPrinted>2015-11-06T19:58:00Z</cp:lastPrinted>
  <dcterms:created xsi:type="dcterms:W3CDTF">2017-04-28T19:43:00Z</dcterms:created>
  <dcterms:modified xsi:type="dcterms:W3CDTF">2017-04-28T19:43:00Z</dcterms:modified>
  <dc:language>de-DE</dc:language>
</cp:coreProperties>
</file>