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5C102EB6"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1D779F">
          <w:rPr>
            <w:rStyle w:val="Hyperlink"/>
            <w:rFonts w:ascii="Calibri" w:hAnsi="Calibri"/>
            <w:b/>
            <w:bCs/>
            <w:sz w:val="20"/>
            <w:szCs w:val="20"/>
          </w:rPr>
          <w:t>JOHANNESBURG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067"/>
        <w:gridCol w:w="2325"/>
        <w:gridCol w:w="2551"/>
        <w:gridCol w:w="2864"/>
        <w:gridCol w:w="3230"/>
      </w:tblGrid>
      <w:tr w:rsidR="003C7AC1" w:rsidRPr="00BC785C" w14:paraId="649D2538" w14:textId="77777777" w:rsidTr="003C7AC1">
        <w:trPr>
          <w:trHeight w:val="1830"/>
          <w:tblHeader/>
        </w:trPr>
        <w:tc>
          <w:tcPr>
            <w:tcW w:w="206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232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3C7AC1" w:rsidRPr="00BC785C" w14:paraId="13CBD623" w14:textId="77777777" w:rsidTr="003C7AC1">
        <w:trPr>
          <w:trHeight w:val="1827"/>
        </w:trPr>
        <w:tc>
          <w:tcPr>
            <w:tcW w:w="20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C51094" w14:textId="77777777" w:rsidR="003C7AC1" w:rsidRPr="003C7AC1" w:rsidRDefault="003C7AC1" w:rsidP="003C7AC1">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0"/>
                <w:szCs w:val="20"/>
              </w:rPr>
            </w:pPr>
            <w:r w:rsidRPr="003C7AC1">
              <w:rPr>
                <w:rFonts w:ascii="Calibri" w:hAnsi="Calibri" w:cs="Times New Roman"/>
                <w:b/>
                <w:bCs/>
                <w:color w:val="auto"/>
                <w:sz w:val="20"/>
                <w:szCs w:val="20"/>
              </w:rPr>
              <w:t>1. Intergovernmental Organization (IGO) Protections </w:t>
            </w:r>
          </w:p>
          <w:p w14:paraId="7BA9C1C3" w14:textId="5FA28F39" w:rsidR="00D559F3" w:rsidRPr="00BC785C" w:rsidRDefault="00D559F3" w:rsidP="00C37BB7">
            <w:pPr>
              <w:pStyle w:val="Default"/>
              <w:rPr>
                <w:b/>
                <w:bCs/>
                <w:sz w:val="20"/>
                <w:szCs w:val="20"/>
              </w:rPr>
            </w:pPr>
          </w:p>
        </w:tc>
        <w:tc>
          <w:tcPr>
            <w:tcW w:w="232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5FF0C5" w14:textId="77777777" w:rsidR="001D779F" w:rsidRPr="001D779F" w:rsidRDefault="003C7AC1" w:rsidP="003C7AC1">
            <w:pPr>
              <w:keepNext w:val="0"/>
              <w:pBdr>
                <w:top w:val="none" w:sz="0" w:space="0" w:color="auto"/>
                <w:left w:val="none" w:sz="0" w:space="0" w:color="auto"/>
                <w:bottom w:val="none" w:sz="0" w:space="0" w:color="auto"/>
                <w:right w:val="none" w:sz="0" w:space="0" w:color="auto"/>
              </w:pBdr>
              <w:shd w:val="clear" w:color="auto" w:fill="auto"/>
              <w:spacing w:after="105"/>
              <w:rPr>
                <w:rFonts w:ascii="Calibri" w:eastAsia="Times New Roman" w:hAnsi="Calibri" w:cs="Times New Roman"/>
                <w:b/>
                <w:bCs/>
                <w:color w:val="auto"/>
                <w:sz w:val="20"/>
                <w:szCs w:val="20"/>
              </w:rPr>
            </w:pPr>
            <w:r w:rsidRPr="003C7AC1">
              <w:rPr>
                <w:rFonts w:ascii="Calibri" w:eastAsia="Times New Roman" w:hAnsi="Calibri" w:cs="Times New Roman"/>
                <w:b/>
                <w:bCs/>
                <w:color w:val="auto"/>
                <w:sz w:val="20"/>
                <w:szCs w:val="20"/>
              </w:rPr>
              <w:t xml:space="preserve">a. The GAC reiterates its Advice that IGO access to curative dispute resolution mechanism should: </w:t>
            </w:r>
          </w:p>
          <w:p w14:paraId="24E4D514" w14:textId="7EA49E3D" w:rsidR="003C7AC1" w:rsidRPr="003C7AC1" w:rsidRDefault="003C7AC1" w:rsidP="003C7AC1">
            <w:pPr>
              <w:keepNext w:val="0"/>
              <w:pBdr>
                <w:top w:val="none" w:sz="0" w:space="0" w:color="auto"/>
                <w:left w:val="none" w:sz="0" w:space="0" w:color="auto"/>
                <w:bottom w:val="none" w:sz="0" w:space="0" w:color="auto"/>
                <w:right w:val="none" w:sz="0" w:space="0" w:color="auto"/>
              </w:pBdr>
              <w:shd w:val="clear" w:color="auto" w:fill="auto"/>
              <w:spacing w:after="105"/>
              <w:rPr>
                <w:rFonts w:ascii="Calibri" w:eastAsia="Times New Roman" w:hAnsi="Calibri" w:cs="Times New Roman"/>
                <w:color w:val="auto"/>
                <w:sz w:val="20"/>
                <w:szCs w:val="20"/>
              </w:rPr>
            </w:pPr>
            <w:r w:rsidRPr="003C7AC1">
              <w:rPr>
                <w:rFonts w:ascii="Calibri" w:eastAsia="Times New Roman" w:hAnsi="Calibri" w:cs="Times New Roman"/>
                <w:color w:val="auto"/>
                <w:sz w:val="20"/>
                <w:szCs w:val="20"/>
              </w:rPr>
              <w:t>I. be modeled on, but separate from, the existing Uniform Dispute Resolution Policy (UDRP) </w:t>
            </w:r>
          </w:p>
          <w:p w14:paraId="79CF28B8" w14:textId="77777777" w:rsidR="003C7AC1" w:rsidRPr="003C7AC1" w:rsidRDefault="003C7AC1" w:rsidP="001D779F">
            <w:pPr>
              <w:keepNext w:val="0"/>
              <w:pBdr>
                <w:top w:val="none" w:sz="0" w:space="0" w:color="auto"/>
                <w:left w:val="none" w:sz="0" w:space="0" w:color="auto"/>
                <w:bottom w:val="none" w:sz="0" w:space="0" w:color="auto"/>
                <w:right w:val="none" w:sz="0" w:space="0" w:color="auto"/>
              </w:pBdr>
              <w:shd w:val="clear" w:color="auto" w:fill="auto"/>
              <w:spacing w:after="105"/>
              <w:rPr>
                <w:rFonts w:ascii="Calibri" w:eastAsia="Times New Roman" w:hAnsi="Calibri" w:cs="Times New Roman"/>
                <w:color w:val="auto"/>
                <w:sz w:val="20"/>
                <w:szCs w:val="20"/>
              </w:rPr>
            </w:pPr>
            <w:r w:rsidRPr="003C7AC1">
              <w:rPr>
                <w:rFonts w:ascii="Calibri" w:eastAsia="Times New Roman" w:hAnsi="Calibri" w:cs="Times New Roman"/>
                <w:color w:val="auto"/>
                <w:sz w:val="20"/>
                <w:szCs w:val="20"/>
              </w:rPr>
              <w:t>II. provide standing based on IGOs’ status as public intergovernmental institutions, and </w:t>
            </w:r>
          </w:p>
          <w:p w14:paraId="1B5A0D7D" w14:textId="77777777" w:rsidR="003C7AC1" w:rsidRPr="003C7AC1" w:rsidRDefault="003C7AC1" w:rsidP="001D779F">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20"/>
                <w:szCs w:val="20"/>
              </w:rPr>
            </w:pPr>
            <w:r w:rsidRPr="003C7AC1">
              <w:rPr>
                <w:rFonts w:ascii="Calibri" w:eastAsia="Times New Roman" w:hAnsi="Calibri" w:cs="Times New Roman"/>
                <w:color w:val="auto"/>
                <w:sz w:val="20"/>
                <w:szCs w:val="20"/>
              </w:rPr>
              <w:t>III. respect IGOs’ jurisdictional status by facilitating appeals exclusively through arbitration. </w:t>
            </w:r>
          </w:p>
          <w:p w14:paraId="518107DB" w14:textId="77777777" w:rsidR="00CE758B" w:rsidRDefault="00CE758B" w:rsidP="001D779F">
            <w:pPr>
              <w:keepNext w:val="0"/>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color w:val="auto"/>
                <w:sz w:val="17"/>
                <w:szCs w:val="17"/>
              </w:rPr>
            </w:pPr>
          </w:p>
          <w:p w14:paraId="00B5E2B3" w14:textId="77777777" w:rsidR="001D779F" w:rsidRPr="001D779F" w:rsidRDefault="001D779F" w:rsidP="001D779F">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0"/>
                <w:szCs w:val="20"/>
              </w:rPr>
            </w:pPr>
            <w:r w:rsidRPr="001D779F">
              <w:rPr>
                <w:rFonts w:ascii="Calibri" w:hAnsi="Calibri" w:cs="Times New Roman"/>
                <w:color w:val="auto"/>
                <w:sz w:val="20"/>
                <w:szCs w:val="20"/>
              </w:rPr>
              <w:lastRenderedPageBreak/>
              <w:t>The GAC expresses concern that a GNSO working group has indicated that it may deliver recommendations which substantially differ from GAC Advice, and calls on the ICANN Board to ensure that such recommendations adequately reflect input and expertise provided by IGOs. </w:t>
            </w:r>
          </w:p>
          <w:p w14:paraId="49AF560E" w14:textId="77777777" w:rsidR="001D779F" w:rsidRPr="001D779F" w:rsidRDefault="001D779F" w:rsidP="001D779F">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20"/>
                <w:szCs w:val="20"/>
              </w:rPr>
            </w:pPr>
          </w:p>
          <w:p w14:paraId="27AC60D0" w14:textId="73DCE1DE" w:rsidR="001D779F" w:rsidRPr="001D779F" w:rsidRDefault="001D779F" w:rsidP="001D779F">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color w:val="auto"/>
                <w:sz w:val="17"/>
                <w:szCs w:val="17"/>
              </w:rPr>
            </w:pPr>
            <w:r w:rsidRPr="001D779F">
              <w:rPr>
                <w:rFonts w:ascii="Calibri" w:hAnsi="Calibri" w:cs="Times New Roman"/>
                <w:color w:val="auto"/>
                <w:sz w:val="20"/>
                <w:szCs w:val="20"/>
              </w:rPr>
              <w:t>RATIONALE This Advice aligns with the view of governments that IGOs perform important public functions for citizens worldwide, and that protecting their identities in the DNS serves to minimize the potential for consumer harm</w:t>
            </w:r>
            <w:r w:rsidRPr="001D779F">
              <w:rPr>
                <w:rFonts w:ascii="Calibri" w:hAnsi="Calibri" w:cs="Times New Roman"/>
                <w:color w:val="auto"/>
                <w:sz w:val="17"/>
                <w:szCs w:val="17"/>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489F5C4F" w:rsidR="004443BD" w:rsidRPr="00BC785C" w:rsidRDefault="00CD4562" w:rsidP="00D92785">
            <w:pPr>
              <w:rPr>
                <w:rFonts w:ascii="Calibri" w:hAnsi="Calibri"/>
                <w:sz w:val="20"/>
                <w:szCs w:val="20"/>
              </w:rPr>
            </w:pPr>
            <w:r>
              <w:rPr>
                <w:rFonts w:ascii="Calibri" w:hAnsi="Calibri"/>
                <w:sz w:val="20"/>
                <w:szCs w:val="20"/>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24A5187E" w:rsidR="00D559F3" w:rsidRPr="00BC785C" w:rsidRDefault="00CD4562" w:rsidP="00AB1BA2">
            <w:pPr>
              <w:rPr>
                <w:rFonts w:ascii="Calibri" w:hAnsi="Calibri"/>
                <w:iCs/>
                <w:sz w:val="20"/>
                <w:szCs w:val="20"/>
              </w:rPr>
            </w:pPr>
            <w:r>
              <w:rPr>
                <w:rFonts w:ascii="Calibri" w:hAnsi="Calibri"/>
                <w:iCs/>
                <w:sz w:val="20"/>
                <w:szCs w:val="20"/>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D43DE42" w14:textId="0D5E8798" w:rsidR="00CD4562" w:rsidRPr="00CD4562" w:rsidRDefault="0046057F" w:rsidP="00CD4562">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i/>
                <w:color w:val="auto"/>
                <w:sz w:val="20"/>
                <w:szCs w:val="20"/>
              </w:rPr>
            </w:pPr>
            <w:r w:rsidRPr="00CD4562">
              <w:rPr>
                <w:rFonts w:ascii="Calibri" w:hAnsi="Calibri" w:cs="Times New Roman"/>
                <w:i/>
                <w:color w:val="auto"/>
                <w:sz w:val="20"/>
                <w:szCs w:val="20"/>
              </w:rPr>
              <w:t>[</w:t>
            </w:r>
            <w:r w:rsidRPr="0046057F">
              <w:rPr>
                <w:rFonts w:ascii="Calibri" w:hAnsi="Calibri" w:cs="Times New Roman"/>
                <w:i/>
                <w:color w:val="auto"/>
                <w:sz w:val="20"/>
                <w:szCs w:val="20"/>
              </w:rPr>
              <w:t>The GNSO Council refers to its previous response to the Board on this topic, which notes the ongoing work of the IGO-INGO Access to Curative Rights Protection Mechanisms Policy Development Process (PDP) Working Group. The GNSO Council appreciates the</w:t>
            </w:r>
            <w:r w:rsidRPr="00CD4562">
              <w:rPr>
                <w:rFonts w:ascii="Calibri" w:hAnsi="Calibri" w:cs="Times New Roman"/>
                <w:i/>
                <w:color w:val="auto"/>
                <w:sz w:val="20"/>
                <w:szCs w:val="20"/>
              </w:rPr>
              <w:t> </w:t>
            </w:r>
            <w:r w:rsidR="00CD4562" w:rsidRPr="00CD4562">
              <w:rPr>
                <w:rFonts w:ascii="Calibri" w:hAnsi="Calibri" w:cs="Times New Roman"/>
                <w:i/>
                <w:color w:val="auto"/>
                <w:sz w:val="20"/>
                <w:szCs w:val="20"/>
              </w:rPr>
              <w:t>opportunity to participate in the facilitated discussion with the GAC at ICANN58, and the good faith dialogue that took place. </w:t>
            </w:r>
          </w:p>
          <w:p w14:paraId="0FB26B9D" w14:textId="77777777" w:rsidR="00CD4562" w:rsidRPr="00CD4562" w:rsidRDefault="00CD4562" w:rsidP="00CD4562">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i/>
                <w:color w:val="auto"/>
                <w:sz w:val="20"/>
                <w:szCs w:val="20"/>
              </w:rPr>
            </w:pPr>
            <w:r w:rsidRPr="00CD4562">
              <w:rPr>
                <w:rFonts w:ascii="Calibri" w:hAnsi="Calibri" w:cs="Times New Roman"/>
                <w:i/>
                <w:color w:val="auto"/>
                <w:sz w:val="20"/>
                <w:szCs w:val="20"/>
              </w:rPr>
              <w:t>In relation to the GAC’s advice to the Board to pursue implementation of: </w:t>
            </w:r>
          </w:p>
          <w:p w14:paraId="4AD70D26" w14:textId="77777777" w:rsidR="00CD4562" w:rsidRPr="00CD4562" w:rsidRDefault="00CD4562" w:rsidP="00CD4562">
            <w:pPr>
              <w:keepNext w:val="0"/>
              <w:numPr>
                <w:ilvl w:val="0"/>
                <w:numId w:val="13"/>
              </w:numPr>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i/>
                <w:color w:val="auto"/>
                <w:sz w:val="20"/>
                <w:szCs w:val="20"/>
              </w:rPr>
            </w:pPr>
            <w:r w:rsidRPr="00CD4562">
              <w:rPr>
                <w:rFonts w:ascii="Calibri" w:eastAsia="Times New Roman" w:hAnsi="Calibri" w:cs="Times New Roman"/>
                <w:i/>
                <w:color w:val="auto"/>
                <w:sz w:val="20"/>
                <w:szCs w:val="20"/>
              </w:rPr>
              <w:t>(</w:t>
            </w:r>
            <w:proofErr w:type="spellStart"/>
            <w:r w:rsidRPr="00CD4562">
              <w:rPr>
                <w:rFonts w:ascii="Calibri" w:eastAsia="Times New Roman" w:hAnsi="Calibri" w:cs="Times New Roman"/>
                <w:i/>
                <w:color w:val="auto"/>
                <w:sz w:val="20"/>
                <w:szCs w:val="20"/>
              </w:rPr>
              <w:t>i</w:t>
            </w:r>
            <w:proofErr w:type="spellEnd"/>
            <w:r w:rsidRPr="00CD4562">
              <w:rPr>
                <w:rFonts w:ascii="Calibri" w:eastAsia="Times New Roman" w:hAnsi="Calibri" w:cs="Times New Roman"/>
                <w:i/>
                <w:color w:val="auto"/>
                <w:sz w:val="20"/>
                <w:szCs w:val="20"/>
              </w:rPr>
              <w:t>) a permanent system of notification to IGOs regarding second-level registration of strings that match their acronyms in up to two languages; and </w:t>
            </w:r>
          </w:p>
          <w:p w14:paraId="37203D9A" w14:textId="77777777" w:rsidR="00CD4562" w:rsidRPr="00CD4562" w:rsidRDefault="00CD4562" w:rsidP="00CD4562">
            <w:pPr>
              <w:keepNext w:val="0"/>
              <w:numPr>
                <w:ilvl w:val="0"/>
                <w:numId w:val="13"/>
              </w:numPr>
              <w:pBdr>
                <w:top w:val="none" w:sz="0" w:space="0" w:color="auto"/>
                <w:left w:val="none" w:sz="0" w:space="0" w:color="auto"/>
                <w:bottom w:val="none" w:sz="0" w:space="0" w:color="auto"/>
                <w:right w:val="none" w:sz="0" w:space="0" w:color="auto"/>
              </w:pBdr>
              <w:shd w:val="clear" w:color="auto" w:fill="auto"/>
              <w:rPr>
                <w:rFonts w:ascii="Calibri" w:eastAsia="Times New Roman" w:hAnsi="Calibri" w:cs="Times New Roman"/>
                <w:i/>
                <w:color w:val="auto"/>
                <w:sz w:val="20"/>
                <w:szCs w:val="20"/>
              </w:rPr>
            </w:pPr>
            <w:r w:rsidRPr="00CD4562">
              <w:rPr>
                <w:rFonts w:ascii="Calibri" w:eastAsia="Times New Roman" w:hAnsi="Calibri" w:cs="Times New Roman"/>
                <w:i/>
                <w:color w:val="auto"/>
                <w:sz w:val="20"/>
                <w:szCs w:val="20"/>
              </w:rPr>
              <w:lastRenderedPageBreak/>
              <w:t>(ii) a parallel system of notification to registrants for a more limited time period, in line with both previous GAC advice and GNSO recommendations. </w:t>
            </w:r>
          </w:p>
          <w:p w14:paraId="6AE80BC5" w14:textId="77777777" w:rsidR="00CD4562" w:rsidRPr="00CD4562" w:rsidRDefault="00CD4562" w:rsidP="00CD4562">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i/>
                <w:color w:val="auto"/>
                <w:sz w:val="20"/>
                <w:szCs w:val="20"/>
              </w:rPr>
            </w:pPr>
          </w:p>
          <w:p w14:paraId="25757798" w14:textId="77777777" w:rsidR="00CD4562" w:rsidRPr="00CD4562" w:rsidRDefault="00CD4562" w:rsidP="00CD4562">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i/>
                <w:color w:val="auto"/>
                <w:sz w:val="20"/>
                <w:szCs w:val="20"/>
              </w:rPr>
            </w:pPr>
            <w:r w:rsidRPr="00CD4562">
              <w:rPr>
                <w:rFonts w:ascii="Calibri" w:hAnsi="Calibri" w:cs="Times New Roman"/>
                <w:i/>
                <w:color w:val="auto"/>
                <w:sz w:val="20"/>
                <w:szCs w:val="20"/>
              </w:rPr>
              <w:t>The GNSO Council understands that the agreed outcome of the facilitated dialogue session at ICANN 58 was that further input from ICANN on the feasibility of permanent notification to IGOs is required; and that a </w:t>
            </w:r>
          </w:p>
          <w:p w14:paraId="69916223" w14:textId="77777777" w:rsidR="00CD4562" w:rsidRPr="00CD4562" w:rsidRDefault="00CD4562" w:rsidP="00CD4562">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i/>
                <w:color w:val="auto"/>
                <w:sz w:val="20"/>
                <w:szCs w:val="20"/>
              </w:rPr>
            </w:pPr>
            <w:r w:rsidRPr="00CD4562">
              <w:rPr>
                <w:rFonts w:ascii="Calibri" w:hAnsi="Calibri" w:cs="Times New Roman"/>
                <w:i/>
                <w:color w:val="auto"/>
                <w:sz w:val="20"/>
                <w:szCs w:val="20"/>
              </w:rPr>
              <w:t>parallel system of notification to registrants for a more limited time period, is in line with both previous GAC advice and GNSO recommendations. </w:t>
            </w:r>
          </w:p>
          <w:p w14:paraId="13CB2300" w14:textId="7AEC5367" w:rsidR="0046057F" w:rsidRPr="00CD4562" w:rsidRDefault="00CD4562" w:rsidP="00CD4562">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i/>
                <w:color w:val="auto"/>
                <w:sz w:val="20"/>
                <w:szCs w:val="20"/>
              </w:rPr>
            </w:pPr>
            <w:r w:rsidRPr="00CD4562">
              <w:rPr>
                <w:rFonts w:ascii="Calibri" w:hAnsi="Calibri" w:cs="Times New Roman"/>
                <w:i/>
                <w:color w:val="auto"/>
                <w:sz w:val="20"/>
                <w:szCs w:val="20"/>
              </w:rPr>
              <w:t>In relation to the GAC’s advice to the Board to facilitate continued discussions in order to develop a resolution that will reflect (</w:t>
            </w:r>
            <w:proofErr w:type="spellStart"/>
            <w:r w:rsidRPr="00CD4562">
              <w:rPr>
                <w:rFonts w:ascii="Calibri" w:hAnsi="Calibri" w:cs="Times New Roman"/>
                <w:i/>
                <w:color w:val="auto"/>
                <w:sz w:val="20"/>
                <w:szCs w:val="20"/>
              </w:rPr>
              <w:t>i</w:t>
            </w:r>
            <w:proofErr w:type="spellEnd"/>
            <w:r w:rsidRPr="00CD4562">
              <w:rPr>
                <w:rFonts w:ascii="Calibri" w:hAnsi="Calibri" w:cs="Times New Roman"/>
                <w:i/>
                <w:color w:val="auto"/>
                <w:sz w:val="20"/>
                <w:szCs w:val="20"/>
              </w:rPr>
              <w:t xml:space="preserve">) the fact that IGOs are in an objectively unique category of rights holders and (ii) a better understanding of relevant GAC Advice, particularly as it relates to </w:t>
            </w:r>
            <w:r w:rsidRPr="00CD4562">
              <w:rPr>
                <w:rFonts w:ascii="Calibri" w:hAnsi="Calibri" w:cs="Times New Roman"/>
                <w:i/>
                <w:color w:val="auto"/>
                <w:sz w:val="20"/>
                <w:szCs w:val="20"/>
              </w:rPr>
              <w:lastRenderedPageBreak/>
              <w:t>IGO immunities recognized under international law as noted by IGO Legal Counsels. The GNSO Council looks forward to continuing, in good faith, the discussions with the GAC and the Board on appropriate next steps, but is concerned that the GAC advice in this instance seems to suggest a predetermined outcome, which the Council believes is premature. </w:t>
            </w:r>
          </w:p>
          <w:p w14:paraId="57489FE9" w14:textId="77777777" w:rsidR="00CD4562" w:rsidRPr="00CD4562" w:rsidRDefault="00CD4562" w:rsidP="00CD4562">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i/>
                <w:color w:val="auto"/>
                <w:sz w:val="20"/>
                <w:szCs w:val="20"/>
              </w:rPr>
            </w:pPr>
          </w:p>
          <w:p w14:paraId="231911C7" w14:textId="0DF2E840" w:rsidR="00D559F3" w:rsidRPr="002C32BC" w:rsidRDefault="00CD4562" w:rsidP="002C32BC">
            <w:pPr>
              <w:keepNext w:val="0"/>
              <w:pBdr>
                <w:top w:val="none" w:sz="0" w:space="0" w:color="auto"/>
                <w:left w:val="none" w:sz="0" w:space="0" w:color="auto"/>
                <w:bottom w:val="none" w:sz="0" w:space="0" w:color="auto"/>
                <w:right w:val="none" w:sz="0" w:space="0" w:color="auto"/>
              </w:pBdr>
              <w:shd w:val="clear" w:color="auto" w:fill="auto"/>
              <w:rPr>
                <w:rFonts w:ascii="Calibri" w:hAnsi="Calibri" w:cs="Times New Roman"/>
                <w:i/>
                <w:color w:val="auto"/>
                <w:sz w:val="20"/>
                <w:szCs w:val="20"/>
              </w:rPr>
            </w:pPr>
            <w:r w:rsidRPr="00CD4562">
              <w:rPr>
                <w:rFonts w:ascii="Calibri" w:hAnsi="Calibri" w:cs="Times New Roman"/>
                <w:i/>
                <w:color w:val="auto"/>
                <w:sz w:val="20"/>
                <w:szCs w:val="20"/>
              </w:rPr>
              <w:t xml:space="preserve">As previously communicated to the Board, the ongoing PDP on IGO-INGO Access to Curative Rights Protection Mechanisms will take into account the GAC’s comments on the Initial Report. The GNSO Council notes that the Working Group is actively reviewing all comments received on its Initial Report, including the comments submitted by the GAC and </w:t>
            </w:r>
            <w:bookmarkStart w:id="0" w:name="_GoBack"/>
            <w:bookmarkEnd w:id="0"/>
            <w:r w:rsidRPr="00CD4562">
              <w:rPr>
                <w:rFonts w:ascii="Calibri" w:hAnsi="Calibri" w:cs="Times New Roman"/>
                <w:i/>
                <w:color w:val="auto"/>
                <w:sz w:val="20"/>
                <w:szCs w:val="20"/>
              </w:rPr>
              <w:t>a number of IGOs.</w:t>
            </w:r>
            <w:r w:rsidRPr="00CD4562">
              <w:rPr>
                <w:rFonts w:ascii="Calibri" w:hAnsi="Calibri" w:cs="Times New Roman"/>
                <w:i/>
                <w:color w:val="auto"/>
                <w:sz w:val="20"/>
                <w:szCs w:val="20"/>
              </w:rPr>
              <w:t>]</w:t>
            </w:r>
          </w:p>
        </w:tc>
      </w:tr>
    </w:tbl>
    <w:p w14:paraId="6FCB16E3" w14:textId="7B93B2B7" w:rsidR="00D559F3" w:rsidRPr="00BC785C" w:rsidRDefault="00D559F3" w:rsidP="00520D82">
      <w:pPr>
        <w:pageBreakBefore/>
        <w:rPr>
          <w:rFonts w:ascii="Calibri" w:hAnsi="Calibri"/>
          <w:sz w:val="20"/>
          <w:szCs w:val="20"/>
        </w:rPr>
      </w:pPr>
    </w:p>
    <w:sectPr w:rsidR="00D559F3" w:rsidRPr="00BC785C">
      <w:footerReference w:type="even" r:id="rId8"/>
      <w:footerReference w:type="default" r:id="rId9"/>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C3F2" w14:textId="77777777" w:rsidR="00BA69B5" w:rsidRDefault="00BA69B5">
      <w:r>
        <w:separator/>
      </w:r>
    </w:p>
  </w:endnote>
  <w:endnote w:type="continuationSeparator" w:id="0">
    <w:p w14:paraId="4D0DBF12" w14:textId="77777777" w:rsidR="00BA69B5" w:rsidRDefault="00B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2C32BC">
      <w:rPr>
        <w:rStyle w:val="PageNumber"/>
        <w:rFonts w:ascii="Calibri" w:hAnsi="Calibri"/>
        <w:noProof/>
        <w:sz w:val="18"/>
        <w:szCs w:val="18"/>
      </w:rPr>
      <w:t>1</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B5BA" w14:textId="77777777" w:rsidR="00BA69B5" w:rsidRDefault="00BA69B5">
      <w:r>
        <w:separator/>
      </w:r>
    </w:p>
  </w:footnote>
  <w:footnote w:type="continuationSeparator" w:id="0">
    <w:p w14:paraId="4441E0CB" w14:textId="77777777" w:rsidR="00BA69B5" w:rsidRDefault="00BA69B5">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0E16FE"/>
    <w:multiLevelType w:val="multilevel"/>
    <w:tmpl w:val="A808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9F2"/>
    <w:multiLevelType w:val="multilevel"/>
    <w:tmpl w:val="093A6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8">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3"/>
  </w:num>
  <w:num w:numId="5">
    <w:abstractNumId w:val="0"/>
  </w:num>
  <w:num w:numId="6">
    <w:abstractNumId w:val="9"/>
  </w:num>
  <w:num w:numId="7">
    <w:abstractNumId w:val="10"/>
  </w:num>
  <w:num w:numId="8">
    <w:abstractNumId w:val="8"/>
  </w:num>
  <w:num w:numId="9">
    <w:abstractNumId w:val="12"/>
  </w:num>
  <w:num w:numId="10">
    <w:abstractNumId w:val="11"/>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C7A74"/>
    <w:rsid w:val="00146B6A"/>
    <w:rsid w:val="00166F08"/>
    <w:rsid w:val="00184084"/>
    <w:rsid w:val="001D29A4"/>
    <w:rsid w:val="001D779F"/>
    <w:rsid w:val="002C32BC"/>
    <w:rsid w:val="002E5680"/>
    <w:rsid w:val="00334F51"/>
    <w:rsid w:val="00337474"/>
    <w:rsid w:val="00343DDB"/>
    <w:rsid w:val="00351139"/>
    <w:rsid w:val="00384BBC"/>
    <w:rsid w:val="00396489"/>
    <w:rsid w:val="003C7AC1"/>
    <w:rsid w:val="00437570"/>
    <w:rsid w:val="004443BD"/>
    <w:rsid w:val="0046057F"/>
    <w:rsid w:val="004C2CB8"/>
    <w:rsid w:val="004D75B1"/>
    <w:rsid w:val="004F3B5A"/>
    <w:rsid w:val="00520D82"/>
    <w:rsid w:val="005307BA"/>
    <w:rsid w:val="00535FA2"/>
    <w:rsid w:val="005606DF"/>
    <w:rsid w:val="005829D4"/>
    <w:rsid w:val="005B6C2C"/>
    <w:rsid w:val="0067270C"/>
    <w:rsid w:val="006A7D0B"/>
    <w:rsid w:val="006C0A17"/>
    <w:rsid w:val="00721860"/>
    <w:rsid w:val="0072261A"/>
    <w:rsid w:val="007410AF"/>
    <w:rsid w:val="007E551C"/>
    <w:rsid w:val="0087096F"/>
    <w:rsid w:val="008B6D02"/>
    <w:rsid w:val="008E3BD9"/>
    <w:rsid w:val="008F710F"/>
    <w:rsid w:val="00914FB2"/>
    <w:rsid w:val="00942E31"/>
    <w:rsid w:val="00AB1BA2"/>
    <w:rsid w:val="00AD5C5B"/>
    <w:rsid w:val="00BA69B5"/>
    <w:rsid w:val="00BC18CB"/>
    <w:rsid w:val="00BC785C"/>
    <w:rsid w:val="00C140B9"/>
    <w:rsid w:val="00C37BB7"/>
    <w:rsid w:val="00CC6D9B"/>
    <w:rsid w:val="00CC77FE"/>
    <w:rsid w:val="00CD4562"/>
    <w:rsid w:val="00CE758B"/>
    <w:rsid w:val="00D559F3"/>
    <w:rsid w:val="00D92785"/>
    <w:rsid w:val="00DB46EA"/>
    <w:rsid w:val="00DB5951"/>
    <w:rsid w:val="00E52D31"/>
    <w:rsid w:val="00EB5823"/>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8E3BD9"/>
    <w:pPr>
      <w:keepNext w:val="0"/>
      <w:pBdr>
        <w:top w:val="none" w:sz="0" w:space="0" w:color="auto"/>
        <w:left w:val="none" w:sz="0" w:space="0" w:color="auto"/>
        <w:bottom w:val="none" w:sz="0" w:space="0" w:color="auto"/>
        <w:right w:val="none" w:sz="0" w:space="0" w:color="auto"/>
      </w:pBdr>
      <w:shd w:val="clear" w:color="auto" w:fill="auto"/>
    </w:pPr>
    <w:rPr>
      <w:rFonts w:ascii="Helvetica" w:hAnsi="Helvetica"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7401">
      <w:bodyDiv w:val="1"/>
      <w:marLeft w:val="0"/>
      <w:marRight w:val="0"/>
      <w:marTop w:val="0"/>
      <w:marBottom w:val="0"/>
      <w:divBdr>
        <w:top w:val="none" w:sz="0" w:space="0" w:color="auto"/>
        <w:left w:val="none" w:sz="0" w:space="0" w:color="auto"/>
        <w:bottom w:val="none" w:sz="0" w:space="0" w:color="auto"/>
        <w:right w:val="none" w:sz="0" w:space="0" w:color="auto"/>
      </w:divBdr>
    </w:div>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291179818">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438185909">
      <w:bodyDiv w:val="1"/>
      <w:marLeft w:val="0"/>
      <w:marRight w:val="0"/>
      <w:marTop w:val="0"/>
      <w:marBottom w:val="0"/>
      <w:divBdr>
        <w:top w:val="none" w:sz="0" w:space="0" w:color="auto"/>
        <w:left w:val="none" w:sz="0" w:space="0" w:color="auto"/>
        <w:bottom w:val="none" w:sz="0" w:space="0" w:color="auto"/>
        <w:right w:val="none" w:sz="0" w:space="0" w:color="auto"/>
      </w:divBdr>
    </w:div>
    <w:div w:id="457800468">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52230553">
      <w:bodyDiv w:val="1"/>
      <w:marLeft w:val="0"/>
      <w:marRight w:val="0"/>
      <w:marTop w:val="0"/>
      <w:marBottom w:val="0"/>
      <w:divBdr>
        <w:top w:val="none" w:sz="0" w:space="0" w:color="auto"/>
        <w:left w:val="none" w:sz="0" w:space="0" w:color="auto"/>
        <w:bottom w:val="none" w:sz="0" w:space="0" w:color="auto"/>
        <w:right w:val="none" w:sz="0" w:space="0" w:color="auto"/>
      </w:divBdr>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326594860">
      <w:bodyDiv w:val="1"/>
      <w:marLeft w:val="0"/>
      <w:marRight w:val="0"/>
      <w:marTop w:val="0"/>
      <w:marBottom w:val="0"/>
      <w:divBdr>
        <w:top w:val="none" w:sz="0" w:space="0" w:color="auto"/>
        <w:left w:val="none" w:sz="0" w:space="0" w:color="auto"/>
        <w:bottom w:val="none" w:sz="0" w:space="0" w:color="auto"/>
        <w:right w:val="none" w:sz="0" w:space="0" w:color="auto"/>
      </w:divBdr>
    </w:div>
    <w:div w:id="1365641050">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59%20Communique_Final.pdf?version=2&amp;modificationDate=1498747877729&amp;api=v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534</Words>
  <Characters>3063</Characters>
  <Application>Microsoft Macintosh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cp:lastPrinted>2015-11-06T19:58:00Z</cp:lastPrinted>
  <dcterms:created xsi:type="dcterms:W3CDTF">2017-06-30T16:31:00Z</dcterms:created>
  <dcterms:modified xsi:type="dcterms:W3CDTF">2017-06-30T16:35:00Z</dcterms:modified>
  <dc:language>de-DE</dc:language>
</cp:coreProperties>
</file>