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6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Resolved,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60" w:lineRule="auto"/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GNSO Council expresses its gratitude to the CCWG-IG for its work in ensuring that discussions on Internet governance take place within the ICANN context.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GNSO Council emphasizes that it fully recognizes the importance of the continued involvement of the ICANN community in Internet governance-related activities that are appropriate to ICANN’s mission.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GNSO Council requests that members of the CCWG-IG and others interested parties come together to explore a framework / model that more fully addresses the concerns that have been expressed by the GNSO Council, and submit this framework / model to the GNSO Council for its consideration by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 ICANN61.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Rule="auto"/>
        <w:ind w:left="720" w:hanging="360"/>
        <w:contextualSpacing w:val="1"/>
        <w:jc w:val="both"/>
        <w:rPr>
          <w:color w:val="333333"/>
          <w:sz w:val="21"/>
          <w:szCs w:val="21"/>
          <w:u w:val="none"/>
        </w:rPr>
      </w:pPr>
      <w:r w:rsidDel="00000000" w:rsidR="00000000" w:rsidRPr="00000000">
        <w:rPr>
          <w:color w:val="ff0000"/>
          <w:sz w:val="21"/>
          <w:szCs w:val="21"/>
          <w:rtl w:val="0"/>
        </w:rPr>
        <w:t xml:space="preserve">The GNSO will itemize and list these concerns and forward them to the CCWG-IG co-chairs no later than one week after its next regular meeting,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GNSO Council shall 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consider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withdraw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ing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as a Chartering Organization from the CCWG-IG at the conclusion of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ICANN 6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1 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if the framework/model mentioned in clause #3 does not meet GNSO’s concerns.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GNSO Council emphasizes that this 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potential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withdrawal as a Chartering Organization from the CCWG-IG reflects solely the Council’s conclusion that, based on the reports it has received from the CCWG-IG, a CCWG is not an appropriate vehicle for the CCWG-IG’s work, and the GNSO Council’s decision on this narrow point is not intended to prevent any GNSO community members who have been participating in the CCWG-IG from continuing to participate in the group’s activities should they decide to do so.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GNSO Council requests that the GNSO Secretariat communicate th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e content of this motion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to the CCWG-IG and the other Chartering Organizations.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