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26DF66CD" w:rsidR="005A15AF" w:rsidRDefault="00F576B8" w:rsidP="009A206F">
            <w:pPr>
              <w:pStyle w:val="TableText"/>
              <w:rPr>
                <w:noProof w:val="0"/>
              </w:rPr>
            </w:pPr>
            <w:r>
              <w:rPr>
                <w:noProof w:val="0"/>
              </w:rPr>
              <w:t xml:space="preserve"> </w:t>
            </w:r>
            <w:r w:rsidR="00C52853">
              <w:rPr>
                <w:noProof w:val="0"/>
              </w:rPr>
              <w:t>Working Group Enrollment tool development</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rsidTr="000F0437">
        <w:trPr>
          <w:trHeight w:val="399"/>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6377888F" w:rsidR="005A15AF" w:rsidRDefault="00C52853">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7BBEB7BA" w:rsidR="00946200" w:rsidRDefault="00C52853">
            <w:pPr>
              <w:pStyle w:val="Header"/>
              <w:rPr>
                <w:rFonts w:ascii="Arial" w:hAnsi="Arial"/>
              </w:rPr>
            </w:pPr>
            <w:r>
              <w:rPr>
                <w:rFonts w:ascii="Arial" w:hAnsi="Arial"/>
              </w:rPr>
              <w:t>Heather Forrest</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E9B5C58" w:rsidR="005A15AF" w:rsidRDefault="00C52853">
            <w:pPr>
              <w:pStyle w:val="Header"/>
              <w:rPr>
                <w:rFonts w:ascii="Arial" w:hAnsi="Arial"/>
              </w:rPr>
            </w:pPr>
            <w:r>
              <w:rPr>
                <w:rFonts w:ascii="Arial" w:hAnsi="Arial"/>
              </w:rPr>
              <w:t>Marika Konings</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B5C135F" w14:textId="16C6F8E6" w:rsidR="009A058F" w:rsidRPr="000469B1" w:rsidRDefault="00785B92" w:rsidP="00EB3FA1">
            <w:pPr>
              <w:rPr>
                <w:rFonts w:ascii="Arial" w:hAnsi="Arial" w:cs="Arial"/>
                <w:sz w:val="22"/>
                <w:szCs w:val="22"/>
              </w:rPr>
            </w:pPr>
            <w:r w:rsidRPr="000469B1">
              <w:rPr>
                <w:rFonts w:ascii="Arial" w:hAnsi="Arial" w:cs="Arial"/>
                <w:sz w:val="22"/>
                <w:szCs w:val="22"/>
                <w:lang w:eastAsia="zh-CN"/>
              </w:rPr>
              <w:t>With an increase in Policy Development Process (PDP) Working Group (WG) activity and membership</w:t>
            </w:r>
            <w:r w:rsidR="00F15B02" w:rsidRPr="000469B1">
              <w:rPr>
                <w:rFonts w:ascii="Arial" w:hAnsi="Arial" w:cs="Arial"/>
                <w:sz w:val="22"/>
                <w:szCs w:val="22"/>
                <w:lang w:eastAsia="zh-CN"/>
              </w:rPr>
              <w:t>, the</w:t>
            </w:r>
            <w:r w:rsidR="003801FD" w:rsidRPr="000469B1">
              <w:rPr>
                <w:rFonts w:ascii="Arial" w:hAnsi="Arial" w:cs="Arial"/>
                <w:sz w:val="22"/>
                <w:szCs w:val="22"/>
                <w:lang w:eastAsia="zh-CN"/>
              </w:rPr>
              <w:t>re is a</w:t>
            </w:r>
            <w:r w:rsidR="00F15B02" w:rsidRPr="000469B1">
              <w:rPr>
                <w:rFonts w:ascii="Arial" w:hAnsi="Arial" w:cs="Arial"/>
                <w:sz w:val="22"/>
                <w:szCs w:val="22"/>
                <w:lang w:eastAsia="zh-CN"/>
              </w:rPr>
              <w:t xml:space="preserve"> need for </w:t>
            </w:r>
            <w:r w:rsidR="00AF2283">
              <w:rPr>
                <w:rFonts w:ascii="Arial" w:hAnsi="Arial" w:cs="Arial"/>
                <w:sz w:val="22"/>
                <w:szCs w:val="22"/>
                <w:lang w:eastAsia="zh-CN"/>
              </w:rPr>
              <w:t>a centralized platform to optimize</w:t>
            </w:r>
            <w:r w:rsidR="00F15B02" w:rsidRPr="000469B1">
              <w:rPr>
                <w:rFonts w:ascii="Arial" w:hAnsi="Arial" w:cs="Arial"/>
                <w:sz w:val="22"/>
                <w:szCs w:val="22"/>
                <w:lang w:eastAsia="zh-CN"/>
              </w:rPr>
              <w:t xml:space="preserve"> WG onboarding </w:t>
            </w:r>
            <w:r w:rsidR="00AF2283">
              <w:rPr>
                <w:rFonts w:ascii="Arial" w:hAnsi="Arial" w:cs="Arial"/>
                <w:sz w:val="22"/>
                <w:szCs w:val="22"/>
                <w:lang w:eastAsia="zh-CN"/>
              </w:rPr>
              <w:t>of interested</w:t>
            </w:r>
            <w:r w:rsidR="00F15B02" w:rsidRPr="000469B1">
              <w:rPr>
                <w:rFonts w:ascii="Arial" w:hAnsi="Arial" w:cs="Arial"/>
                <w:sz w:val="22"/>
                <w:szCs w:val="22"/>
                <w:lang w:eastAsia="zh-CN"/>
              </w:rPr>
              <w:t xml:space="preserve"> community members</w:t>
            </w:r>
            <w:r w:rsidR="003801FD" w:rsidRPr="000469B1">
              <w:rPr>
                <w:rFonts w:ascii="Arial" w:hAnsi="Arial" w:cs="Arial"/>
                <w:sz w:val="22"/>
                <w:szCs w:val="22"/>
                <w:lang w:eastAsia="zh-CN"/>
              </w:rPr>
              <w:t>. This need has already been expressed by the GNSO Council previously (</w:t>
            </w:r>
            <w:hyperlink r:id="rId7" w:history="1">
              <w:r w:rsidR="003801FD" w:rsidRPr="000469B1">
                <w:rPr>
                  <w:rStyle w:val="Hyperlink"/>
                  <w:rFonts w:ascii="Arial" w:hAnsi="Arial" w:cs="Arial"/>
                  <w:sz w:val="22"/>
                  <w:szCs w:val="22"/>
                  <w:lang w:eastAsia="zh-CN"/>
                </w:rPr>
                <w:t>https://www.icann.org/en/system/files/files/report-comments-op-budget-fy17-five-year-06jun16-en.pdf</w:t>
              </w:r>
            </w:hyperlink>
            <w:r w:rsidR="003801FD" w:rsidRPr="000469B1">
              <w:rPr>
                <w:rFonts w:ascii="Arial" w:hAnsi="Arial" w:cs="Arial"/>
                <w:sz w:val="22"/>
                <w:szCs w:val="22"/>
                <w:lang w:eastAsia="zh-CN"/>
              </w:rPr>
              <w:t xml:space="preserve"> comment 103 p.80). The GNSO Council is aware that a Working Group Enrollment tool is part of the ICANN I.T. budget, but wishes to see active development in the matter. Onboarding is currently handled by GNSO Secretariat staff via Google sign up forms, and individual email follow ups regarding Statement of interest completion. The </w:t>
            </w:r>
            <w:r w:rsidR="00AF2283">
              <w:rPr>
                <w:rFonts w:ascii="Arial" w:hAnsi="Arial" w:cs="Arial"/>
                <w:sz w:val="22"/>
                <w:szCs w:val="22"/>
                <w:lang w:eastAsia="zh-CN"/>
              </w:rPr>
              <w:t xml:space="preserve">current </w:t>
            </w:r>
            <w:r w:rsidR="003801FD" w:rsidRPr="000469B1">
              <w:rPr>
                <w:rFonts w:ascii="Arial" w:hAnsi="Arial" w:cs="Arial"/>
                <w:sz w:val="22"/>
                <w:szCs w:val="22"/>
                <w:lang w:eastAsia="zh-CN"/>
              </w:rPr>
              <w:t>process is slow</w:t>
            </w:r>
            <w:r w:rsidR="00AF2283">
              <w:rPr>
                <w:rFonts w:ascii="Arial" w:hAnsi="Arial" w:cs="Arial"/>
                <w:sz w:val="22"/>
                <w:szCs w:val="22"/>
                <w:lang w:eastAsia="zh-CN"/>
              </w:rPr>
              <w:t>, decentralized</w:t>
            </w:r>
            <w:r w:rsidR="003801FD" w:rsidRPr="000469B1">
              <w:rPr>
                <w:rFonts w:ascii="Arial" w:hAnsi="Arial" w:cs="Arial"/>
                <w:sz w:val="22"/>
                <w:szCs w:val="22"/>
                <w:lang w:eastAsia="zh-CN"/>
              </w:rPr>
              <w:t xml:space="preserve"> and administratively heavy, both for staff persons involved and community members. An automated sign-up tool would allow for a clear and centralized access to working group onboarding, facilitate group management from sign up to meeting attendance management</w:t>
            </w:r>
            <w:r w:rsidR="000521D3">
              <w:rPr>
                <w:rFonts w:ascii="Arial" w:hAnsi="Arial" w:cs="Arial"/>
                <w:sz w:val="22"/>
                <w:szCs w:val="22"/>
                <w:lang w:eastAsia="zh-CN"/>
              </w:rPr>
              <w:t>, facilitate adherence with applicable legislation such as the GDPR</w:t>
            </w:r>
            <w:r w:rsidR="003801FD" w:rsidRPr="000469B1">
              <w:rPr>
                <w:rFonts w:ascii="Arial" w:hAnsi="Arial" w:cs="Arial"/>
                <w:sz w:val="22"/>
                <w:szCs w:val="22"/>
                <w:lang w:eastAsia="zh-CN"/>
              </w:rPr>
              <w:t xml:space="preserve"> and would therefore provide clear reporting capabilities.</w:t>
            </w:r>
            <w:r w:rsidR="00E75245">
              <w:rPr>
                <w:rFonts w:ascii="Arial" w:hAnsi="Arial" w:cs="Arial"/>
                <w:sz w:val="22"/>
                <w:szCs w:val="22"/>
                <w:lang w:eastAsia="zh-CN"/>
              </w:rPr>
              <w:t xml:space="preserve"> The GNSO Council notes that this tool also aligns with the GNSO Review recommendations which were adopted by the ICANN Board</w:t>
            </w:r>
            <w:bookmarkStart w:id="0" w:name="_GoBack"/>
            <w:bookmarkEnd w:id="0"/>
            <w:r w:rsidR="00E75245">
              <w:rPr>
                <w:rFonts w:ascii="Arial" w:hAnsi="Arial" w:cs="Arial"/>
                <w:sz w:val="22"/>
                <w:szCs w:val="22"/>
                <w:lang w:eastAsia="zh-CN"/>
              </w:rPr>
              <w:t>.</w:t>
            </w:r>
          </w:p>
          <w:p w14:paraId="748F10C7" w14:textId="460A11DD" w:rsidR="00F576B8" w:rsidRPr="009A058F" w:rsidRDefault="00F576B8" w:rsidP="00EB3FA1">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544F24D5" w:rsidR="00F576B8" w:rsidRPr="00E75245" w:rsidRDefault="003801FD" w:rsidP="009A058F">
            <w:pPr>
              <w:rPr>
                <w:rFonts w:ascii="Arial" w:hAnsi="Arial"/>
                <w:sz w:val="22"/>
                <w:szCs w:val="22"/>
              </w:rPr>
            </w:pPr>
            <w:r w:rsidRPr="00E75245">
              <w:rPr>
                <w:rFonts w:ascii="Arial" w:hAnsi="Arial"/>
                <w:sz w:val="22"/>
                <w:szCs w:val="22"/>
              </w:rPr>
              <w:t>Working Group engagement and management.</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321897EF" w:rsidR="00F576B8" w:rsidRPr="00E75245" w:rsidRDefault="00866BF6" w:rsidP="001B79F2">
            <w:pPr>
              <w:rPr>
                <w:rFonts w:ascii="Arial" w:hAnsi="Arial"/>
                <w:sz w:val="22"/>
                <w:szCs w:val="22"/>
              </w:rPr>
            </w:pPr>
            <w:r w:rsidRPr="00E75245">
              <w:rPr>
                <w:rFonts w:ascii="Arial" w:hAnsi="Arial"/>
                <w:sz w:val="22"/>
                <w:szCs w:val="22"/>
              </w:rPr>
              <w:t xml:space="preserve">Once the </w:t>
            </w:r>
            <w:r w:rsidR="00AF2283" w:rsidRPr="00E75245">
              <w:rPr>
                <w:rFonts w:ascii="Arial" w:hAnsi="Arial"/>
                <w:sz w:val="22"/>
                <w:szCs w:val="22"/>
              </w:rPr>
              <w:t xml:space="preserve">is </w:t>
            </w:r>
            <w:r w:rsidRPr="00E75245">
              <w:rPr>
                <w:rFonts w:ascii="Arial" w:hAnsi="Arial"/>
                <w:sz w:val="22"/>
                <w:szCs w:val="22"/>
              </w:rPr>
              <w:t>tool created</w:t>
            </w:r>
            <w:r w:rsidR="00AF2283" w:rsidRPr="00E75245">
              <w:rPr>
                <w:rFonts w:ascii="Arial" w:hAnsi="Arial"/>
                <w:sz w:val="22"/>
                <w:szCs w:val="22"/>
              </w:rPr>
              <w:t xml:space="preserve"> and deployed</w:t>
            </w:r>
            <w:r w:rsidRPr="00E75245">
              <w:rPr>
                <w:rFonts w:ascii="Arial" w:hAnsi="Arial"/>
                <w:sz w:val="22"/>
                <w:szCs w:val="22"/>
              </w:rPr>
              <w:t>, it would be used recurrently for all GNSO WGs</w:t>
            </w:r>
            <w:r w:rsidR="00FC788B">
              <w:rPr>
                <w:rFonts w:ascii="Arial" w:hAnsi="Arial"/>
                <w:sz w:val="22"/>
                <w:szCs w:val="22"/>
              </w:rPr>
              <w:t>, with potential use beyond the GNSO community</w:t>
            </w:r>
            <w:r w:rsidRPr="00E75245">
              <w:rPr>
                <w:rFonts w:ascii="Arial" w:hAnsi="Arial"/>
                <w:sz w:val="22"/>
                <w:szCs w:val="22"/>
              </w:rPr>
              <w:t>.</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1A99059A" w14:textId="77777777" w:rsidR="00EE5B32" w:rsidRPr="00EE5B32" w:rsidRDefault="00EE5B32" w:rsidP="00EE5B32">
            <w:pPr>
              <w:shd w:val="clear" w:color="auto" w:fill="FFFFFF"/>
              <w:rPr>
                <w:rFonts w:ascii="Arial" w:hAnsi="Arial" w:cs="Arial"/>
                <w:sz w:val="22"/>
                <w:szCs w:val="22"/>
                <w:lang w:eastAsia="zh-CN"/>
              </w:rPr>
            </w:pPr>
            <w:r w:rsidRPr="00EE5B32">
              <w:rPr>
                <w:rFonts w:ascii="Arial" w:hAnsi="Arial" w:cs="Arial"/>
                <w:sz w:val="22"/>
                <w:szCs w:val="22"/>
                <w:lang w:eastAsia="zh-CN"/>
              </w:rPr>
              <w:lastRenderedPageBreak/>
              <w:t>This request strategically aligns with:</w:t>
            </w:r>
          </w:p>
          <w:p w14:paraId="7B78B0EB" w14:textId="77777777" w:rsidR="00EE5B32" w:rsidRPr="00EE5B32" w:rsidRDefault="00EE5B32" w:rsidP="00EE5B32">
            <w:pPr>
              <w:shd w:val="clear" w:color="auto" w:fill="FFFFFF"/>
              <w:rPr>
                <w:rFonts w:ascii="Arial" w:hAnsi="Arial" w:cs="Arial"/>
                <w:sz w:val="22"/>
                <w:szCs w:val="22"/>
                <w:lang w:eastAsia="zh-CN"/>
              </w:rPr>
            </w:pPr>
            <w:r w:rsidRPr="00EE5B32">
              <w:rPr>
                <w:rFonts w:ascii="Arial" w:hAnsi="Arial" w:cs="Arial"/>
                <w:sz w:val="22"/>
                <w:szCs w:val="22"/>
                <w:lang w:eastAsia="zh-CN"/>
              </w:rPr>
              <w:t>1. Evolve and further globalize ICANN</w:t>
            </w:r>
          </w:p>
          <w:p w14:paraId="3F443310" w14:textId="30AA5464" w:rsidR="00EE5B32" w:rsidRPr="00EE5B32" w:rsidRDefault="00EE5B32" w:rsidP="00EE5B32">
            <w:pPr>
              <w:shd w:val="clear" w:color="auto" w:fill="FFFFFF"/>
              <w:rPr>
                <w:rFonts w:ascii="Arial" w:hAnsi="Arial" w:cs="Arial"/>
                <w:sz w:val="22"/>
                <w:szCs w:val="22"/>
                <w:lang w:eastAsia="zh-CN"/>
              </w:rPr>
            </w:pPr>
            <w:r w:rsidRPr="00EE5B32">
              <w:rPr>
                <w:rFonts w:ascii="Arial" w:hAnsi="Arial" w:cs="Arial"/>
                <w:sz w:val="22"/>
                <w:szCs w:val="22"/>
                <w:lang w:eastAsia="zh-CN"/>
              </w:rPr>
              <w:t>1.3 Evolve policy development and governance processes, structures and meetings to be more accountable, inclusive,</w:t>
            </w:r>
            <w:r w:rsidRPr="000469B1">
              <w:rPr>
                <w:rFonts w:ascii="Arial" w:hAnsi="Arial" w:cs="Arial"/>
                <w:sz w:val="22"/>
                <w:szCs w:val="22"/>
                <w:lang w:eastAsia="zh-CN"/>
              </w:rPr>
              <w:t xml:space="preserve"> </w:t>
            </w:r>
            <w:r w:rsidRPr="00EE5B32">
              <w:rPr>
                <w:rFonts w:ascii="Arial" w:hAnsi="Arial" w:cs="Arial"/>
                <w:sz w:val="22"/>
                <w:szCs w:val="22"/>
                <w:lang w:eastAsia="zh-CN"/>
              </w:rPr>
              <w:t>efficient, effective and responsive.</w:t>
            </w:r>
          </w:p>
          <w:p w14:paraId="3667C0E2" w14:textId="77777777" w:rsidR="00EE5B32" w:rsidRPr="00EE5B32" w:rsidRDefault="00EE5B32" w:rsidP="00EE5B32">
            <w:pPr>
              <w:shd w:val="clear" w:color="auto" w:fill="FFFFFF"/>
              <w:rPr>
                <w:rFonts w:ascii="Arial" w:hAnsi="Arial" w:cs="Arial"/>
                <w:sz w:val="22"/>
                <w:szCs w:val="22"/>
                <w:lang w:eastAsia="zh-CN"/>
              </w:rPr>
            </w:pPr>
            <w:r w:rsidRPr="00EE5B32">
              <w:rPr>
                <w:rFonts w:ascii="Arial" w:hAnsi="Arial" w:cs="Arial"/>
                <w:sz w:val="22"/>
                <w:szCs w:val="22"/>
                <w:lang w:eastAsia="zh-CN"/>
              </w:rPr>
              <w:t xml:space="preserve">4. Promote ICANN’s role and </w:t>
            </w:r>
            <w:proofErr w:type="spellStart"/>
            <w:r w:rsidRPr="00EE5B32">
              <w:rPr>
                <w:rFonts w:ascii="Arial" w:hAnsi="Arial" w:cs="Arial"/>
                <w:sz w:val="22"/>
                <w:szCs w:val="22"/>
                <w:lang w:eastAsia="zh-CN"/>
              </w:rPr>
              <w:t>multistakeholder</w:t>
            </w:r>
            <w:proofErr w:type="spellEnd"/>
            <w:r w:rsidRPr="00EE5B32">
              <w:rPr>
                <w:rFonts w:ascii="Arial" w:hAnsi="Arial" w:cs="Arial"/>
                <w:sz w:val="22"/>
                <w:szCs w:val="22"/>
                <w:lang w:eastAsia="zh-CN"/>
              </w:rPr>
              <w:t xml:space="preserve"> approach</w:t>
            </w:r>
          </w:p>
          <w:p w14:paraId="35342321" w14:textId="539B12F2" w:rsidR="00F576B8" w:rsidRPr="00B06A16" w:rsidRDefault="00EE5B32" w:rsidP="00E75245">
            <w:pPr>
              <w:shd w:val="clear" w:color="auto" w:fill="FFFFFF"/>
              <w:rPr>
                <w:b/>
              </w:rPr>
            </w:pPr>
            <w:r w:rsidRPr="00EE5B32">
              <w:rPr>
                <w:rFonts w:ascii="Arial" w:hAnsi="Arial" w:cs="Arial"/>
                <w:sz w:val="22"/>
                <w:szCs w:val="22"/>
                <w:lang w:eastAsia="zh-CN"/>
              </w:rPr>
              <w:t>4.1 Encourage engagemen</w:t>
            </w:r>
            <w:r w:rsidRPr="000469B1">
              <w:rPr>
                <w:rFonts w:ascii="Arial" w:hAnsi="Arial" w:cs="Arial"/>
                <w:sz w:val="22"/>
                <w:szCs w:val="22"/>
                <w:lang w:eastAsia="zh-CN"/>
              </w:rPr>
              <w:t>t</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803BBEA" w14:textId="1F93229E" w:rsidR="00B57027" w:rsidRPr="000D25EF" w:rsidRDefault="00866BF6" w:rsidP="00F50A85">
            <w:pPr>
              <w:rPr>
                <w:rFonts w:ascii="Arial" w:hAnsi="Arial" w:cs="Arial"/>
                <w:bCs/>
                <w:sz w:val="22"/>
                <w:szCs w:val="22"/>
              </w:rPr>
            </w:pPr>
            <w:r w:rsidRPr="000D25EF">
              <w:rPr>
                <w:rFonts w:ascii="Arial" w:hAnsi="Arial" w:cs="Arial"/>
                <w:bCs/>
                <w:sz w:val="22"/>
                <w:szCs w:val="22"/>
              </w:rPr>
              <w:t xml:space="preserve">Community members participating in WGs, CCWGs, Drafting Teams </w:t>
            </w:r>
            <w:proofErr w:type="spellStart"/>
            <w:r w:rsidRPr="000D25EF">
              <w:rPr>
                <w:rFonts w:ascii="Arial" w:hAnsi="Arial" w:cs="Arial"/>
                <w:bCs/>
                <w:sz w:val="22"/>
                <w:szCs w:val="22"/>
              </w:rPr>
              <w:t>etc</w:t>
            </w:r>
            <w:proofErr w:type="spellEnd"/>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2419FA9E" w14:textId="57938F2D" w:rsidR="00B57027" w:rsidRDefault="000D25EF" w:rsidP="009933BD">
            <w:pPr>
              <w:pStyle w:val="FormHeading1"/>
              <w:rPr>
                <w:smallCaps w:val="0"/>
                <w:noProof w:val="0"/>
                <w:sz w:val="18"/>
              </w:rPr>
            </w:pPr>
            <w:r w:rsidRPr="000D25EF">
              <w:rPr>
                <w:b w:val="0"/>
                <w:bCs/>
                <w:smallCaps w:val="0"/>
                <w:noProof w:val="0"/>
                <w:sz w:val="22"/>
                <w:szCs w:val="22"/>
              </w:rPr>
              <w:t xml:space="preserve">Once the Working Group Enrollment tool </w:t>
            </w:r>
            <w:r w:rsidR="00AF2283">
              <w:rPr>
                <w:b w:val="0"/>
                <w:bCs/>
                <w:smallCaps w:val="0"/>
                <w:noProof w:val="0"/>
                <w:sz w:val="22"/>
                <w:szCs w:val="22"/>
              </w:rPr>
              <w:t xml:space="preserve">is </w:t>
            </w:r>
            <w:r w:rsidRPr="000D25EF">
              <w:rPr>
                <w:b w:val="0"/>
                <w:bCs/>
                <w:smallCaps w:val="0"/>
                <w:noProof w:val="0"/>
                <w:sz w:val="22"/>
                <w:szCs w:val="22"/>
              </w:rPr>
              <w:t>created and tested, it would facilitate access to working group activity to newcomers through a user-friendly portal, would ensure onboarding consistency in terms of data collected</w:t>
            </w:r>
            <w:r w:rsidR="00A02794">
              <w:rPr>
                <w:b w:val="0"/>
                <w:bCs/>
                <w:smallCaps w:val="0"/>
                <w:noProof w:val="0"/>
                <w:sz w:val="22"/>
                <w:szCs w:val="22"/>
              </w:rPr>
              <w:t xml:space="preserve">, </w:t>
            </w:r>
            <w:r w:rsidR="00A02794" w:rsidRPr="00E75245">
              <w:rPr>
                <w:b w:val="0"/>
                <w:bCs/>
                <w:smallCaps w:val="0"/>
                <w:noProof w:val="0"/>
                <w:sz w:val="22"/>
                <w:szCs w:val="22"/>
              </w:rPr>
              <w:t>facilitate adherence with applicable legislation such as the GDPR</w:t>
            </w:r>
            <w:r w:rsidR="00A02794">
              <w:rPr>
                <w:b w:val="0"/>
                <w:bCs/>
                <w:smallCaps w:val="0"/>
                <w:noProof w:val="0"/>
                <w:sz w:val="22"/>
                <w:szCs w:val="22"/>
              </w:rPr>
              <w:t xml:space="preserve">, </w:t>
            </w:r>
            <w:r w:rsidRPr="000D25EF">
              <w:rPr>
                <w:b w:val="0"/>
                <w:bCs/>
                <w:smallCaps w:val="0"/>
                <w:noProof w:val="0"/>
                <w:sz w:val="22"/>
                <w:szCs w:val="22"/>
              </w:rPr>
              <w:t>and would allow clear reporting capabilities on membership representation and activity.</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524D86F" w14:textId="32643987" w:rsidR="00F576B8" w:rsidRDefault="00C97330" w:rsidP="00B91DDC">
            <w:pPr>
              <w:rPr>
                <w:rFonts w:ascii="Arial" w:hAnsi="Arial" w:cs="Arial"/>
                <w:bCs/>
                <w:sz w:val="22"/>
                <w:szCs w:val="22"/>
              </w:rPr>
            </w:pPr>
            <w:r w:rsidRPr="00C97330">
              <w:rPr>
                <w:rFonts w:ascii="Arial" w:hAnsi="Arial" w:cs="Arial"/>
                <w:bCs/>
                <w:sz w:val="22"/>
                <w:szCs w:val="22"/>
              </w:rPr>
              <w:t>The reporting capabilities would allow staff to measure a decrease in onboarding delays and record membership activity.</w:t>
            </w:r>
            <w:r w:rsidR="00230FB7">
              <w:rPr>
                <w:rFonts w:ascii="Arial" w:hAnsi="Arial" w:cs="Arial"/>
                <w:bCs/>
                <w:sz w:val="22"/>
                <w:szCs w:val="22"/>
              </w:rPr>
              <w:t xml:space="preserve"> Furthermore, staff would assess community satisfaction with the Working Group Enrollment tool (this could even be done as part of the </w:t>
            </w:r>
            <w:r w:rsidR="009138EB">
              <w:rPr>
                <w:rFonts w:ascii="Arial" w:hAnsi="Arial" w:cs="Arial"/>
                <w:bCs/>
                <w:sz w:val="22"/>
                <w:szCs w:val="22"/>
              </w:rPr>
              <w:t>sign-up</w:t>
            </w:r>
            <w:r w:rsidR="00230FB7">
              <w:rPr>
                <w:rFonts w:ascii="Arial" w:hAnsi="Arial" w:cs="Arial"/>
                <w:bCs/>
                <w:sz w:val="22"/>
                <w:szCs w:val="22"/>
              </w:rPr>
              <w:t xml:space="preserve"> process with a request for immediate feedback on the experience and possible suggestions for improvements). </w:t>
            </w:r>
          </w:p>
          <w:p w14:paraId="47B137C4" w14:textId="2A9D55C6" w:rsidR="00A02794" w:rsidRPr="00C97330" w:rsidRDefault="00A02794" w:rsidP="00B91DDC">
            <w:pPr>
              <w:rPr>
                <w:rFonts w:ascii="Arial" w:hAnsi="Arial" w:cs="Arial"/>
                <w:bCs/>
                <w:sz w:val="22"/>
                <w:szCs w:val="22"/>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3A7D26F" w:rsidR="003223B8" w:rsidRPr="00F576B8" w:rsidRDefault="00235AAF" w:rsidP="003223B8">
                  <w:pPr>
                    <w:pStyle w:val="TableText"/>
                    <w:rPr>
                      <w:noProof w:val="0"/>
                    </w:rPr>
                  </w:pPr>
                  <w:r>
                    <w:rPr>
                      <w:noProof w:val="0"/>
                    </w:rPr>
                    <w:t>Policy staff</w:t>
                  </w:r>
                </w:p>
              </w:tc>
              <w:tc>
                <w:tcPr>
                  <w:tcW w:w="2010" w:type="dxa"/>
                  <w:tcBorders>
                    <w:top w:val="single" w:sz="12" w:space="0" w:color="auto"/>
                    <w:left w:val="single" w:sz="12" w:space="0" w:color="auto"/>
                  </w:tcBorders>
                </w:tcPr>
                <w:p w14:paraId="3F687C65" w14:textId="2840AF89" w:rsidR="003223B8" w:rsidRPr="00F576B8" w:rsidRDefault="00235AAF" w:rsidP="001B79F2">
                  <w:pPr>
                    <w:pStyle w:val="TableText"/>
                    <w:rPr>
                      <w:noProof w:val="0"/>
                    </w:rPr>
                  </w:pPr>
                  <w:r>
                    <w:rPr>
                      <w:noProof w:val="0"/>
                    </w:rPr>
                    <w:t>TBD</w:t>
                  </w:r>
                </w:p>
              </w:tc>
              <w:tc>
                <w:tcPr>
                  <w:tcW w:w="2009" w:type="dxa"/>
                  <w:tcBorders>
                    <w:top w:val="single" w:sz="12" w:space="0" w:color="auto"/>
                  </w:tcBorders>
                </w:tcPr>
                <w:p w14:paraId="26790AB5" w14:textId="549AF1FC" w:rsidR="003223B8" w:rsidRPr="00F576B8" w:rsidRDefault="00235AAF" w:rsidP="001B79F2">
                  <w:pPr>
                    <w:pStyle w:val="TableText"/>
                    <w:rPr>
                      <w:noProof w:val="0"/>
                    </w:rPr>
                  </w:pPr>
                  <w:r>
                    <w:rPr>
                      <w:noProof w:val="0"/>
                    </w:rPr>
                    <w:t>TBD</w:t>
                  </w:r>
                </w:p>
              </w:tc>
              <w:tc>
                <w:tcPr>
                  <w:tcW w:w="2010" w:type="dxa"/>
                  <w:tcBorders>
                    <w:top w:val="single" w:sz="12" w:space="0" w:color="auto"/>
                  </w:tcBorders>
                </w:tcPr>
                <w:p w14:paraId="0C9C7755" w14:textId="57423ADE" w:rsidR="003223B8" w:rsidRPr="00F576B8" w:rsidRDefault="00235AAF" w:rsidP="003223B8">
                  <w:pPr>
                    <w:pStyle w:val="TableText"/>
                    <w:rPr>
                      <w:noProof w:val="0"/>
                    </w:rPr>
                  </w:pPr>
                  <w:r>
                    <w:rPr>
                      <w:noProof w:val="0"/>
                    </w:rPr>
                    <w:t>TBD</w:t>
                  </w: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22D94D30" w:rsidR="003223B8" w:rsidRDefault="00235AAF" w:rsidP="001B79F2">
                  <w:pPr>
                    <w:pStyle w:val="TableText"/>
                    <w:rPr>
                      <w:noProof w:val="0"/>
                    </w:rPr>
                  </w:pPr>
                  <w:r>
                    <w:rPr>
                      <w:noProof w:val="0"/>
                    </w:rPr>
                    <w:t>Secretariat staff</w:t>
                  </w:r>
                </w:p>
              </w:tc>
              <w:tc>
                <w:tcPr>
                  <w:tcW w:w="2010" w:type="dxa"/>
                  <w:tcBorders>
                    <w:left w:val="single" w:sz="12" w:space="0" w:color="auto"/>
                  </w:tcBorders>
                </w:tcPr>
                <w:p w14:paraId="65B24F32" w14:textId="0572EB8E" w:rsidR="003223B8" w:rsidRDefault="00235AAF" w:rsidP="001B79F2">
                  <w:pPr>
                    <w:pStyle w:val="TableText"/>
                    <w:rPr>
                      <w:noProof w:val="0"/>
                    </w:rPr>
                  </w:pPr>
                  <w:r>
                    <w:rPr>
                      <w:noProof w:val="0"/>
                    </w:rPr>
                    <w:t>TBD</w:t>
                  </w:r>
                </w:p>
              </w:tc>
              <w:tc>
                <w:tcPr>
                  <w:tcW w:w="2009" w:type="dxa"/>
                </w:tcPr>
                <w:p w14:paraId="04952203" w14:textId="24C35425" w:rsidR="003223B8" w:rsidRDefault="00235AAF" w:rsidP="001B79F2">
                  <w:pPr>
                    <w:pStyle w:val="TableText"/>
                    <w:rPr>
                      <w:noProof w:val="0"/>
                    </w:rPr>
                  </w:pPr>
                  <w:r>
                    <w:rPr>
                      <w:noProof w:val="0"/>
                    </w:rPr>
                    <w:t>TBD</w:t>
                  </w:r>
                </w:p>
              </w:tc>
              <w:tc>
                <w:tcPr>
                  <w:tcW w:w="2010" w:type="dxa"/>
                </w:tcPr>
                <w:p w14:paraId="68466F54" w14:textId="747FD3B3" w:rsidR="003223B8" w:rsidRDefault="00235AAF" w:rsidP="001B79F2">
                  <w:pPr>
                    <w:pStyle w:val="TableText"/>
                    <w:rPr>
                      <w:noProof w:val="0"/>
                    </w:rPr>
                  </w:pPr>
                  <w:r>
                    <w:rPr>
                      <w:noProof w:val="0"/>
                    </w:rPr>
                    <w:t>TBD</w:t>
                  </w: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6E96612" w:rsidR="003223B8" w:rsidRDefault="00235AAF" w:rsidP="001B79F2">
                  <w:pPr>
                    <w:pStyle w:val="TableText"/>
                    <w:rPr>
                      <w:noProof w:val="0"/>
                    </w:rPr>
                  </w:pPr>
                  <w:r>
                    <w:rPr>
                      <w:noProof w:val="0"/>
                    </w:rPr>
                    <w:t>IT staff</w:t>
                  </w:r>
                </w:p>
              </w:tc>
              <w:tc>
                <w:tcPr>
                  <w:tcW w:w="2010" w:type="dxa"/>
                  <w:tcBorders>
                    <w:left w:val="single" w:sz="12" w:space="0" w:color="auto"/>
                    <w:bottom w:val="single" w:sz="12" w:space="0" w:color="auto"/>
                  </w:tcBorders>
                </w:tcPr>
                <w:p w14:paraId="1DBEFD28" w14:textId="22FDBDE5" w:rsidR="003223B8" w:rsidRDefault="00235AAF" w:rsidP="001B79F2">
                  <w:pPr>
                    <w:pStyle w:val="TableText"/>
                    <w:rPr>
                      <w:noProof w:val="0"/>
                    </w:rPr>
                  </w:pPr>
                  <w:r>
                    <w:rPr>
                      <w:noProof w:val="0"/>
                    </w:rPr>
                    <w:t>TBD</w:t>
                  </w:r>
                </w:p>
              </w:tc>
              <w:tc>
                <w:tcPr>
                  <w:tcW w:w="2009" w:type="dxa"/>
                  <w:tcBorders>
                    <w:bottom w:val="single" w:sz="12" w:space="0" w:color="auto"/>
                  </w:tcBorders>
                </w:tcPr>
                <w:p w14:paraId="4302A486" w14:textId="7B6ACF9B" w:rsidR="003223B8" w:rsidRDefault="00235AAF" w:rsidP="001B79F2">
                  <w:pPr>
                    <w:pStyle w:val="TableText"/>
                    <w:rPr>
                      <w:noProof w:val="0"/>
                    </w:rPr>
                  </w:pPr>
                  <w:r>
                    <w:rPr>
                      <w:noProof w:val="0"/>
                    </w:rPr>
                    <w:t>TBD</w:t>
                  </w:r>
                </w:p>
              </w:tc>
              <w:tc>
                <w:tcPr>
                  <w:tcW w:w="2010" w:type="dxa"/>
                  <w:tcBorders>
                    <w:bottom w:val="single" w:sz="12" w:space="0" w:color="auto"/>
                  </w:tcBorders>
                </w:tcPr>
                <w:p w14:paraId="576E7CF9" w14:textId="4BAB7035" w:rsidR="003223B8" w:rsidRDefault="00235AAF" w:rsidP="001B79F2">
                  <w:pPr>
                    <w:pStyle w:val="TableText"/>
                    <w:rPr>
                      <w:noProof w:val="0"/>
                    </w:rPr>
                  </w:pPr>
                  <w:r>
                    <w:rPr>
                      <w:noProof w:val="0"/>
                    </w:rPr>
                    <w:t>TBD</w:t>
                  </w: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45177933" w:rsidR="00812455" w:rsidRDefault="004B1C96" w:rsidP="00946200">
            <w:pPr>
              <w:pStyle w:val="TableText"/>
              <w:rPr>
                <w:noProof w:val="0"/>
              </w:rPr>
            </w:pPr>
            <w:r>
              <w:rPr>
                <w:noProof w:val="0"/>
              </w:rPr>
              <w:t>ICANN Policy and Secretariat staff familiar with the on-boarding process and ICANN IT staff for tool development.</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7B3BED9C" w:rsidR="008F4418" w:rsidRDefault="004B1C96" w:rsidP="00946200">
            <w:pPr>
              <w:pStyle w:val="TableText"/>
              <w:rPr>
                <w:noProof w:val="0"/>
              </w:rPr>
            </w:pPr>
            <w:r>
              <w:rPr>
                <w:noProof w:val="0"/>
              </w:rPr>
              <w:t>Not applicable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3D3E26B1" w:rsidR="008F4418" w:rsidRDefault="004B1C96" w:rsidP="001B203B">
            <w:pPr>
              <w:pStyle w:val="TableText"/>
              <w:rPr>
                <w:noProof w:val="0"/>
              </w:rPr>
            </w:pPr>
            <w:r>
              <w:rPr>
                <w:noProof w:val="0"/>
              </w:rPr>
              <w:lastRenderedPageBreak/>
              <w:t>Not applicable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094D6D53" w:rsidR="001B203B" w:rsidRDefault="004B1C96" w:rsidP="00A8570C">
            <w:pPr>
              <w:pStyle w:val="TableText"/>
              <w:rPr>
                <w:noProof w:val="0"/>
              </w:rPr>
            </w:pPr>
            <w:r>
              <w:rPr>
                <w:noProof w:val="0"/>
              </w:rPr>
              <w:t>Not applicable</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5F536AF" w14:textId="2140B1DA" w:rsidR="00F576B8" w:rsidRDefault="004B1C96" w:rsidP="00A8570C">
            <w:pPr>
              <w:pStyle w:val="TableText"/>
              <w:rPr>
                <w:noProof w:val="0"/>
              </w:rPr>
            </w:pPr>
            <w:r>
              <w:rPr>
                <w:noProof w:val="0"/>
              </w:rPr>
              <w:t>Not applicable</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2A5EC7F2" w:rsidR="00A8570C" w:rsidRDefault="004B1C96" w:rsidP="00A8570C">
            <w:pPr>
              <w:pStyle w:val="TableText"/>
              <w:rPr>
                <w:noProof w:val="0"/>
              </w:rPr>
            </w:pPr>
            <w:r>
              <w:rPr>
                <w:noProof w:val="0"/>
              </w:rPr>
              <w:t>Not applicable</w:t>
            </w:r>
          </w:p>
        </w:tc>
      </w:tr>
    </w:tbl>
    <w:p w14:paraId="0D66D5B6"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ABBE" w14:textId="77777777" w:rsidR="00E92B3F" w:rsidRDefault="00E92B3F">
      <w:r>
        <w:separator/>
      </w:r>
    </w:p>
  </w:endnote>
  <w:endnote w:type="continuationSeparator" w:id="0">
    <w:p w14:paraId="448B31D6" w14:textId="77777777" w:rsidR="00E92B3F" w:rsidRDefault="00E9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64348">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D64348">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F0E65" w14:textId="77777777" w:rsidR="00E92B3F" w:rsidRDefault="00E92B3F">
      <w:r>
        <w:separator/>
      </w:r>
    </w:p>
  </w:footnote>
  <w:footnote w:type="continuationSeparator" w:id="0">
    <w:p w14:paraId="0202C673" w14:textId="77777777" w:rsidR="00E92B3F" w:rsidRDefault="00E92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1"/>
  </w:num>
  <w:num w:numId="13">
    <w:abstractNumId w:val="1"/>
  </w:num>
  <w:num w:numId="14">
    <w:abstractNumId w:val="7"/>
  </w:num>
  <w:num w:numId="15">
    <w:abstractNumId w:val="15"/>
  </w:num>
  <w:num w:numId="16">
    <w:abstractNumId w:val="23"/>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008A1"/>
    <w:rsid w:val="00005126"/>
    <w:rsid w:val="00044B6C"/>
    <w:rsid w:val="00045A2A"/>
    <w:rsid w:val="000469B1"/>
    <w:rsid w:val="000521D3"/>
    <w:rsid w:val="00052B22"/>
    <w:rsid w:val="00057FAB"/>
    <w:rsid w:val="0007794D"/>
    <w:rsid w:val="00087226"/>
    <w:rsid w:val="000D25EF"/>
    <w:rsid w:val="000F0437"/>
    <w:rsid w:val="00101488"/>
    <w:rsid w:val="00111C1A"/>
    <w:rsid w:val="00116D5D"/>
    <w:rsid w:val="001268ED"/>
    <w:rsid w:val="001375CA"/>
    <w:rsid w:val="00153363"/>
    <w:rsid w:val="00156975"/>
    <w:rsid w:val="00186F43"/>
    <w:rsid w:val="00194C42"/>
    <w:rsid w:val="001B203B"/>
    <w:rsid w:val="001B79F2"/>
    <w:rsid w:val="001C313A"/>
    <w:rsid w:val="001D2E5A"/>
    <w:rsid w:val="001E0C5E"/>
    <w:rsid w:val="002123F8"/>
    <w:rsid w:val="00214283"/>
    <w:rsid w:val="00214BC5"/>
    <w:rsid w:val="00230FB7"/>
    <w:rsid w:val="00233567"/>
    <w:rsid w:val="00235AAF"/>
    <w:rsid w:val="00255477"/>
    <w:rsid w:val="00257880"/>
    <w:rsid w:val="002D05C0"/>
    <w:rsid w:val="002E1484"/>
    <w:rsid w:val="002F444A"/>
    <w:rsid w:val="003223B8"/>
    <w:rsid w:val="00327418"/>
    <w:rsid w:val="003801FD"/>
    <w:rsid w:val="003A7367"/>
    <w:rsid w:val="003D2FC2"/>
    <w:rsid w:val="003F231E"/>
    <w:rsid w:val="003F32A0"/>
    <w:rsid w:val="00420E54"/>
    <w:rsid w:val="004B1C96"/>
    <w:rsid w:val="005145C9"/>
    <w:rsid w:val="00514B5C"/>
    <w:rsid w:val="005300CD"/>
    <w:rsid w:val="00542865"/>
    <w:rsid w:val="005428F3"/>
    <w:rsid w:val="005A15AF"/>
    <w:rsid w:val="005D7489"/>
    <w:rsid w:val="005D76FA"/>
    <w:rsid w:val="006003A1"/>
    <w:rsid w:val="00633E63"/>
    <w:rsid w:val="0064760B"/>
    <w:rsid w:val="006E40CC"/>
    <w:rsid w:val="006E71B7"/>
    <w:rsid w:val="006F08CA"/>
    <w:rsid w:val="006F34E0"/>
    <w:rsid w:val="00747390"/>
    <w:rsid w:val="00765F29"/>
    <w:rsid w:val="00785B92"/>
    <w:rsid w:val="00794D7A"/>
    <w:rsid w:val="007C1649"/>
    <w:rsid w:val="007C1D31"/>
    <w:rsid w:val="007C438B"/>
    <w:rsid w:val="00812455"/>
    <w:rsid w:val="00836C9F"/>
    <w:rsid w:val="00866BF6"/>
    <w:rsid w:val="008711BB"/>
    <w:rsid w:val="008B5196"/>
    <w:rsid w:val="008C27DD"/>
    <w:rsid w:val="008E472D"/>
    <w:rsid w:val="008F2EF4"/>
    <w:rsid w:val="008F4418"/>
    <w:rsid w:val="009032EF"/>
    <w:rsid w:val="009138EB"/>
    <w:rsid w:val="00946200"/>
    <w:rsid w:val="009676BF"/>
    <w:rsid w:val="009676C7"/>
    <w:rsid w:val="009933BD"/>
    <w:rsid w:val="009A058F"/>
    <w:rsid w:val="009A206F"/>
    <w:rsid w:val="009F0137"/>
    <w:rsid w:val="00A02794"/>
    <w:rsid w:val="00A32217"/>
    <w:rsid w:val="00A440E5"/>
    <w:rsid w:val="00A45647"/>
    <w:rsid w:val="00A8570C"/>
    <w:rsid w:val="00AA2BDC"/>
    <w:rsid w:val="00AE2210"/>
    <w:rsid w:val="00AE4F8F"/>
    <w:rsid w:val="00AF2283"/>
    <w:rsid w:val="00AF5760"/>
    <w:rsid w:val="00B029B7"/>
    <w:rsid w:val="00B06A16"/>
    <w:rsid w:val="00B57027"/>
    <w:rsid w:val="00B919CC"/>
    <w:rsid w:val="00B91DDC"/>
    <w:rsid w:val="00B93C76"/>
    <w:rsid w:val="00BC6E42"/>
    <w:rsid w:val="00BE07C4"/>
    <w:rsid w:val="00C25AF0"/>
    <w:rsid w:val="00C27A1C"/>
    <w:rsid w:val="00C52853"/>
    <w:rsid w:val="00C56DB3"/>
    <w:rsid w:val="00C97330"/>
    <w:rsid w:val="00CB0496"/>
    <w:rsid w:val="00CB7AEF"/>
    <w:rsid w:val="00CC4C7E"/>
    <w:rsid w:val="00CD143C"/>
    <w:rsid w:val="00CD3520"/>
    <w:rsid w:val="00CE25F6"/>
    <w:rsid w:val="00CF2016"/>
    <w:rsid w:val="00D037DD"/>
    <w:rsid w:val="00D4727B"/>
    <w:rsid w:val="00D51A69"/>
    <w:rsid w:val="00D54696"/>
    <w:rsid w:val="00D64348"/>
    <w:rsid w:val="00D84646"/>
    <w:rsid w:val="00D86C18"/>
    <w:rsid w:val="00DF023D"/>
    <w:rsid w:val="00E24E60"/>
    <w:rsid w:val="00E51700"/>
    <w:rsid w:val="00E75245"/>
    <w:rsid w:val="00E92776"/>
    <w:rsid w:val="00E92B3F"/>
    <w:rsid w:val="00E968F3"/>
    <w:rsid w:val="00EB3FA1"/>
    <w:rsid w:val="00EE1F95"/>
    <w:rsid w:val="00EE5B32"/>
    <w:rsid w:val="00EF13F9"/>
    <w:rsid w:val="00EF3511"/>
    <w:rsid w:val="00F02B69"/>
    <w:rsid w:val="00F15B02"/>
    <w:rsid w:val="00F326B3"/>
    <w:rsid w:val="00F34D86"/>
    <w:rsid w:val="00F50A85"/>
    <w:rsid w:val="00F55153"/>
    <w:rsid w:val="00F55AFA"/>
    <w:rsid w:val="00F576B8"/>
    <w:rsid w:val="00F838DA"/>
    <w:rsid w:val="00FC788B"/>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804199341">
      <w:bodyDiv w:val="1"/>
      <w:marLeft w:val="0"/>
      <w:marRight w:val="0"/>
      <w:marTop w:val="0"/>
      <w:marBottom w:val="0"/>
      <w:divBdr>
        <w:top w:val="none" w:sz="0" w:space="0" w:color="auto"/>
        <w:left w:val="none" w:sz="0" w:space="0" w:color="auto"/>
        <w:bottom w:val="none" w:sz="0" w:space="0" w:color="auto"/>
        <w:right w:val="none" w:sz="0" w:space="0" w:color="auto"/>
      </w:divBdr>
    </w:div>
    <w:div w:id="19818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en/system/files/files/report-comments-op-budget-fy17-five-year-06jun16-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Marika Konings</cp:lastModifiedBy>
  <cp:revision>2</cp:revision>
  <cp:lastPrinted>2013-12-13T19:58:00Z</cp:lastPrinted>
  <dcterms:created xsi:type="dcterms:W3CDTF">2018-01-24T01:04:00Z</dcterms:created>
  <dcterms:modified xsi:type="dcterms:W3CDTF">2018-01-24T01:04:00Z</dcterms:modified>
</cp:coreProperties>
</file>