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97" w:rsidRDefault="0038174E">
      <w:pPr>
        <w:contextualSpacing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Minutes of the GNSO Council Meeting 24 October part II 2018</w:t>
      </w:r>
    </w:p>
    <w:p w:rsidR="00EB4F97" w:rsidRDefault="0038174E">
      <w:pPr>
        <w:contextualSpacing w:val="0"/>
        <w:rPr>
          <w:b/>
          <w:color w:val="1155CC"/>
          <w:sz w:val="20"/>
          <w:szCs w:val="20"/>
          <w:u w:val="single"/>
        </w:rPr>
      </w:pPr>
      <w:hyperlink r:id="rId5">
        <w:r>
          <w:rPr>
            <w:b/>
            <w:color w:val="1155CC"/>
            <w:sz w:val="20"/>
            <w:szCs w:val="20"/>
            <w:u w:val="single"/>
          </w:rPr>
          <w:t>Agenda</w:t>
        </w:r>
      </w:hyperlink>
      <w:r>
        <w:rPr>
          <w:b/>
          <w:sz w:val="20"/>
          <w:szCs w:val="20"/>
        </w:rPr>
        <w:t xml:space="preserve"> and</w:t>
      </w:r>
      <w:hyperlink r:id="rId6">
        <w:r>
          <w:rPr>
            <w:b/>
            <w:color w:val="1155CC"/>
            <w:sz w:val="20"/>
            <w:szCs w:val="20"/>
            <w:u w:val="single"/>
          </w:rPr>
          <w:t xml:space="preserve"> Documents</w:t>
        </w:r>
      </w:hyperlink>
      <w:r>
        <w:fldChar w:fldCharType="begin"/>
      </w:r>
      <w:r>
        <w:instrText xml:space="preserve"> HYPERLINK "https://community.icann.org/x/8YLpB" </w:instrText>
      </w:r>
      <w:r>
        <w:fldChar w:fldCharType="separate"/>
      </w:r>
    </w:p>
    <w:p w:rsidR="00EB4F97" w:rsidRDefault="0038174E">
      <w:pPr>
        <w:shd w:val="clear" w:color="auto" w:fill="FFFFFF"/>
        <w:spacing w:before="160"/>
        <w:contextualSpacing w:val="0"/>
        <w:rPr>
          <w:sz w:val="20"/>
          <w:szCs w:val="20"/>
        </w:rPr>
      </w:pPr>
      <w:r>
        <w:fldChar w:fldCharType="end"/>
      </w:r>
      <w:r>
        <w:rPr>
          <w:color w:val="172B4D"/>
          <w:sz w:val="20"/>
          <w:szCs w:val="20"/>
          <w:highlight w:val="white"/>
        </w:rPr>
        <w:t xml:space="preserve">Coordinated Universal Time: 13:15 UTC: </w:t>
      </w:r>
      <w:hyperlink r:id="rId7">
        <w:r>
          <w:rPr>
            <w:color w:val="1155CC"/>
            <w:sz w:val="20"/>
            <w:szCs w:val="20"/>
            <w:highlight w:val="white"/>
            <w:u w:val="single"/>
          </w:rPr>
          <w:t>https://tinyurl.com/ycvf33wr</w:t>
        </w:r>
      </w:hyperlink>
    </w:p>
    <w:p w:rsidR="00EB4F97" w:rsidRDefault="00EB4F97">
      <w:pPr>
        <w:shd w:val="clear" w:color="auto" w:fill="FFFFFF"/>
        <w:spacing w:before="160"/>
        <w:contextualSpacing w:val="0"/>
        <w:rPr>
          <w:sz w:val="20"/>
          <w:szCs w:val="20"/>
        </w:rPr>
      </w:pPr>
    </w:p>
    <w:p w:rsidR="00EB4F97" w:rsidRDefault="0038174E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List of attendees:</w:t>
      </w:r>
      <w:r>
        <w:rPr>
          <w:sz w:val="20"/>
          <w:szCs w:val="20"/>
        </w:rPr>
        <w:t xml:space="preserve"> 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Nominating Committee Appointee (NCA): </w:t>
      </w:r>
      <w:r>
        <w:rPr>
          <w:b/>
          <w:sz w:val="20"/>
          <w:szCs w:val="20"/>
          <w:highlight w:val="white"/>
        </w:rPr>
        <w:t>– Non-Voting</w:t>
      </w:r>
      <w:r>
        <w:rPr>
          <w:sz w:val="20"/>
          <w:szCs w:val="20"/>
          <w:highlight w:val="white"/>
        </w:rPr>
        <w:t xml:space="preserve"> –  Erika Mann</w:t>
      </w:r>
    </w:p>
    <w:p w:rsidR="00EB4F97" w:rsidRDefault="0038174E">
      <w:pPr>
        <w:spacing w:line="261" w:lineRule="auto"/>
        <w:contextualSpacing w:val="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</w:t>
      </w:r>
      <w:r>
        <w:rPr>
          <w:b/>
          <w:sz w:val="20"/>
          <w:szCs w:val="20"/>
          <w:highlight w:val="white"/>
        </w:rPr>
        <w:t>ontracted Parties House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Registrar Stakeholder Group: Pam Little, Michele Neylon, Darcy Southwell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gTLD Registries Stakeholder Group: Maxim Alzoba, Keith Drazek, Rubens Kühl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Nominating Committee Appointee (NCA): Carlos Raul Gutierrez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Non-Contracted Parties H</w:t>
      </w:r>
      <w:r>
        <w:rPr>
          <w:b/>
          <w:sz w:val="20"/>
          <w:szCs w:val="20"/>
          <w:highlight w:val="white"/>
        </w:rPr>
        <w:t>ouse</w:t>
      </w:r>
      <w:r>
        <w:rPr>
          <w:sz w:val="20"/>
          <w:szCs w:val="20"/>
          <w:highlight w:val="white"/>
        </w:rPr>
        <w:t xml:space="preserve"> 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Commercial Stakeholder Group (CSG): Marie Pattullo, Scott McCormick, Philippe Fouquart, Tony Harris, Paul McGrady, Flip Petillion 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Non-Commercial Stakeholder Group (NCSG): Martin Silva Valent, Elsa Saade, Tatiana Tropina, Rafik Dammak, Ayden Férdelin</w:t>
      </w:r>
      <w:r>
        <w:rPr>
          <w:sz w:val="20"/>
          <w:szCs w:val="20"/>
          <w:highlight w:val="white"/>
        </w:rPr>
        <w:t>e (absent, proxy to Martin Silva Valent), Arsène Tungali (absent, temporary alternate Farrell Folly), Farrell Folly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Nominating Committee Appointee (NCA): Syed Ismail Shah (absent, proxy to Erika Mann)</w:t>
      </w:r>
    </w:p>
    <w:p w:rsidR="00EB4F97" w:rsidRDefault="0038174E">
      <w:pPr>
        <w:spacing w:line="261" w:lineRule="auto"/>
        <w:contextualSpacing w:val="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GNSO Council Liaisons/Observers: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Cheryl Langdon-Orr– AL</w:t>
      </w:r>
      <w:r>
        <w:rPr>
          <w:sz w:val="20"/>
          <w:szCs w:val="20"/>
          <w:highlight w:val="white"/>
        </w:rPr>
        <w:t xml:space="preserve">AC Liaison 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Julf (Johan) Helsingius– GNSO liaison to the GAC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Adebiyi Oladipo – ccNSO observer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ICANN Staff</w:t>
      </w:r>
      <w:r>
        <w:rPr>
          <w:sz w:val="20"/>
          <w:szCs w:val="20"/>
          <w:highlight w:val="white"/>
        </w:rPr>
        <w:t xml:space="preserve"> 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David Olive -Senior Vice President, Policy Development Support and Managing Manager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Marika Konings – Vice President, Policy Development Support – GNSO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Mary Wong – Vice President, Strategic Community Operations, Planning and Engagement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Julie Hedlund – Policy Director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Steve Chan – Policy Director</w:t>
      </w:r>
    </w:p>
    <w:p w:rsidR="00EB4F97" w:rsidRDefault="0038174E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Berry Cobb – Policy Consultant</w:t>
      </w:r>
    </w:p>
    <w:p w:rsidR="00EB4F97" w:rsidRDefault="0038174E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Emily Barabas</w:t>
      </w:r>
      <w:r>
        <w:rPr>
          <w:sz w:val="20"/>
          <w:szCs w:val="20"/>
        </w:rPr>
        <w:t xml:space="preserve"> – Policy Manager</w:t>
      </w:r>
    </w:p>
    <w:p w:rsidR="00EB4F97" w:rsidRDefault="0038174E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Ariel Liang – Policy Support Specialist</w:t>
      </w:r>
    </w:p>
    <w:p w:rsidR="00EB4F97" w:rsidRDefault="0038174E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Caitlin Tubergen – Policy Senior Manager</w:t>
      </w:r>
    </w:p>
    <w:p w:rsidR="00EB4F97" w:rsidRDefault="0038174E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Mike Brennan – Technical Support</w:t>
      </w:r>
    </w:p>
    <w:p w:rsidR="00EB4F97" w:rsidRDefault="0038174E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Nathalie Peregrine – Manager, Operations Support </w:t>
      </w:r>
    </w:p>
    <w:p w:rsidR="00EB4F97" w:rsidRDefault="0038174E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Terri Agnew - Operations Support - GNSO Lead Administrator</w:t>
      </w:r>
    </w:p>
    <w:p w:rsidR="00EB4F97" w:rsidRDefault="0038174E">
      <w:pPr>
        <w:spacing w:line="261" w:lineRule="auto"/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</w:p>
    <w:p w:rsidR="00EB4F97" w:rsidRDefault="0038174E">
      <w:pPr>
        <w:contextualSpacing w:val="0"/>
        <w:rPr>
          <w:color w:val="1155CC"/>
          <w:sz w:val="20"/>
          <w:szCs w:val="20"/>
          <w:highlight w:val="white"/>
          <w:u w:val="single"/>
        </w:rPr>
      </w:pPr>
      <w:hyperlink r:id="rId8">
        <w:r>
          <w:rPr>
            <w:color w:val="1155CC"/>
            <w:sz w:val="20"/>
            <w:szCs w:val="20"/>
            <w:highlight w:val="white"/>
            <w:u w:val="single"/>
          </w:rPr>
          <w:t>MP3 Recording</w:t>
        </w:r>
      </w:hyperlink>
      <w:r>
        <w:fldChar w:fldCharType="begin"/>
      </w:r>
      <w:r>
        <w:instrText xml:space="preserve"> HYPERLINK "https://audio.icann.org/gnso/gnso-council-26apr18-en.mp3" </w:instrText>
      </w:r>
      <w:r>
        <w:fldChar w:fldCharType="separate"/>
      </w: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fldChar w:fldCharType="end"/>
      </w:r>
      <w:hyperlink r:id="rId9">
        <w:r>
          <w:rPr>
            <w:color w:val="1155CC"/>
            <w:sz w:val="20"/>
            <w:szCs w:val="20"/>
            <w:highlight w:val="white"/>
            <w:u w:val="single"/>
          </w:rPr>
          <w:t>Transcript</w:t>
        </w:r>
      </w:hyperlink>
    </w:p>
    <w:p w:rsidR="00EB4F97" w:rsidRDefault="0038174E">
      <w:pPr>
        <w:contextualSpacing w:val="0"/>
        <w:rPr>
          <w:b/>
          <w:color w:val="333333"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</w:p>
    <w:p w:rsidR="00EB4F97" w:rsidRDefault="00EB4F97">
      <w:pPr>
        <w:contextualSpacing w:val="0"/>
        <w:rPr>
          <w:b/>
          <w:color w:val="333333"/>
          <w:sz w:val="20"/>
          <w:szCs w:val="20"/>
          <w:u w:val="single"/>
        </w:rPr>
      </w:pPr>
    </w:p>
    <w:p w:rsidR="00EB4F97" w:rsidRDefault="00EB4F97">
      <w:pPr>
        <w:contextualSpacing w:val="0"/>
        <w:rPr>
          <w:b/>
          <w:color w:val="333333"/>
          <w:sz w:val="20"/>
          <w:szCs w:val="20"/>
          <w:u w:val="single"/>
        </w:rPr>
      </w:pPr>
    </w:p>
    <w:p w:rsidR="00EB4F97" w:rsidRDefault="00EB4F97">
      <w:pPr>
        <w:contextualSpacing w:val="0"/>
        <w:rPr>
          <w:b/>
          <w:color w:val="333333"/>
          <w:sz w:val="20"/>
          <w:szCs w:val="20"/>
          <w:u w:val="single"/>
        </w:rPr>
      </w:pPr>
    </w:p>
    <w:p w:rsidR="00EB4F97" w:rsidRDefault="00EB4F97">
      <w:pPr>
        <w:contextualSpacing w:val="0"/>
        <w:rPr>
          <w:b/>
          <w:color w:val="333333"/>
          <w:sz w:val="20"/>
          <w:szCs w:val="20"/>
          <w:u w:val="single"/>
        </w:rPr>
      </w:pPr>
    </w:p>
    <w:p w:rsidR="00EB4F97" w:rsidRDefault="00EB4F97">
      <w:pPr>
        <w:contextualSpacing w:val="0"/>
        <w:rPr>
          <w:b/>
          <w:color w:val="333333"/>
          <w:sz w:val="20"/>
          <w:szCs w:val="20"/>
          <w:u w:val="single"/>
        </w:rPr>
      </w:pPr>
    </w:p>
    <w:p w:rsidR="00EB4F97" w:rsidRDefault="00EB4F97">
      <w:pPr>
        <w:contextualSpacing w:val="0"/>
        <w:rPr>
          <w:b/>
          <w:color w:val="333333"/>
          <w:sz w:val="20"/>
          <w:szCs w:val="20"/>
          <w:u w:val="single"/>
        </w:rPr>
      </w:pPr>
    </w:p>
    <w:p w:rsidR="00EB4F97" w:rsidRDefault="00EB4F97">
      <w:pPr>
        <w:shd w:val="clear" w:color="auto" w:fill="FFFFFF"/>
        <w:spacing w:before="160"/>
        <w:contextualSpacing w:val="0"/>
        <w:rPr>
          <w:b/>
          <w:u w:val="single"/>
        </w:rPr>
      </w:pPr>
    </w:p>
    <w:p w:rsidR="00EB4F97" w:rsidRDefault="0038174E">
      <w:pPr>
        <w:shd w:val="clear" w:color="auto" w:fill="FFFFFF"/>
        <w:spacing w:before="160"/>
        <w:contextualSpacing w:val="0"/>
        <w:rPr>
          <w:b/>
          <w:u w:val="single"/>
        </w:rPr>
      </w:pPr>
      <w:r>
        <w:rPr>
          <w:b/>
          <w:u w:val="single"/>
        </w:rPr>
        <w:t xml:space="preserve">Item 1. Seating of the 2018 / 2019 Council </w:t>
      </w:r>
    </w:p>
    <w:p w:rsidR="00EB4F97" w:rsidRDefault="0038174E">
      <w:pPr>
        <w:shd w:val="clear" w:color="auto" w:fill="FFFFFF"/>
        <w:spacing w:before="160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1.1 - Roll Call</w:t>
      </w:r>
    </w:p>
    <w:p w:rsidR="00EB4F97" w:rsidRDefault="0038174E">
      <w:pPr>
        <w:shd w:val="clear" w:color="auto" w:fill="FFFFFF"/>
        <w:spacing w:before="160"/>
        <w:contextualSpacing w:val="0"/>
        <w:rPr>
          <w:sz w:val="20"/>
          <w:szCs w:val="20"/>
        </w:rPr>
      </w:pPr>
      <w:r>
        <w:rPr>
          <w:sz w:val="20"/>
          <w:szCs w:val="20"/>
        </w:rPr>
        <w:t>1.2 - Statements of Interest</w:t>
      </w:r>
    </w:p>
    <w:p w:rsidR="00EB4F97" w:rsidRDefault="0038174E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Statements of interest were received from the new Councillors:</w:t>
      </w:r>
    </w:p>
    <w:p w:rsidR="00EB4F97" w:rsidRDefault="0038174E">
      <w:pPr>
        <w:shd w:val="clear" w:color="auto" w:fill="FFFFFF"/>
        <w:spacing w:before="160" w:line="240" w:lineRule="auto"/>
        <w:contextualSpacing w:val="0"/>
        <w:rPr>
          <w:color w:val="172B4D"/>
          <w:sz w:val="20"/>
          <w:szCs w:val="20"/>
        </w:rPr>
      </w:pPr>
      <w:r>
        <w:rPr>
          <w:color w:val="172B4D"/>
          <w:sz w:val="20"/>
          <w:szCs w:val="20"/>
        </w:rPr>
        <w:t xml:space="preserve">Maxim Alzoba - </w:t>
      </w:r>
      <w:hyperlink r:id="rId10">
        <w:r>
          <w:rPr>
            <w:color w:val="1155CC"/>
            <w:sz w:val="20"/>
            <w:szCs w:val="20"/>
            <w:u w:val="single"/>
          </w:rPr>
          <w:t>SOI</w:t>
        </w:r>
      </w:hyperlink>
      <w:r>
        <w:rPr>
          <w:color w:val="172B4D"/>
          <w:sz w:val="20"/>
          <w:szCs w:val="20"/>
        </w:rPr>
        <w:t xml:space="preserve"> Registries Stakeholder Group</w:t>
      </w:r>
    </w:p>
    <w:p w:rsidR="00EB4F97" w:rsidRDefault="0038174E">
      <w:pPr>
        <w:shd w:val="clear" w:color="auto" w:fill="FFFFFF"/>
        <w:spacing w:before="160" w:line="240" w:lineRule="auto"/>
        <w:contextualSpacing w:val="0"/>
        <w:rPr>
          <w:color w:val="172B4D"/>
          <w:sz w:val="20"/>
          <w:szCs w:val="20"/>
        </w:rPr>
      </w:pPr>
      <w:r>
        <w:rPr>
          <w:color w:val="172B4D"/>
          <w:sz w:val="20"/>
          <w:szCs w:val="20"/>
        </w:rPr>
        <w:t xml:space="preserve">Elsa Saade - </w:t>
      </w:r>
      <w:hyperlink r:id="rId11">
        <w:r>
          <w:rPr>
            <w:color w:val="1155CC"/>
            <w:sz w:val="20"/>
            <w:szCs w:val="20"/>
            <w:u w:val="single"/>
          </w:rPr>
          <w:t>SOI</w:t>
        </w:r>
      </w:hyperlink>
      <w:r>
        <w:rPr>
          <w:color w:val="172B4D"/>
          <w:sz w:val="20"/>
          <w:szCs w:val="20"/>
        </w:rPr>
        <w:t xml:space="preserve"> Non-Commercial Stakeholder Group</w:t>
      </w:r>
    </w:p>
    <w:p w:rsidR="00EB4F97" w:rsidRDefault="0038174E">
      <w:pPr>
        <w:shd w:val="clear" w:color="auto" w:fill="FFFFFF"/>
        <w:spacing w:before="160" w:line="240" w:lineRule="auto"/>
        <w:contextualSpacing w:val="0"/>
        <w:rPr>
          <w:color w:val="172B4D"/>
          <w:sz w:val="20"/>
          <w:szCs w:val="20"/>
        </w:rPr>
      </w:pPr>
      <w:r>
        <w:rPr>
          <w:color w:val="172B4D"/>
          <w:sz w:val="20"/>
          <w:szCs w:val="20"/>
        </w:rPr>
        <w:t xml:space="preserve">Flip Petillion: </w:t>
      </w:r>
      <w:hyperlink r:id="rId12">
        <w:r>
          <w:rPr>
            <w:color w:val="1155CC"/>
            <w:sz w:val="20"/>
            <w:szCs w:val="20"/>
            <w:u w:val="single"/>
          </w:rPr>
          <w:t>SOI</w:t>
        </w:r>
      </w:hyperlink>
      <w:r>
        <w:rPr>
          <w:color w:val="172B4D"/>
          <w:sz w:val="20"/>
          <w:szCs w:val="20"/>
        </w:rPr>
        <w:t xml:space="preserve"> Intellectual Property Constituency</w:t>
      </w:r>
    </w:p>
    <w:p w:rsidR="00EB4F97" w:rsidRDefault="0038174E">
      <w:pPr>
        <w:shd w:val="clear" w:color="auto" w:fill="FFFFFF"/>
        <w:spacing w:before="160" w:line="240" w:lineRule="auto"/>
        <w:contextualSpacing w:val="0"/>
        <w:rPr>
          <w:color w:val="172B4D"/>
          <w:sz w:val="20"/>
          <w:szCs w:val="20"/>
        </w:rPr>
      </w:pPr>
      <w:r>
        <w:rPr>
          <w:color w:val="172B4D"/>
          <w:sz w:val="20"/>
          <w:szCs w:val="20"/>
        </w:rPr>
        <w:t xml:space="preserve">Scott McCormick: </w:t>
      </w:r>
      <w:hyperlink r:id="rId13">
        <w:r>
          <w:rPr>
            <w:color w:val="1155CC"/>
            <w:sz w:val="20"/>
            <w:szCs w:val="20"/>
            <w:u w:val="single"/>
          </w:rPr>
          <w:t>SOI</w:t>
        </w:r>
      </w:hyperlink>
      <w:r>
        <w:rPr>
          <w:color w:val="172B4D"/>
          <w:sz w:val="20"/>
          <w:szCs w:val="20"/>
        </w:rPr>
        <w:t xml:space="preserve"> Commercial and Business Users Constituency</w:t>
      </w:r>
    </w:p>
    <w:p w:rsidR="00EB4F97" w:rsidRDefault="0038174E">
      <w:pPr>
        <w:shd w:val="clear" w:color="auto" w:fill="FFFFFF"/>
        <w:spacing w:before="160"/>
        <w:contextualSpacing w:val="0"/>
        <w:rPr>
          <w:sz w:val="20"/>
          <w:szCs w:val="20"/>
        </w:rPr>
      </w:pPr>
      <w:r>
        <w:rPr>
          <w:sz w:val="20"/>
          <w:szCs w:val="20"/>
        </w:rPr>
        <w:t>1.3 - Review / A</w:t>
      </w:r>
      <w:r>
        <w:rPr>
          <w:sz w:val="20"/>
          <w:szCs w:val="20"/>
        </w:rPr>
        <w:t>mend Agenda</w:t>
      </w:r>
    </w:p>
    <w:p w:rsidR="00EB4F97" w:rsidRDefault="0038174E">
      <w:pPr>
        <w:shd w:val="clear" w:color="auto" w:fill="FFFFFF"/>
        <w:spacing w:before="160"/>
        <w:contextualSpacing w:val="0"/>
        <w:rPr>
          <w:sz w:val="20"/>
          <w:szCs w:val="20"/>
        </w:rPr>
      </w:pPr>
      <w:r>
        <w:rPr>
          <w:sz w:val="20"/>
          <w:szCs w:val="20"/>
        </w:rPr>
        <w:t>The agenda was accepted without change.</w:t>
      </w:r>
    </w:p>
    <w:p w:rsidR="00EB4F97" w:rsidRDefault="00EB4F97">
      <w:pPr>
        <w:shd w:val="clear" w:color="auto" w:fill="FFFFFF"/>
        <w:spacing w:before="160"/>
        <w:contextualSpacing w:val="0"/>
      </w:pPr>
    </w:p>
    <w:p w:rsidR="00EB4F97" w:rsidRDefault="0038174E">
      <w:pPr>
        <w:shd w:val="clear" w:color="auto" w:fill="FFFFFF"/>
        <w:spacing w:before="160"/>
        <w:contextualSpacing w:val="0"/>
        <w:rPr>
          <w:b/>
          <w:u w:val="single"/>
        </w:rPr>
      </w:pPr>
      <w:r>
        <w:rPr>
          <w:b/>
          <w:u w:val="single"/>
        </w:rPr>
        <w:t>Item 2. Election of the Chair</w:t>
      </w:r>
    </w:p>
    <w:p w:rsidR="00EB4F97" w:rsidRDefault="0038174E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Two nominations were received for this position, Keith Drazek and Rafik Dammak. The GNSO Council held a question &amp; answer session over the weekend with both candidates. The Council proceeded to elect the chair according to the GNSO Operating Procedures.</w:t>
      </w:r>
    </w:p>
    <w:p w:rsidR="00EB4F97" w:rsidRDefault="0038174E">
      <w:pPr>
        <w:shd w:val="clear" w:color="auto" w:fill="FFFFFF"/>
        <w:spacing w:before="160"/>
        <w:contextualSpacing w:val="0"/>
        <w:rPr>
          <w:b/>
          <w:color w:val="353535"/>
          <w:sz w:val="20"/>
          <w:szCs w:val="20"/>
        </w:rPr>
      </w:pPr>
      <w:r>
        <w:rPr>
          <w:b/>
          <w:color w:val="353535"/>
          <w:sz w:val="20"/>
          <w:szCs w:val="20"/>
        </w:rPr>
        <w:t>GN</w:t>
      </w:r>
      <w:r>
        <w:rPr>
          <w:b/>
          <w:color w:val="353535"/>
          <w:sz w:val="20"/>
          <w:szCs w:val="20"/>
        </w:rPr>
        <w:t>SO OPERATING PROCEDURES</w:t>
      </w:r>
    </w:p>
    <w:p w:rsidR="00EB4F97" w:rsidRDefault="0038174E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  <w:hyperlink r:id="rId14">
        <w:r>
          <w:rPr>
            <w:color w:val="1155CC"/>
            <w:sz w:val="20"/>
            <w:szCs w:val="20"/>
            <w:u w:val="single"/>
          </w:rPr>
          <w:t>https://gnso.icann.org/sites/default/files/file/field-file-attach/op-procedures-18jun18-en.pdf</w:t>
        </w:r>
      </w:hyperlink>
      <w:r>
        <w:rPr>
          <w:color w:val="353535"/>
          <w:sz w:val="20"/>
          <w:szCs w:val="20"/>
        </w:rPr>
        <w:t xml:space="preserve"> </w:t>
      </w:r>
    </w:p>
    <w:p w:rsidR="00EB4F97" w:rsidRDefault="0038174E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Section 2.2 Officer El</w:t>
      </w:r>
      <w:r>
        <w:rPr>
          <w:color w:val="353535"/>
          <w:sz w:val="20"/>
          <w:szCs w:val="20"/>
        </w:rPr>
        <w:t>ections: Chair and Vice-Chairs</w:t>
      </w:r>
    </w:p>
    <w:p w:rsidR="00EB4F97" w:rsidRDefault="0038174E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The vote was by secret ballot which had three options:</w:t>
      </w:r>
    </w:p>
    <w:p w:rsidR="00EB4F97" w:rsidRDefault="0038174E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[] Keith Drazek</w:t>
      </w:r>
    </w:p>
    <w:p w:rsidR="00EB4F97" w:rsidRDefault="0038174E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[] Rafik Dammak</w:t>
      </w:r>
    </w:p>
    <w:p w:rsidR="00EB4F97" w:rsidRDefault="0038174E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[] None of the Above</w:t>
      </w:r>
    </w:p>
    <w:p w:rsidR="00EB4F97" w:rsidRDefault="0038174E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Berry Cobb and Nathalie Peregrine tallied the votes.</w:t>
      </w:r>
    </w:p>
    <w:p w:rsidR="00EB4F97" w:rsidRDefault="00EB4F97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</w:p>
    <w:p w:rsidR="00EB4F97" w:rsidRDefault="00EB4F97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</w:p>
    <w:p w:rsidR="00EB4F97" w:rsidRDefault="00EB4F97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</w:p>
    <w:p w:rsidR="00EB4F97" w:rsidRDefault="00EB4F97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</w:p>
    <w:p w:rsidR="00EB4F97" w:rsidRDefault="00EB4F97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</w:p>
    <w:p w:rsidR="00EB4F97" w:rsidRDefault="00EB4F97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</w:p>
    <w:p w:rsidR="00EB4F97" w:rsidRDefault="00EB4F97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</w:p>
    <w:p w:rsidR="00EB4F97" w:rsidRDefault="0038174E">
      <w:pPr>
        <w:shd w:val="clear" w:color="auto" w:fill="FFFFFF"/>
        <w:spacing w:before="160"/>
        <w:contextualSpacing w:val="0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>The results of the first round were:</w:t>
      </w:r>
    </w:p>
    <w:p w:rsidR="00EB4F97" w:rsidRDefault="00EB4F97">
      <w:pPr>
        <w:shd w:val="clear" w:color="auto" w:fill="FFFFFF"/>
        <w:spacing w:before="160"/>
        <w:contextualSpacing w:val="0"/>
        <w:rPr>
          <w:rFonts w:ascii="Verdana" w:eastAsia="Verdana" w:hAnsi="Verdana" w:cs="Verdana"/>
          <w:color w:val="353535"/>
          <w:sz w:val="24"/>
          <w:szCs w:val="24"/>
        </w:rPr>
      </w:pPr>
    </w:p>
    <w:tbl>
      <w:tblPr>
        <w:tblStyle w:val="a"/>
        <w:tblW w:w="90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5"/>
        <w:gridCol w:w="2570"/>
        <w:gridCol w:w="2585"/>
        <w:gridCol w:w="2615"/>
      </w:tblGrid>
      <w:tr w:rsidR="00EB4F97">
        <w:trPr>
          <w:trHeight w:val="5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Candidate 1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Candidate 2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Candidate 0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Results: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Keith Drazek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Rafik Dammak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None of the Above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CPH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0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NCPH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0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11</w:t>
            </w: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9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0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CPH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100.00%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0.00%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0.00%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NCPH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30.77%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69.23%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0.00%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130.77%</w:t>
            </w: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69.23%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353535"/>
                <w:sz w:val="20"/>
                <w:szCs w:val="20"/>
              </w:rPr>
            </w:pPr>
            <w:r>
              <w:rPr>
                <w:color w:val="353535"/>
                <w:sz w:val="20"/>
                <w:szCs w:val="20"/>
              </w:rPr>
              <w:t>0.00%</w:t>
            </w:r>
          </w:p>
        </w:tc>
      </w:tr>
    </w:tbl>
    <w:p w:rsidR="00EB4F97" w:rsidRDefault="00EB4F97">
      <w:pPr>
        <w:shd w:val="clear" w:color="auto" w:fill="FFFFFF"/>
        <w:spacing w:before="160"/>
        <w:contextualSpacing w:val="0"/>
        <w:rPr>
          <w:rFonts w:ascii="Verdana" w:eastAsia="Verdana" w:hAnsi="Verdana" w:cs="Verdana"/>
          <w:color w:val="353535"/>
          <w:sz w:val="24"/>
          <w:szCs w:val="24"/>
        </w:rPr>
      </w:pP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As a consequence, Keith Drazek went to to second round of voting.</w:t>
      </w: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second round of voting began by secret ballot with the following text:</w:t>
      </w: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[] Keith Drazek</w:t>
      </w: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[] None of the Above</w:t>
      </w:r>
    </w:p>
    <w:p w:rsidR="00EB4F97" w:rsidRDefault="00EB4F97">
      <w:pPr>
        <w:contextualSpacing w:val="0"/>
        <w:rPr>
          <w:b/>
          <w:highlight w:val="white"/>
          <w:u w:val="single"/>
        </w:rPr>
      </w:pP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results of the second round were:</w:t>
      </w:r>
    </w:p>
    <w:p w:rsidR="00EB4F97" w:rsidRDefault="00EB4F97">
      <w:pPr>
        <w:contextualSpacing w:val="0"/>
        <w:rPr>
          <w:sz w:val="20"/>
          <w:szCs w:val="20"/>
          <w:highlight w:val="white"/>
        </w:rPr>
      </w:pPr>
    </w:p>
    <w:tbl>
      <w:tblPr>
        <w:tblStyle w:val="a0"/>
        <w:tblW w:w="90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5"/>
        <w:gridCol w:w="2570"/>
        <w:gridCol w:w="2615"/>
        <w:gridCol w:w="2585"/>
      </w:tblGrid>
      <w:tr w:rsidR="00EB4F97">
        <w:trPr>
          <w:trHeight w:val="5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Candidate 1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Candidate 2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Candidate 0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Results: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Keith Drazek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None of the Above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Abstention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CPH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NCPH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CPH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100.00%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0.00%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0.00%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NCPH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84.62%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7.69%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7.69%</w:t>
            </w:r>
          </w:p>
        </w:tc>
      </w:tr>
      <w:tr w:rsidR="00EB4F97">
        <w:trPr>
          <w:trHeight w:val="5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EB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184.62%</w:t>
            </w:r>
          </w:p>
        </w:tc>
        <w:tc>
          <w:tcPr>
            <w:tcW w:w="2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7.69%</w:t>
            </w: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F97" w:rsidRDefault="0038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7.69%</w:t>
            </w:r>
          </w:p>
        </w:tc>
      </w:tr>
    </w:tbl>
    <w:p w:rsidR="00EB4F97" w:rsidRDefault="00EB4F97">
      <w:pPr>
        <w:contextualSpacing w:val="0"/>
        <w:rPr>
          <w:sz w:val="20"/>
          <w:szCs w:val="20"/>
          <w:highlight w:val="white"/>
        </w:rPr>
      </w:pP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With the 60% threshold attained in both the Contracted Party House and the Non Contracted Party House, Keith Drazek was elected GNSO Chair 2018- 2019.</w:t>
      </w:r>
    </w:p>
    <w:p w:rsidR="00EB4F97" w:rsidRDefault="00EB4F97">
      <w:pPr>
        <w:contextualSpacing w:val="0"/>
        <w:rPr>
          <w:sz w:val="20"/>
          <w:szCs w:val="20"/>
          <w:highlight w:val="white"/>
        </w:rPr>
      </w:pP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Both houses are expected to provide their Vice Chair names shortly.</w:t>
      </w:r>
    </w:p>
    <w:p w:rsidR="00EB4F97" w:rsidRDefault="00EB4F97">
      <w:pPr>
        <w:contextualSpacing w:val="0"/>
        <w:rPr>
          <w:b/>
          <w:highlight w:val="white"/>
          <w:u w:val="single"/>
        </w:rPr>
      </w:pPr>
    </w:p>
    <w:p w:rsidR="00EB4F97" w:rsidRDefault="0038174E">
      <w:pPr>
        <w:contextualSpacing w:val="0"/>
        <w:rPr>
          <w:sz w:val="20"/>
          <w:szCs w:val="20"/>
          <w:highlight w:val="white"/>
          <w:u w:val="single"/>
        </w:rPr>
      </w:pPr>
      <w:r>
        <w:rPr>
          <w:sz w:val="20"/>
          <w:szCs w:val="20"/>
          <w:highlight w:val="white"/>
          <w:u w:val="single"/>
        </w:rPr>
        <w:t>Action item:</w:t>
      </w:r>
    </w:p>
    <w:p w:rsidR="00EB4F97" w:rsidRDefault="0038174E">
      <w:pPr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>GNSO Secretariat</w:t>
      </w:r>
      <w:r>
        <w:rPr>
          <w:sz w:val="20"/>
          <w:szCs w:val="20"/>
        </w:rPr>
        <w:t xml:space="preserve"> to inform the Board and the Community appropriately and post the election results on the GNSO website within 2 business days following each election and runoff ballot, whether successful or unsuccessful.</w:t>
      </w:r>
    </w:p>
    <w:p w:rsidR="00EB4F97" w:rsidRDefault="00EB4F97">
      <w:pPr>
        <w:contextualSpacing w:val="0"/>
        <w:rPr>
          <w:b/>
          <w:highlight w:val="white"/>
          <w:u w:val="single"/>
        </w:rPr>
      </w:pPr>
    </w:p>
    <w:p w:rsidR="00EB4F97" w:rsidRDefault="0038174E">
      <w:pPr>
        <w:contextualSpacing w:val="0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Item 3: COUNCIL DISCUSSION - GNSO Empowered Commun</w:t>
      </w:r>
      <w:r>
        <w:rPr>
          <w:b/>
          <w:highlight w:val="white"/>
          <w:u w:val="single"/>
        </w:rPr>
        <w:t xml:space="preserve">ity Roles and Responsibilities – GNSO Operating Procedures Templates and Guideline Development </w:t>
      </w:r>
    </w:p>
    <w:p w:rsidR="00EB4F97" w:rsidRDefault="00EB4F97">
      <w:pPr>
        <w:contextualSpacing w:val="0"/>
        <w:rPr>
          <w:b/>
          <w:highlight w:val="white"/>
          <w:u w:val="single"/>
        </w:rPr>
      </w:pP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Keith Drazek</w:t>
      </w:r>
      <w:r>
        <w:rPr>
          <w:sz w:val="20"/>
          <w:szCs w:val="20"/>
          <w:highlight w:val="white"/>
        </w:rPr>
        <w:t xml:space="preserve"> reminded councilors that this discussion stemmed from the IANA transition and ICANN accountability processes.</w:t>
      </w: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Julie Hedlund</w:t>
      </w:r>
      <w:r>
        <w:rPr>
          <w:sz w:val="20"/>
          <w:szCs w:val="20"/>
          <w:highlight w:val="white"/>
        </w:rPr>
        <w:t xml:space="preserve">, ICANN Org, presented </w:t>
      </w:r>
      <w:r>
        <w:rPr>
          <w:sz w:val="20"/>
          <w:szCs w:val="20"/>
          <w:highlight w:val="white"/>
        </w:rPr>
        <w:t>to the GNSO Council the recent changes to the GNSO Operating Procedures and ICANN Bylaws. Staff put together a</w:t>
      </w:r>
      <w:hyperlink r:id="rId15">
        <w:r>
          <w:rPr>
            <w:color w:val="1155CC"/>
            <w:sz w:val="20"/>
            <w:szCs w:val="20"/>
            <w:highlight w:val="white"/>
            <w:u w:val="single"/>
          </w:rPr>
          <w:t xml:space="preserve"> table</w:t>
        </w:r>
      </w:hyperlink>
      <w:r>
        <w:rPr>
          <w:sz w:val="20"/>
          <w:szCs w:val="20"/>
          <w:highlight w:val="white"/>
        </w:rPr>
        <w:t xml:space="preserve"> of</w:t>
      </w:r>
      <w:r>
        <w:rPr>
          <w:sz w:val="20"/>
          <w:szCs w:val="20"/>
          <w:highlight w:val="white"/>
        </w:rPr>
        <w:t xml:space="preserve"> recommendations encompassing the changes and advising the Council of what actions are needed to fill its role as Decisional Participant. To that aim, the</w:t>
      </w:r>
      <w:hyperlink r:id="rId16">
        <w:r>
          <w:rPr>
            <w:color w:val="1155CC"/>
            <w:sz w:val="20"/>
            <w:szCs w:val="20"/>
            <w:highlight w:val="white"/>
            <w:u w:val="single"/>
          </w:rPr>
          <w:t xml:space="preserve"> table</w:t>
        </w:r>
      </w:hyperlink>
      <w:r>
        <w:rPr>
          <w:sz w:val="20"/>
          <w:szCs w:val="20"/>
          <w:highlight w:val="white"/>
        </w:rPr>
        <w:t xml:space="preserve"> also provides templates to be used when warranted. GNSO Council input on the table is now expected.</w:t>
      </w: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Rafik Dammak</w:t>
      </w:r>
      <w:r>
        <w:rPr>
          <w:sz w:val="20"/>
          <w:szCs w:val="20"/>
          <w:highlight w:val="white"/>
        </w:rPr>
        <w:t xml:space="preserve"> asked to clarify the work of the </w:t>
      </w:r>
      <w:hyperlink r:id="rId17">
        <w:r>
          <w:rPr>
            <w:color w:val="1155CC"/>
            <w:sz w:val="20"/>
            <w:szCs w:val="20"/>
            <w:highlight w:val="white"/>
            <w:u w:val="single"/>
          </w:rPr>
          <w:t xml:space="preserve">GNSO Bylaws </w:t>
        </w:r>
        <w:r>
          <w:rPr>
            <w:color w:val="1155CC"/>
            <w:sz w:val="20"/>
            <w:szCs w:val="20"/>
            <w:highlight w:val="white"/>
            <w:u w:val="single"/>
          </w:rPr>
          <w:t>Implementation Drafting team</w:t>
        </w:r>
      </w:hyperlink>
      <w:r>
        <w:rPr>
          <w:sz w:val="20"/>
          <w:szCs w:val="20"/>
          <w:highlight w:val="white"/>
        </w:rPr>
        <w:t>, whose work was taken into account and triggered changes to the GNSO Operating Procedures: voting thresholds, working of the Consent Agenda. Further changes could be required after review of the recommendations table. The</w:t>
      </w:r>
      <w:hyperlink r:id="rId18">
        <w:r>
          <w:rPr>
            <w:color w:val="1155CC"/>
            <w:sz w:val="20"/>
            <w:szCs w:val="20"/>
            <w:highlight w:val="white"/>
            <w:u w:val="single"/>
          </w:rPr>
          <w:t xml:space="preserve"> Standing Committee on Improvements Implementation</w:t>
        </w:r>
      </w:hyperlink>
      <w:r>
        <w:rPr>
          <w:sz w:val="20"/>
          <w:szCs w:val="20"/>
          <w:highlight w:val="white"/>
        </w:rPr>
        <w:t xml:space="preserve"> was previously tasked with the overview of these changes, the </w:t>
      </w:r>
      <w:hyperlink r:id="rId19">
        <w:r>
          <w:rPr>
            <w:color w:val="1155CC"/>
            <w:sz w:val="20"/>
            <w:szCs w:val="20"/>
            <w:highlight w:val="white"/>
            <w:u w:val="single"/>
          </w:rPr>
          <w:t>GNSO Review Working Group</w:t>
        </w:r>
      </w:hyperlink>
      <w:r>
        <w:rPr>
          <w:sz w:val="20"/>
          <w:szCs w:val="20"/>
          <w:highlight w:val="white"/>
        </w:rPr>
        <w:t xml:space="preserve"> was also give</w:t>
      </w:r>
      <w:r>
        <w:rPr>
          <w:sz w:val="20"/>
          <w:szCs w:val="20"/>
          <w:highlight w:val="white"/>
        </w:rPr>
        <w:t>n the task of reviewing any changes to the GNSO operating procedures. It remains for the new council to decide on a sustainable procedure or structure moving forward.</w:t>
      </w:r>
    </w:p>
    <w:p w:rsidR="00EB4F97" w:rsidRDefault="00EB4F97">
      <w:pPr>
        <w:contextualSpacing w:val="0"/>
        <w:rPr>
          <w:sz w:val="20"/>
          <w:szCs w:val="20"/>
          <w:highlight w:val="white"/>
        </w:rPr>
      </w:pPr>
    </w:p>
    <w:p w:rsidR="00EB4F97" w:rsidRDefault="0038174E">
      <w:pPr>
        <w:contextualSpacing w:val="0"/>
        <w:rPr>
          <w:sz w:val="20"/>
          <w:szCs w:val="20"/>
          <w:highlight w:val="white"/>
          <w:u w:val="single"/>
        </w:rPr>
      </w:pPr>
      <w:r>
        <w:rPr>
          <w:sz w:val="20"/>
          <w:szCs w:val="20"/>
          <w:highlight w:val="white"/>
          <w:u w:val="single"/>
        </w:rPr>
        <w:t>Action items:</w:t>
      </w:r>
    </w:p>
    <w:p w:rsidR="00EB4F97" w:rsidRDefault="0038174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Noting that the previous drafting team is disbanded, </w:t>
      </w:r>
      <w:r>
        <w:rPr>
          <w:i/>
          <w:sz w:val="20"/>
          <w:szCs w:val="20"/>
        </w:rPr>
        <w:t>ICANN staff</w:t>
      </w:r>
      <w:r>
        <w:rPr>
          <w:sz w:val="20"/>
          <w:szCs w:val="20"/>
        </w:rPr>
        <w:t xml:space="preserve"> to conduc</w:t>
      </w:r>
      <w:r>
        <w:rPr>
          <w:sz w:val="20"/>
          <w:szCs w:val="20"/>
        </w:rPr>
        <w:t xml:space="preserve">t a new call for volunteers, which could include Councilors and appointees from SG/Cs (and former members). </w:t>
      </w:r>
    </w:p>
    <w:p w:rsidR="00EB4F97" w:rsidRDefault="0038174E">
      <w:pPr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ICANN staff</w:t>
      </w:r>
      <w:r>
        <w:rPr>
          <w:sz w:val="20"/>
          <w:szCs w:val="20"/>
        </w:rPr>
        <w:t xml:space="preserve"> to send to the GNSO Council the link to Google Drive folder, which contains current working drafts.</w:t>
      </w:r>
    </w:p>
    <w:p w:rsidR="00EB4F97" w:rsidRDefault="00EB4F97">
      <w:pPr>
        <w:contextualSpacing w:val="0"/>
        <w:rPr>
          <w:sz w:val="20"/>
          <w:szCs w:val="20"/>
          <w:highlight w:val="white"/>
        </w:rPr>
      </w:pPr>
    </w:p>
    <w:p w:rsidR="00EB4F97" w:rsidRDefault="0038174E">
      <w:pPr>
        <w:contextualSpacing w:val="0"/>
        <w:rPr>
          <w:b/>
          <w:sz w:val="21"/>
          <w:szCs w:val="21"/>
          <w:highlight w:val="white"/>
          <w:u w:val="single"/>
        </w:rPr>
      </w:pPr>
      <w:r>
        <w:rPr>
          <w:b/>
          <w:sz w:val="21"/>
          <w:szCs w:val="21"/>
          <w:highlight w:val="white"/>
          <w:u w:val="single"/>
        </w:rPr>
        <w:t>Item 4. Any Other Business</w:t>
      </w:r>
    </w:p>
    <w:p w:rsidR="00EB4F97" w:rsidRDefault="00EB4F97">
      <w:pPr>
        <w:contextualSpacing w:val="0"/>
        <w:rPr>
          <w:b/>
          <w:sz w:val="20"/>
          <w:szCs w:val="20"/>
          <w:highlight w:val="white"/>
        </w:rPr>
      </w:pP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Erika Mann </w:t>
      </w:r>
      <w:r>
        <w:rPr>
          <w:sz w:val="20"/>
          <w:szCs w:val="20"/>
          <w:highlight w:val="white"/>
        </w:rPr>
        <w:t xml:space="preserve">informed councilors that she received a communication from Cherine Chalaby that ICANN Board was to present a resolution about the reserve funds. </w:t>
      </w:r>
      <w:r>
        <w:rPr>
          <w:b/>
          <w:sz w:val="20"/>
          <w:szCs w:val="20"/>
          <w:highlight w:val="white"/>
        </w:rPr>
        <w:t>Keith Drazek</w:t>
      </w:r>
      <w:r>
        <w:rPr>
          <w:sz w:val="20"/>
          <w:szCs w:val="20"/>
          <w:highlight w:val="white"/>
        </w:rPr>
        <w:t xml:space="preserve"> accepted her request that he </w:t>
      </w:r>
      <w:r>
        <w:rPr>
          <w:sz w:val="20"/>
          <w:szCs w:val="20"/>
          <w:highlight w:val="white"/>
        </w:rPr>
        <w:lastRenderedPageBreak/>
        <w:t>circulate it to the GNSO Council. Whilst the CCWG on Aucti</w:t>
      </w:r>
      <w:r>
        <w:rPr>
          <w:sz w:val="20"/>
          <w:szCs w:val="20"/>
          <w:highlight w:val="white"/>
        </w:rPr>
        <w:t xml:space="preserve">on Proceeds has no decisional role on the resolution, the results will impact the CCWG, therefore the informational channel is appreciated. </w:t>
      </w: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Michele Neylon</w:t>
      </w:r>
      <w:r>
        <w:rPr>
          <w:sz w:val="20"/>
          <w:szCs w:val="20"/>
          <w:highlight w:val="white"/>
        </w:rPr>
        <w:t xml:space="preserve"> raised concerns about ICANN Board’s power of decision over whether or not the auction proceeds reple</w:t>
      </w:r>
      <w:r>
        <w:rPr>
          <w:sz w:val="20"/>
          <w:szCs w:val="20"/>
          <w:highlight w:val="white"/>
        </w:rPr>
        <w:t xml:space="preserve">nish the reserve fund, and about the ensuing purpose of community discussion on the matter be it in the form of the CCWG or cross community exchanges. </w:t>
      </w:r>
      <w:r>
        <w:rPr>
          <w:b/>
          <w:sz w:val="20"/>
          <w:szCs w:val="20"/>
          <w:highlight w:val="white"/>
        </w:rPr>
        <w:t>Erika Mann</w:t>
      </w:r>
      <w:r>
        <w:rPr>
          <w:sz w:val="20"/>
          <w:szCs w:val="20"/>
          <w:highlight w:val="white"/>
        </w:rPr>
        <w:t xml:space="preserve"> advised against discussing the matter before the Board resolution was passed. </w:t>
      </w:r>
    </w:p>
    <w:p w:rsidR="00EB4F97" w:rsidRDefault="00EB4F97">
      <w:pPr>
        <w:contextualSpacing w:val="0"/>
        <w:rPr>
          <w:sz w:val="20"/>
          <w:szCs w:val="20"/>
          <w:highlight w:val="white"/>
        </w:rPr>
      </w:pP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Graeme Bunton,</w:t>
      </w:r>
      <w:r>
        <w:rPr>
          <w:sz w:val="20"/>
          <w:szCs w:val="20"/>
          <w:highlight w:val="white"/>
        </w:rPr>
        <w:t xml:space="preserve"> Registrar Stakeholder Group Chair, came to the microphone to announce that the Contracted Party House hoped to have the Contracted Party House Vice Chair announced shortly.</w:t>
      </w:r>
    </w:p>
    <w:p w:rsidR="00EB4F97" w:rsidRDefault="00EB4F97">
      <w:pPr>
        <w:contextualSpacing w:val="0"/>
        <w:rPr>
          <w:sz w:val="20"/>
          <w:szCs w:val="20"/>
          <w:highlight w:val="white"/>
        </w:rPr>
      </w:pP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Keith Drazek</w:t>
      </w:r>
      <w:r>
        <w:rPr>
          <w:sz w:val="20"/>
          <w:szCs w:val="20"/>
          <w:highlight w:val="white"/>
        </w:rPr>
        <w:t>, GNSO Chair, adjourned the meeting at 14:15 UTC.</w:t>
      </w:r>
    </w:p>
    <w:p w:rsidR="00EB4F97" w:rsidRDefault="00EB4F97">
      <w:pPr>
        <w:contextualSpacing w:val="0"/>
        <w:rPr>
          <w:sz w:val="20"/>
          <w:szCs w:val="20"/>
          <w:highlight w:val="white"/>
        </w:rPr>
      </w:pP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next GNSO Coun</w:t>
      </w:r>
      <w:r>
        <w:rPr>
          <w:sz w:val="20"/>
          <w:szCs w:val="20"/>
          <w:highlight w:val="white"/>
        </w:rPr>
        <w:t>cil meeting will take place on Thursday 29 November 2018 at 12:00 UTC</w:t>
      </w:r>
    </w:p>
    <w:p w:rsidR="00EB4F97" w:rsidRDefault="0038174E">
      <w:pPr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For other times: </w:t>
      </w:r>
      <w:hyperlink r:id="rId20">
        <w:r>
          <w:rPr>
            <w:color w:val="1155CC"/>
            <w:sz w:val="20"/>
            <w:szCs w:val="20"/>
            <w:highlight w:val="white"/>
            <w:u w:val="single"/>
          </w:rPr>
          <w:t>https://tinyurl.com/yaojzutp</w:t>
        </w:r>
      </w:hyperlink>
      <w:r>
        <w:rPr>
          <w:sz w:val="20"/>
          <w:szCs w:val="20"/>
          <w:highlight w:val="white"/>
        </w:rPr>
        <w:t xml:space="preserve"> </w:t>
      </w:r>
    </w:p>
    <w:p w:rsidR="00EB4F97" w:rsidRDefault="00EB4F97">
      <w:pPr>
        <w:contextualSpacing w:val="0"/>
        <w:rPr>
          <w:sz w:val="20"/>
          <w:szCs w:val="20"/>
          <w:highlight w:val="white"/>
        </w:rPr>
      </w:pPr>
    </w:p>
    <w:sectPr w:rsidR="00EB4F9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848"/>
    <w:multiLevelType w:val="multilevel"/>
    <w:tmpl w:val="8D08F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42275"/>
    <w:multiLevelType w:val="multilevel"/>
    <w:tmpl w:val="2F7C1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97"/>
    <w:rsid w:val="0038174E"/>
    <w:rsid w:val="00E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91F6D6D-008B-B74C-8022-7A189145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.icann.org/meetings/bcn63/bcn63-OPEN-2018-10-24-T1306-115-en-01-GNSO-Council-Open-Meeting-Part-I_.mp3" TargetMode="External"/><Relationship Id="rId13" Type="http://schemas.openxmlformats.org/officeDocument/2006/relationships/hyperlink" Target="https://community.icann.org/x/fA28BQ" TargetMode="External"/><Relationship Id="rId18" Type="http://schemas.openxmlformats.org/officeDocument/2006/relationships/hyperlink" Target="https://community.icann.org/x/5IL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inyurl.com/ycvf33wr" TargetMode="External"/><Relationship Id="rId12" Type="http://schemas.openxmlformats.org/officeDocument/2006/relationships/hyperlink" Target="https://community.icann.org/display/gnsosoi/Flip+Petillion+SOI" TargetMode="External"/><Relationship Id="rId17" Type="http://schemas.openxmlformats.org/officeDocument/2006/relationships/hyperlink" Target="https://community.icann.org/x/yhCsAw" TargetMode="External"/><Relationship Id="rId2" Type="http://schemas.openxmlformats.org/officeDocument/2006/relationships/styles" Target="styles.xml"/><Relationship Id="rId16" Type="http://schemas.openxmlformats.org/officeDocument/2006/relationships/hyperlink" Target="https://gnso.icann.org/sites/default/files/file/field-file-attach/op-procedures-template-guidance-list-15may18-en.pdf" TargetMode="External"/><Relationship Id="rId20" Type="http://schemas.openxmlformats.org/officeDocument/2006/relationships/hyperlink" Target="https://tinyurl.com/yaojzut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x/wRVpBQ" TargetMode="External"/><Relationship Id="rId11" Type="http://schemas.openxmlformats.org/officeDocument/2006/relationships/hyperlink" Target="https://community.icann.org/display/gnsosoi/Elsa+Saade+SOI" TargetMode="External"/><Relationship Id="rId5" Type="http://schemas.openxmlformats.org/officeDocument/2006/relationships/hyperlink" Target="https://community.icann.org/pages/viewpage.action?pageId=90772998" TargetMode="External"/><Relationship Id="rId15" Type="http://schemas.openxmlformats.org/officeDocument/2006/relationships/hyperlink" Target="https://gnso.icann.org/sites/default/files/file/field-file-attach/op-procedures-template-guidance-list-15may18-en.pdf" TargetMode="External"/><Relationship Id="rId10" Type="http://schemas.openxmlformats.org/officeDocument/2006/relationships/hyperlink" Target="https://community.icann.org/display/gnsosoi/Maxim+Alzoba+SOI" TargetMode="External"/><Relationship Id="rId19" Type="http://schemas.openxmlformats.org/officeDocument/2006/relationships/hyperlink" Target="https://community.icann.org/x/Zhms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nso.icann.org/en/meetings/transcript-council-2-24oct18-en.pdf" TargetMode="External"/><Relationship Id="rId14" Type="http://schemas.openxmlformats.org/officeDocument/2006/relationships/hyperlink" Target="https://gnso.icann.org/sites/default/files/file/field-file-attach/op-procedures-18jun18-e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Peregrine</cp:lastModifiedBy>
  <cp:revision>2</cp:revision>
  <dcterms:created xsi:type="dcterms:W3CDTF">2018-11-02T13:36:00Z</dcterms:created>
  <dcterms:modified xsi:type="dcterms:W3CDTF">2018-11-02T13:36:00Z</dcterms:modified>
</cp:coreProperties>
</file>