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0E7C" w:rsidRDefault="001D71C1">
      <w:pPr>
        <w:pStyle w:val="Heading1"/>
      </w:pPr>
      <w:bookmarkStart w:id="0" w:name="_bg2ytbdve1zf" w:colFirst="0" w:colLast="0"/>
      <w:bookmarkEnd w:id="0"/>
      <w:proofErr w:type="spellStart"/>
      <w:r>
        <w:t>RySG</w:t>
      </w:r>
      <w:proofErr w:type="spellEnd"/>
      <w:r>
        <w:t xml:space="preserve"> Statement on IDN Variant TLD Management Framework Recommendations et al.</w:t>
      </w:r>
    </w:p>
    <w:p w14:paraId="00000002" w14:textId="03CEF45C" w:rsidR="00DC0E7C" w:rsidRDefault="00FA7997">
      <w:r>
        <w:t>April 2019</w:t>
      </w:r>
    </w:p>
    <w:p w14:paraId="00000003" w14:textId="3581259E" w:rsidR="00DC0E7C" w:rsidRDefault="00DC0E7C"/>
    <w:p w14:paraId="368D0114" w14:textId="77777777" w:rsidR="00FA7997" w:rsidRDefault="00FA7997"/>
    <w:p w14:paraId="00000004" w14:textId="77777777" w:rsidR="00DC0E7C" w:rsidRDefault="001D71C1">
      <w:pPr>
        <w:rPr>
          <w:b/>
        </w:rPr>
      </w:pPr>
      <w:r>
        <w:rPr>
          <w:b/>
        </w:rPr>
        <w:t>List of Issues</w:t>
      </w:r>
    </w:p>
    <w:p w14:paraId="00000005" w14:textId="77777777" w:rsidR="00DC0E7C" w:rsidRDefault="00DC0E7C"/>
    <w:p w14:paraId="00000006" w14:textId="77777777" w:rsidR="00DC0E7C" w:rsidRDefault="001D71C1">
      <w:pPr>
        <w:numPr>
          <w:ilvl w:val="0"/>
          <w:numId w:val="1"/>
        </w:numPr>
      </w:pPr>
      <w:r>
        <w:rPr>
          <w:b/>
        </w:rPr>
        <w:t xml:space="preserve">Need for New Policy Development: </w:t>
      </w:r>
      <w:r>
        <w:t>Variant TLD Recommendations impact existing and future TLDs; therefore, a new PDP must undertake this new work</w:t>
      </w:r>
      <w:r>
        <w:t xml:space="preserve"> (for existing TLDs), while keeping </w:t>
      </w:r>
      <w:proofErr w:type="spellStart"/>
      <w:r>
        <w:t>SubPro</w:t>
      </w:r>
      <w:proofErr w:type="spellEnd"/>
      <w:r>
        <w:t xml:space="preserve"> PDP involved (for future TLDs).</w:t>
      </w:r>
    </w:p>
    <w:p w14:paraId="00000007" w14:textId="77777777" w:rsidR="00DC0E7C" w:rsidRDefault="001D71C1">
      <w:pPr>
        <w:ind w:left="1440"/>
        <w:rPr>
          <w:b/>
        </w:rPr>
      </w:pPr>
      <w:r>
        <w:rPr>
          <w:b/>
        </w:rPr>
        <w:t>Proof points:</w:t>
      </w:r>
    </w:p>
    <w:p w14:paraId="00000008" w14:textId="77777777" w:rsidR="00DC0E7C" w:rsidRDefault="001D71C1">
      <w:pPr>
        <w:numPr>
          <w:ilvl w:val="1"/>
          <w:numId w:val="1"/>
        </w:numPr>
      </w:pPr>
      <w:r>
        <w:t xml:space="preserve">Board resolution </w:t>
      </w:r>
      <w:hyperlink r:id="rId7" w:anchor="2.a">
        <w:r>
          <w:rPr>
            <w:color w:val="1155CC"/>
            <w:u w:val="single"/>
          </w:rPr>
          <w:t>2019.03.14.08</w:t>
        </w:r>
      </w:hyperlink>
      <w:r>
        <w:t xml:space="preserve"> requests GNSO and </w:t>
      </w:r>
      <w:proofErr w:type="spellStart"/>
      <w:r>
        <w:t>ccNSO</w:t>
      </w:r>
      <w:proofErr w:type="spellEnd"/>
      <w:r>
        <w:t xml:space="preserve"> to “take in</w:t>
      </w:r>
      <w:r>
        <w:t xml:space="preserve">to account the Variant TLD Recommendations while developing their respective policies to define and manage the IDN variant TLDs for the current TLDs as well as for future TLD applications.” </w:t>
      </w:r>
    </w:p>
    <w:p w14:paraId="00000009" w14:textId="77777777" w:rsidR="00DC0E7C" w:rsidRDefault="001D71C1">
      <w:pPr>
        <w:numPr>
          <w:ilvl w:val="1"/>
          <w:numId w:val="1"/>
        </w:numPr>
      </w:pPr>
      <w:r>
        <w:t>The Variant TLD Recommendations recommend amendments to current p</w:t>
      </w:r>
      <w:r>
        <w:t>olicies, such as UDRP, TMCH, PDDRP; all of these policies do apply to existing contracts.</w:t>
      </w:r>
    </w:p>
    <w:p w14:paraId="0000000A" w14:textId="77777777" w:rsidR="00DC0E7C" w:rsidRDefault="001D71C1">
      <w:pPr>
        <w:numPr>
          <w:ilvl w:val="1"/>
          <w:numId w:val="1"/>
        </w:numPr>
      </w:pPr>
      <w:r>
        <w:t>Implementation of “same entity” for variant sets at the second level, as recommended by the Variant TLD Recommendations, will require coordination and collaboration b</w:t>
      </w:r>
      <w:r>
        <w:t xml:space="preserve">etween registries and registrars to find a </w:t>
      </w:r>
      <w:proofErr w:type="gramStart"/>
      <w:r>
        <w:t>cost effective</w:t>
      </w:r>
      <w:proofErr w:type="gramEnd"/>
      <w:r>
        <w:t xml:space="preserve"> solution that maximizes adoption. </w:t>
      </w:r>
    </w:p>
    <w:p w14:paraId="0000000B" w14:textId="77777777" w:rsidR="00DC0E7C" w:rsidRDefault="001D71C1">
      <w:pPr>
        <w:numPr>
          <w:ilvl w:val="1"/>
          <w:numId w:val="1"/>
        </w:numPr>
      </w:pPr>
      <w:r>
        <w:t>2012 Round applicants were required to self-identify variant labels of the applied-for string. One possible policy recommendation could be to allow these applicant</w:t>
      </w:r>
      <w:r>
        <w:t xml:space="preserve">s to request the allocation of these self-identified variant labels, which could result in amendments to existing contracts. Thus, these processes need to be overseen by a new PDP, not </w:t>
      </w:r>
      <w:proofErr w:type="spellStart"/>
      <w:r>
        <w:t>SubPro</w:t>
      </w:r>
      <w:proofErr w:type="spellEnd"/>
      <w:r>
        <w:t xml:space="preserve"> alone.</w:t>
      </w:r>
    </w:p>
    <w:p w14:paraId="0000000C" w14:textId="77777777" w:rsidR="00DC0E7C" w:rsidRDefault="001D71C1">
      <w:pPr>
        <w:numPr>
          <w:ilvl w:val="0"/>
          <w:numId w:val="1"/>
        </w:numPr>
      </w:pPr>
      <w:r>
        <w:rPr>
          <w:b/>
        </w:rPr>
        <w:t xml:space="preserve">Disparate Treatment of TLDs / Registry Operators: </w:t>
      </w:r>
      <w:r>
        <w:t>ICANN i</w:t>
      </w:r>
      <w:r>
        <w:t>s rejecting implementation of previously approved (and in use) IDN Tables in other TLDs.</w:t>
      </w:r>
    </w:p>
    <w:p w14:paraId="0000000D" w14:textId="77777777" w:rsidR="00DC0E7C" w:rsidRDefault="001D71C1">
      <w:pPr>
        <w:ind w:left="1440"/>
        <w:rPr>
          <w:b/>
        </w:rPr>
      </w:pPr>
      <w:r>
        <w:rPr>
          <w:b/>
        </w:rPr>
        <w:t>Proof points:</w:t>
      </w:r>
    </w:p>
    <w:p w14:paraId="0000000E" w14:textId="77777777" w:rsidR="00DC0E7C" w:rsidRDefault="001D71C1">
      <w:pPr>
        <w:numPr>
          <w:ilvl w:val="1"/>
          <w:numId w:val="1"/>
        </w:numPr>
      </w:pPr>
      <w:r>
        <w:t>Without notice, publication, or justification, ICANN Staff unilaterally changes requirements for IDN Tables and rejects use of previously approved IDN Ta</w:t>
      </w:r>
      <w:r>
        <w:t>bles that are and have been in use by other TLDs for years.</w:t>
      </w:r>
    </w:p>
    <w:p w14:paraId="0000000F" w14:textId="12556826" w:rsidR="00DC0E7C" w:rsidRDefault="001D71C1">
      <w:pPr>
        <w:numPr>
          <w:ilvl w:val="1"/>
          <w:numId w:val="1"/>
        </w:numPr>
      </w:pPr>
      <w:r>
        <w:t xml:space="preserve">During </w:t>
      </w:r>
      <w:r w:rsidR="00C120C8">
        <w:t>Pre-Delegation Testing (PDT)</w:t>
      </w:r>
      <w:r>
        <w:t>, ICANN threatens test failure unless the Registry Operator conforms to completely unknown standards for IDN tables.  Recently, a Registry Operator’s Arabic table would have “failed” eve</w:t>
      </w:r>
      <w:r>
        <w:t>n though the same table is being</w:t>
      </w:r>
      <w:r>
        <w:t xml:space="preserve"> used by hundreds of other TLDs and is still published on the PDT tester’s website.</w:t>
      </w:r>
    </w:p>
    <w:p w14:paraId="00000010" w14:textId="77777777" w:rsidR="00DC0E7C" w:rsidRDefault="001D71C1">
      <w:pPr>
        <w:numPr>
          <w:ilvl w:val="1"/>
          <w:numId w:val="1"/>
        </w:numPr>
      </w:pPr>
      <w:r>
        <w:t>The lack of process or transparency by which ICANN evaluates IDN Tables is egregious and disparately impacting services provided by TLDs.</w:t>
      </w:r>
    </w:p>
    <w:p w14:paraId="00000011" w14:textId="77777777" w:rsidR="00DC0E7C" w:rsidRDefault="001D71C1">
      <w:pPr>
        <w:numPr>
          <w:ilvl w:val="1"/>
          <w:numId w:val="1"/>
        </w:numPr>
      </w:pPr>
      <w:r>
        <w:lastRenderedPageBreak/>
        <w:t>I</w:t>
      </w:r>
      <w:r>
        <w:t xml:space="preserve">CANN does not have the authority to treat Registry Operators </w:t>
      </w:r>
      <w:proofErr w:type="gramStart"/>
      <w:r>
        <w:t>differently, and</w:t>
      </w:r>
      <w:proofErr w:type="gramEnd"/>
      <w:r>
        <w:t xml:space="preserve"> require adherence to one set of standards that are not equally and evenly applied to all Registry Operators.</w:t>
      </w:r>
    </w:p>
    <w:p w14:paraId="00000012" w14:textId="77777777" w:rsidR="00DC0E7C" w:rsidRDefault="001D71C1">
      <w:pPr>
        <w:numPr>
          <w:ilvl w:val="0"/>
          <w:numId w:val="1"/>
        </w:numPr>
      </w:pPr>
      <w:r>
        <w:rPr>
          <w:b/>
        </w:rPr>
        <w:t>IDN Guidelines (for the second level), not guidelines but contract ob</w:t>
      </w:r>
      <w:r>
        <w:rPr>
          <w:b/>
        </w:rPr>
        <w:t xml:space="preserve">ligations: </w:t>
      </w:r>
      <w:r>
        <w:t xml:space="preserve">ICANN IDN Guidelines have evolved over time from implementation guidelines (i.e. best practice) </w:t>
      </w:r>
      <w:proofErr w:type="gramStart"/>
      <w:r>
        <w:t>to  contract</w:t>
      </w:r>
      <w:proofErr w:type="gramEnd"/>
      <w:r>
        <w:t xml:space="preserve"> obligations. There is lack of clarity as to the process for amending the document.</w:t>
      </w:r>
    </w:p>
    <w:p w14:paraId="00000013" w14:textId="77777777" w:rsidR="00DC0E7C" w:rsidRDefault="001D71C1">
      <w:pPr>
        <w:ind w:left="720" w:firstLine="720"/>
        <w:rPr>
          <w:b/>
        </w:rPr>
      </w:pPr>
      <w:r>
        <w:rPr>
          <w:b/>
        </w:rPr>
        <w:t>Proof points:</w:t>
      </w:r>
    </w:p>
    <w:p w14:paraId="00000014" w14:textId="77777777" w:rsidR="00DC0E7C" w:rsidRDefault="001D71C1">
      <w:pPr>
        <w:numPr>
          <w:ilvl w:val="1"/>
          <w:numId w:val="1"/>
        </w:numPr>
      </w:pPr>
      <w:r>
        <w:t>Most registry agreements contain the pr</w:t>
      </w:r>
      <w:r>
        <w:t>ovision “Registry Operator shall comply with the ICANN IDN Guidelines at &lt;http://www.icann.org/en/topics/idn/implementation-guidelines.htm&gt;, as they may be amended, modified, or superseded from time to time.”</w:t>
      </w:r>
    </w:p>
    <w:p w14:paraId="00000015" w14:textId="77777777" w:rsidR="00DC0E7C" w:rsidRDefault="001D71C1">
      <w:pPr>
        <w:numPr>
          <w:ilvl w:val="1"/>
          <w:numId w:val="1"/>
        </w:numPr>
      </w:pPr>
      <w:r>
        <w:t xml:space="preserve">The amendment was done by a working group, not </w:t>
      </w:r>
      <w:r>
        <w:t>a PDP.</w:t>
      </w:r>
    </w:p>
    <w:p w14:paraId="00000016" w14:textId="77777777" w:rsidR="00DC0E7C" w:rsidRDefault="001D71C1">
      <w:pPr>
        <w:numPr>
          <w:ilvl w:val="1"/>
          <w:numId w:val="1"/>
        </w:numPr>
      </w:pPr>
      <w:r>
        <w:t>Draft version 4 uses stronger language (i.e., “will” changed to “must”) and adds new obligations upon contracted parties, namely registries.</w:t>
      </w:r>
    </w:p>
    <w:p w14:paraId="00000017" w14:textId="77777777" w:rsidR="00DC0E7C" w:rsidRDefault="00DC0E7C"/>
    <w:p w14:paraId="00000018" w14:textId="77777777" w:rsidR="00DC0E7C" w:rsidRDefault="00DC0E7C"/>
    <w:p w14:paraId="00000019" w14:textId="77777777" w:rsidR="00DC0E7C" w:rsidRDefault="001D71C1">
      <w:pPr>
        <w:rPr>
          <w:b/>
        </w:rPr>
      </w:pPr>
      <w:r>
        <w:rPr>
          <w:b/>
        </w:rPr>
        <w:t xml:space="preserve">Requests from the </w:t>
      </w:r>
      <w:proofErr w:type="spellStart"/>
      <w:r>
        <w:rPr>
          <w:b/>
        </w:rPr>
        <w:t>RySG</w:t>
      </w:r>
      <w:proofErr w:type="spellEnd"/>
      <w:r>
        <w:rPr>
          <w:b/>
        </w:rPr>
        <w:t xml:space="preserve"> to the GNSO Council</w:t>
      </w:r>
    </w:p>
    <w:p w14:paraId="0000001A" w14:textId="77777777" w:rsidR="00DC0E7C" w:rsidRDefault="00DC0E7C">
      <w:pPr>
        <w:rPr>
          <w:b/>
        </w:rPr>
      </w:pPr>
    </w:p>
    <w:p w14:paraId="0000001B" w14:textId="77777777" w:rsidR="00DC0E7C" w:rsidRDefault="001D71C1">
      <w:pPr>
        <w:numPr>
          <w:ilvl w:val="0"/>
          <w:numId w:val="2"/>
        </w:numPr>
      </w:pPr>
      <w:r>
        <w:t>Study the full extent of the impacts from the IDN Variant TLD Recommendations upon existing registry agreements to determine the appropriate expertise needed for the policy development process.</w:t>
      </w:r>
    </w:p>
    <w:p w14:paraId="0000001C" w14:textId="77777777" w:rsidR="00DC0E7C" w:rsidRDefault="001D71C1">
      <w:pPr>
        <w:numPr>
          <w:ilvl w:val="0"/>
          <w:numId w:val="2"/>
        </w:numPr>
      </w:pPr>
      <w:r>
        <w:t>Ask ICANN to provide their criteria by which IDN Tables are ap</w:t>
      </w:r>
      <w:r>
        <w:t xml:space="preserve">proved for implementation. </w:t>
      </w:r>
      <w:proofErr w:type="spellStart"/>
      <w:r>
        <w:t>RySG</w:t>
      </w:r>
      <w:proofErr w:type="spellEnd"/>
      <w:r>
        <w:t xml:space="preserve"> believes the criteria used exceeds the obligations on the contract (i.e. compliance to IDNA2008 and the IDN Guidelines) and it fails to provide a consistent and predictable path for service approvals.</w:t>
      </w:r>
    </w:p>
    <w:p w14:paraId="0000001D" w14:textId="41BB3BEF" w:rsidR="00DC0E7C" w:rsidRDefault="001D71C1">
      <w:pPr>
        <w:numPr>
          <w:ilvl w:val="0"/>
          <w:numId w:val="2"/>
        </w:numPr>
      </w:pPr>
      <w:r>
        <w:t>Ask ICANN Board to cons</w:t>
      </w:r>
      <w:r>
        <w:t>ider holding</w:t>
      </w:r>
      <w:r w:rsidR="00C120C8">
        <w:t xml:space="preserve"> off on</w:t>
      </w:r>
      <w:bookmarkStart w:id="1" w:name="_GoBack"/>
      <w:bookmarkEnd w:id="1"/>
      <w:r>
        <w:t xml:space="preserve"> the adoption of the IDN Guidelines version 4 until there is a full understanding of the operational implementation of the “same entity” requirement on second level registrations, which is also a requirement under the IDN variant TLD Recommenda</w:t>
      </w:r>
      <w:r>
        <w:t>tions.</w:t>
      </w:r>
    </w:p>
    <w:p w14:paraId="0000001E" w14:textId="77777777" w:rsidR="00DC0E7C" w:rsidRDefault="00DC0E7C"/>
    <w:p w14:paraId="0000001F" w14:textId="77777777" w:rsidR="00DC0E7C" w:rsidRDefault="00DC0E7C"/>
    <w:p w14:paraId="00000020" w14:textId="77777777" w:rsidR="00DC0E7C" w:rsidRDefault="00DC0E7C"/>
    <w:sectPr w:rsidR="00DC0E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BD01" w14:textId="77777777" w:rsidR="001D71C1" w:rsidRDefault="001D71C1">
      <w:pPr>
        <w:spacing w:line="240" w:lineRule="auto"/>
      </w:pPr>
      <w:r>
        <w:separator/>
      </w:r>
    </w:p>
  </w:endnote>
  <w:endnote w:type="continuationSeparator" w:id="0">
    <w:p w14:paraId="77DA46FE" w14:textId="77777777" w:rsidR="001D71C1" w:rsidRDefault="001D7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1D2F" w14:textId="77777777" w:rsidR="001D71C1" w:rsidRDefault="001D71C1">
      <w:pPr>
        <w:spacing w:line="240" w:lineRule="auto"/>
      </w:pPr>
      <w:r>
        <w:separator/>
      </w:r>
    </w:p>
  </w:footnote>
  <w:footnote w:type="continuationSeparator" w:id="0">
    <w:p w14:paraId="41749CCA" w14:textId="77777777" w:rsidR="001D71C1" w:rsidRDefault="001D7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7F2"/>
    <w:multiLevelType w:val="multilevel"/>
    <w:tmpl w:val="535C6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D17160"/>
    <w:multiLevelType w:val="multilevel"/>
    <w:tmpl w:val="605E5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7C"/>
    <w:rsid w:val="001D71C1"/>
    <w:rsid w:val="003239D0"/>
    <w:rsid w:val="00C120C8"/>
    <w:rsid w:val="00DC0E7C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E0DA2"/>
  <w15:docId w15:val="{4947FB36-797D-4742-8367-B315A04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A7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97"/>
  </w:style>
  <w:style w:type="paragraph" w:styleId="Footer">
    <w:name w:val="footer"/>
    <w:basedOn w:val="Normal"/>
    <w:link w:val="FooterChar"/>
    <w:uiPriority w:val="99"/>
    <w:unhideWhenUsed/>
    <w:rsid w:val="00FA79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ann.org/resources/board-material/resolutions-2019-03-14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Demetriou, Samantha</cp:lastModifiedBy>
  <cp:revision>4</cp:revision>
  <dcterms:created xsi:type="dcterms:W3CDTF">2019-04-29T23:41:00Z</dcterms:created>
  <dcterms:modified xsi:type="dcterms:W3CDTF">2019-04-30T00:30:00Z</dcterms:modified>
</cp:coreProperties>
</file>