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3AD1A5E2" w:rsidR="004B368C" w:rsidRDefault="00FD74A2" w:rsidP="00F35D90">
      <w:pPr>
        <w:pStyle w:val="BodyText"/>
        <w:jc w:val="center"/>
        <w:rPr>
          <w:noProof/>
          <w:lang w:val="en-US" w:eastAsia="en-US"/>
        </w:rPr>
      </w:pPr>
      <w:bookmarkStart w:id="0" w:name="_GoBack"/>
      <w:bookmarkEnd w:id="0"/>
      <w:r w:rsidRPr="00FD74A2">
        <w:rPr>
          <w:noProof/>
          <w:lang w:val="en-US" w:eastAsia="en-US"/>
        </w:rPr>
        <w:drawing>
          <wp:inline distT="0" distB="0" distL="0" distR="0" wp14:anchorId="2136E5F0" wp14:editId="547DD159">
            <wp:extent cx="9144000" cy="26009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00960"/>
                    </a:xfrm>
                    <a:prstGeom prst="rect">
                      <a:avLst/>
                    </a:prstGeom>
                  </pic:spPr>
                </pic:pic>
              </a:graphicData>
            </a:graphic>
          </wp:inline>
        </w:drawing>
      </w:r>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5B3158" w:rsidP="00070A5F">
            <w:pPr>
              <w:pStyle w:val="BodyText"/>
              <w:jc w:val="center"/>
              <w:rPr>
                <w:rFonts w:ascii="Calibri" w:hAnsi="Calibri"/>
                <w:sz w:val="18"/>
                <w:szCs w:val="18"/>
              </w:rPr>
            </w:pPr>
            <w:hyperlink r:id="rId9"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5B3158"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5B3158"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5B3158"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5B3158"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5B3158"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5B3158"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104C58">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0C550974" w:rsidR="00D16F2B" w:rsidRDefault="00CF2686" w:rsidP="00D16F2B">
            <w:pPr>
              <w:pStyle w:val="BodyText"/>
              <w:rPr>
                <w:rFonts w:ascii="Calibri" w:hAnsi="Calibri"/>
                <w:b/>
                <w:sz w:val="18"/>
                <w:szCs w:val="18"/>
                <w:lang w:eastAsia="en-US"/>
              </w:rPr>
            </w:pPr>
            <w:r>
              <w:rPr>
                <w:rFonts w:ascii="Calibri" w:eastAsia="Tahoma" w:hAnsi="Calibri" w:cs="Tahoma"/>
                <w:b/>
                <w:sz w:val="18"/>
                <w:szCs w:val="18"/>
                <w:lang w:val="en-GB"/>
              </w:rPr>
              <w:t xml:space="preserve">- </w:t>
            </w:r>
            <w:r w:rsidR="00104C58">
              <w:rPr>
                <w:rFonts w:ascii="Calibri" w:eastAsia="Tahoma" w:hAnsi="Calibri" w:cs="Tahoma"/>
                <w:b/>
                <w:sz w:val="18"/>
                <w:szCs w:val="18"/>
                <w:lang w:val="en-GB"/>
              </w:rPr>
              <w:t>none -</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35585659" w:rsidR="00D16F2B" w:rsidRDefault="00D16F2B" w:rsidP="00D16F2B">
            <w:pPr>
              <w:jc w:val="center"/>
            </w:pPr>
          </w:p>
        </w:tc>
      </w:tr>
      <w:tr w:rsidR="00CF2686" w:rsidRPr="00A65D6D" w14:paraId="5924878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1A728FA2" w14:textId="57BD68F1"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FD060E" w14:textId="63E7090F" w:rsidR="00CF2686" w:rsidRPr="00A06B0C" w:rsidRDefault="00CF2686" w:rsidP="00CF2686">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0DE1684" w14:textId="77777777"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31267BE" w14:textId="77777777" w:rsidR="00CF2686" w:rsidRPr="005015FD" w:rsidRDefault="00CF2686" w:rsidP="00CF2686">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422E127" w14:textId="31537212" w:rsidR="00CF2686" w:rsidRDefault="00CF2686" w:rsidP="00CF2686">
            <w:pPr>
              <w:jc w:val="center"/>
            </w:pPr>
            <w:hyperlink w:anchor="IGO_INGO_RPM" w:history="1">
              <w:r w:rsidRPr="00735984">
                <w:rPr>
                  <w:rStyle w:val="Hyperlink"/>
                  <w:rFonts w:ascii="Calibri" w:hAnsi="Calibri"/>
                  <w:sz w:val="18"/>
                  <w:szCs w:val="18"/>
                </w:rPr>
                <w:t>LINK</w:t>
              </w:r>
            </w:hyperlink>
          </w:p>
        </w:tc>
      </w:tr>
      <w:tr w:rsidR="00CF2686" w:rsidRPr="00A65D6D" w14:paraId="138DCB67"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CF2686" w:rsidRPr="003961B8" w:rsidRDefault="00CF2686" w:rsidP="00CF2686">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CF2686" w:rsidRPr="005015FD" w:rsidRDefault="00CF2686" w:rsidP="00CF2686">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CF2686" w:rsidRDefault="005B3158" w:rsidP="00CF2686">
            <w:pPr>
              <w:jc w:val="center"/>
              <w:rPr>
                <w:rStyle w:val="Hyperlink"/>
                <w:rFonts w:ascii="Calibri" w:hAnsi="Calibri"/>
                <w:sz w:val="18"/>
                <w:szCs w:val="18"/>
              </w:rPr>
            </w:pPr>
            <w:hyperlink w:anchor="EPDP_TempSpec" w:history="1">
              <w:r w:rsidR="00CF2686" w:rsidRPr="007E7D8E">
                <w:rPr>
                  <w:rStyle w:val="Hyperlink"/>
                  <w:rFonts w:ascii="Calibri" w:hAnsi="Calibri"/>
                  <w:sz w:val="18"/>
                  <w:szCs w:val="18"/>
                </w:rPr>
                <w:t>LINK</w:t>
              </w:r>
            </w:hyperlink>
          </w:p>
        </w:tc>
      </w:tr>
      <w:tr w:rsidR="00CF2686"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CF2686" w:rsidRDefault="00CF2686" w:rsidP="00CF268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CF2686" w:rsidRDefault="005B3158" w:rsidP="00CF2686">
            <w:pPr>
              <w:jc w:val="center"/>
            </w:pPr>
            <w:hyperlink w:anchor="WS2" w:history="1">
              <w:r w:rsidR="00CF2686" w:rsidRPr="00295D45">
                <w:rPr>
                  <w:rStyle w:val="Hyperlink"/>
                  <w:rFonts w:ascii="Calibri" w:hAnsi="Calibri"/>
                  <w:sz w:val="18"/>
                  <w:szCs w:val="18"/>
                </w:rPr>
                <w:t>LINK</w:t>
              </w:r>
            </w:hyperlink>
          </w:p>
        </w:tc>
      </w:tr>
      <w:tr w:rsidR="00CF2686"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CF2686" w:rsidRPr="00070A5F" w:rsidRDefault="00CF2686" w:rsidP="00CF2686">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CF2686" w:rsidRDefault="005B3158" w:rsidP="00CF2686">
            <w:pPr>
              <w:jc w:val="center"/>
              <w:rPr>
                <w:rFonts w:ascii="Calibri" w:hAnsi="Calibri"/>
                <w:sz w:val="18"/>
                <w:szCs w:val="18"/>
              </w:rPr>
            </w:pPr>
            <w:hyperlink w:anchor="IGO_INGO" w:history="1">
              <w:r w:rsidR="00CF2686" w:rsidRPr="005128B5">
                <w:rPr>
                  <w:rStyle w:val="Hyperlink"/>
                  <w:rFonts w:ascii="Calibri" w:hAnsi="Calibri"/>
                  <w:sz w:val="18"/>
                  <w:szCs w:val="18"/>
                </w:rPr>
                <w:t>LINK</w:t>
              </w:r>
            </w:hyperlink>
          </w:p>
        </w:tc>
      </w:tr>
      <w:tr w:rsidR="00CF2686"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CF2686" w:rsidRPr="009B1112" w:rsidRDefault="00CF2686" w:rsidP="00CF2686">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CF2686" w:rsidRPr="005015FD" w:rsidRDefault="00CF2686" w:rsidP="00CF2686">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CF2686" w:rsidRDefault="005B3158" w:rsidP="00CF2686">
            <w:pPr>
              <w:jc w:val="center"/>
              <w:rPr>
                <w:rStyle w:val="Hyperlink"/>
                <w:rFonts w:ascii="Calibri" w:hAnsi="Calibri"/>
                <w:sz w:val="18"/>
                <w:szCs w:val="18"/>
              </w:rPr>
            </w:pPr>
            <w:hyperlink w:anchor="IGO_RCRC" w:history="1">
              <w:r w:rsidR="00CF2686" w:rsidRPr="005128B5">
                <w:rPr>
                  <w:rStyle w:val="Hyperlink"/>
                  <w:rFonts w:ascii="Calibri" w:hAnsi="Calibri"/>
                  <w:sz w:val="18"/>
                  <w:szCs w:val="18"/>
                </w:rPr>
                <w:t>LINK</w:t>
              </w:r>
            </w:hyperlink>
          </w:p>
        </w:tc>
      </w:tr>
      <w:tr w:rsidR="00CF2686"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CF2686" w:rsidRPr="00070A5F" w:rsidRDefault="00CF2686" w:rsidP="00CF2686">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CF2686" w:rsidRDefault="005B3158" w:rsidP="00CF2686">
            <w:pPr>
              <w:jc w:val="center"/>
              <w:rPr>
                <w:rStyle w:val="Hyperlink"/>
                <w:rFonts w:ascii="Calibri" w:hAnsi="Calibri"/>
                <w:sz w:val="18"/>
                <w:szCs w:val="18"/>
              </w:rPr>
            </w:pPr>
            <w:hyperlink w:anchor="PDP_3_0" w:history="1">
              <w:r w:rsidR="00CF2686" w:rsidRPr="00F2287B">
                <w:rPr>
                  <w:rStyle w:val="Hyperlink"/>
                  <w:rFonts w:ascii="Calibri" w:hAnsi="Calibri"/>
                  <w:sz w:val="18"/>
                  <w:szCs w:val="18"/>
                </w:rPr>
                <w:t>LINK</w:t>
              </w:r>
            </w:hyperlink>
          </w:p>
        </w:tc>
      </w:tr>
      <w:tr w:rsidR="00CF2686"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CF2686" w:rsidRDefault="00CF2686" w:rsidP="00CF2686">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CF2686" w:rsidRDefault="005B3158" w:rsidP="00CF2686">
            <w:pPr>
              <w:jc w:val="center"/>
            </w:pPr>
            <w:hyperlink w:anchor="GEO" w:history="1">
              <w:r w:rsidR="00CF2686" w:rsidRPr="00F2287B">
                <w:rPr>
                  <w:rStyle w:val="Hyperlink"/>
                  <w:rFonts w:ascii="Calibri" w:hAnsi="Calibri"/>
                  <w:sz w:val="18"/>
                  <w:szCs w:val="18"/>
                </w:rPr>
                <w:t>LINK</w:t>
              </w:r>
            </w:hyperlink>
          </w:p>
        </w:tc>
      </w:tr>
      <w:tr w:rsidR="00CF2686"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CF2686" w:rsidRDefault="00CF2686" w:rsidP="00CF2686">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CF2686" w:rsidRDefault="005B3158" w:rsidP="00CF2686">
            <w:pPr>
              <w:jc w:val="center"/>
            </w:pPr>
            <w:hyperlink w:anchor="RODT" w:history="1">
              <w:r w:rsidR="00CF2686" w:rsidRPr="004B30FF">
                <w:rPr>
                  <w:rStyle w:val="Hyperlink"/>
                  <w:rFonts w:ascii="Calibri" w:hAnsi="Calibri"/>
                  <w:sz w:val="18"/>
                  <w:szCs w:val="18"/>
                </w:rPr>
                <w:t>LINK</w:t>
              </w:r>
            </w:hyperlink>
          </w:p>
        </w:tc>
      </w:tr>
      <w:tr w:rsidR="00CF2686"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CF2686" w:rsidRPr="003961B8" w:rsidRDefault="00CF2686" w:rsidP="00CF2686">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CF2686" w:rsidRDefault="005B3158" w:rsidP="00CF2686">
            <w:pPr>
              <w:jc w:val="center"/>
            </w:pPr>
            <w:hyperlink w:anchor="PPSAI" w:history="1">
              <w:r w:rsidR="00CF2686" w:rsidRPr="00295D45">
                <w:rPr>
                  <w:rStyle w:val="Hyperlink"/>
                  <w:rFonts w:ascii="Calibri" w:hAnsi="Calibri"/>
                  <w:sz w:val="18"/>
                  <w:szCs w:val="18"/>
                </w:rPr>
                <w:t>LINK</w:t>
              </w:r>
            </w:hyperlink>
          </w:p>
        </w:tc>
      </w:tr>
      <w:tr w:rsidR="00CF2686"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CF2686" w:rsidRPr="00B72EE7" w:rsidRDefault="00CF2686" w:rsidP="00CF2686">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CF2686" w:rsidRDefault="005B3158" w:rsidP="00CF2686">
            <w:pPr>
              <w:jc w:val="center"/>
            </w:pPr>
            <w:hyperlink w:anchor="TandT" w:history="1">
              <w:r w:rsidR="00CF2686" w:rsidRPr="009F6454">
                <w:rPr>
                  <w:rStyle w:val="Hyperlink"/>
                  <w:rFonts w:ascii="Calibri" w:hAnsi="Calibri"/>
                  <w:sz w:val="18"/>
                  <w:szCs w:val="18"/>
                </w:rPr>
                <w:t>LINK</w:t>
              </w:r>
            </w:hyperlink>
          </w:p>
        </w:tc>
      </w:tr>
      <w:tr w:rsidR="00CF2686"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CF2686" w:rsidRPr="00B72EE7" w:rsidRDefault="00CF2686" w:rsidP="00CF268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CF2686" w:rsidRDefault="005B3158" w:rsidP="00CF2686">
            <w:pPr>
              <w:jc w:val="center"/>
            </w:pPr>
            <w:hyperlink w:anchor="THICK_WHOIS" w:history="1">
              <w:r w:rsidR="00CF2686" w:rsidRPr="005128B5">
                <w:rPr>
                  <w:rStyle w:val="Hyperlink"/>
                  <w:rFonts w:ascii="Calibri" w:hAnsi="Calibri"/>
                  <w:sz w:val="18"/>
                  <w:szCs w:val="18"/>
                </w:rPr>
                <w:t>LINK</w:t>
              </w:r>
            </w:hyperlink>
          </w:p>
        </w:tc>
      </w:tr>
      <w:tr w:rsidR="00CF2686"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CF2686" w:rsidRDefault="00CF2686" w:rsidP="00CF268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CF2686" w:rsidRPr="0021107A" w:rsidRDefault="00CF2686" w:rsidP="00CF268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CF2686" w:rsidRDefault="005B3158" w:rsidP="00CF2686">
            <w:pPr>
              <w:jc w:val="center"/>
            </w:pPr>
            <w:hyperlink w:anchor="SCBO" w:history="1">
              <w:r w:rsidR="00CF2686" w:rsidRPr="00732CC2">
                <w:rPr>
                  <w:rStyle w:val="Hyperlink"/>
                  <w:rFonts w:ascii="Calibri" w:hAnsi="Calibri"/>
                  <w:sz w:val="18"/>
                  <w:szCs w:val="18"/>
                </w:rPr>
                <w:t>LINK</w:t>
              </w:r>
            </w:hyperlink>
          </w:p>
        </w:tc>
      </w:tr>
      <w:tr w:rsidR="00CF2686"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CF2686" w:rsidRPr="00327F93" w:rsidRDefault="00CF2686" w:rsidP="00CF268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CF2686" w:rsidRDefault="00CF2686" w:rsidP="00CF268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CF2686" w:rsidRDefault="005B3158" w:rsidP="00CF2686">
            <w:pPr>
              <w:jc w:val="center"/>
            </w:pPr>
            <w:hyperlink w:anchor="SSC" w:history="1">
              <w:r w:rsidR="00CF2686" w:rsidRPr="00BE4379">
                <w:rPr>
                  <w:rStyle w:val="Hyperlink"/>
                  <w:rFonts w:ascii="Calibri" w:hAnsi="Calibri"/>
                  <w:sz w:val="18"/>
                  <w:szCs w:val="18"/>
                </w:rPr>
                <w:t>LINK</w:t>
              </w:r>
            </w:hyperlink>
          </w:p>
        </w:tc>
      </w:tr>
      <w:tr w:rsidR="00CF2686"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CF2686" w:rsidRPr="00327F93" w:rsidRDefault="00CF2686" w:rsidP="00CF268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CF2686" w:rsidRDefault="00CF2686" w:rsidP="00CF2686">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CF2686" w:rsidRDefault="005B3158" w:rsidP="00CF2686">
            <w:pPr>
              <w:jc w:val="center"/>
            </w:pPr>
            <w:hyperlink w:anchor="ERRP_PR" w:history="1">
              <w:r w:rsidR="00CF2686" w:rsidRPr="007E7D8E">
                <w:rPr>
                  <w:rStyle w:val="Hyperlink"/>
                  <w:rFonts w:ascii="Calibri" w:hAnsi="Calibri"/>
                  <w:sz w:val="18"/>
                  <w:szCs w:val="18"/>
                </w:rPr>
                <w:t>LINK</w:t>
              </w:r>
            </w:hyperlink>
          </w:p>
        </w:tc>
      </w:tr>
      <w:tr w:rsidR="00CF2686"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CF2686" w:rsidRPr="00327F93" w:rsidRDefault="00CF2686" w:rsidP="00CF268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CF2686" w:rsidRPr="003A6018" w:rsidRDefault="00CF2686" w:rsidP="00CF2686">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CF2686" w:rsidRDefault="005B3158" w:rsidP="00CF2686">
            <w:pPr>
              <w:jc w:val="center"/>
            </w:pPr>
            <w:hyperlink w:anchor="PolImp_RR" w:history="1">
              <w:r w:rsidR="00CF2686"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0"/>
          <w:footerReference w:type="even" r:id="rId11"/>
          <w:footerReference w:type="default" r:id="rId12"/>
          <w:pgSz w:w="15840" w:h="24480" w:code="3"/>
          <w:pgMar w:top="720" w:right="720" w:bottom="720" w:left="720" w:header="720" w:footer="720" w:gutter="0"/>
          <w:cols w:space="720"/>
          <w:docGrid w:linePitch="326"/>
        </w:sectPr>
      </w:pPr>
    </w:p>
    <w:p w14:paraId="60EB3F10" w14:textId="3F8B78DF"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2B52E0">
        <w:rPr>
          <w:rFonts w:ascii="Calibri" w:eastAsia="Tahoma" w:hAnsi="Calibri" w:cs="Arial"/>
          <w:sz w:val="20"/>
          <w:szCs w:val="20"/>
          <w:lang w:val="en-GB"/>
        </w:rPr>
        <w:t xml:space="preserve">13 </w:t>
      </w:r>
      <w:r w:rsidR="00104C58">
        <w:rPr>
          <w:rFonts w:ascii="Calibri" w:eastAsia="Tahoma" w:hAnsi="Calibri" w:cs="Arial"/>
          <w:sz w:val="20"/>
          <w:szCs w:val="20"/>
          <w:lang w:val="en-GB"/>
        </w:rPr>
        <w:t xml:space="preserve">May </w:t>
      </w:r>
      <w:r w:rsidR="000E68F1">
        <w:rPr>
          <w:rFonts w:ascii="Calibri" w:eastAsia="Tahoma" w:hAnsi="Calibri" w:cs="Arial"/>
          <w:sz w:val="20"/>
          <w:szCs w:val="20"/>
          <w:lang w:val="en-GB"/>
        </w:rPr>
        <w:t>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r w:rsidR="00CD755B">
              <w:rPr>
                <w:rFonts w:ascii="Calibri" w:eastAsia="Tahoma" w:hAnsi="Calibri" w:cs="Tahoma"/>
                <w:sz w:val="20"/>
                <w:szCs w:val="20"/>
                <w:lang w:val="en-GB"/>
              </w:rPr>
              <w:t xml:space="preserve"> (GDD)</w:t>
            </w:r>
            <w:r w:rsidR="000943AB">
              <w:rPr>
                <w:rFonts w:ascii="Calibri" w:eastAsia="Tahoma" w:hAnsi="Calibri" w:cs="Tahoma"/>
                <w:sz w:val="20"/>
                <w:szCs w:val="20"/>
                <w:lang w:val="en-GB"/>
              </w:rPr>
              <w:t xml:space="preserve">,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63CEF7B9"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CD755B">
              <w:rPr>
                <w:rFonts w:ascii="Calibri" w:eastAsia="Tahoma" w:hAnsi="Calibri" w:cs="Tahoma"/>
                <w:sz w:val="20"/>
                <w:szCs w:val="20"/>
                <w:lang w:val="en-GB"/>
              </w:rPr>
              <w:t>April</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4"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2EF3B46B" w:rsidR="00D479D7" w:rsidRPr="00D479D7" w:rsidRDefault="0064533A"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ICANN Org </w:t>
            </w:r>
            <w:r w:rsidR="00112C14">
              <w:rPr>
                <w:rFonts w:ascii="Calibri" w:eastAsia="Tahoma" w:hAnsi="Calibri" w:cs="Tahoma"/>
                <w:sz w:val="20"/>
                <w:szCs w:val="20"/>
                <w:lang w:val="en-GB"/>
              </w:rPr>
              <w:t xml:space="preserve">incorporated feedback from the public comment period and the survey responses into an updated version of the Report and distributed it to the Council on 22 April 2019. </w:t>
            </w:r>
            <w:r w:rsidR="00DE0D86">
              <w:rPr>
                <w:rFonts w:ascii="Calibri" w:eastAsia="Tahoma" w:hAnsi="Calibri" w:cs="Tahoma"/>
                <w:sz w:val="20"/>
                <w:szCs w:val="20"/>
                <w:lang w:val="en-GB"/>
              </w:rPr>
              <w:t>With</w:t>
            </w:r>
            <w:r w:rsidR="00CD755B">
              <w:rPr>
                <w:rFonts w:ascii="Calibri" w:eastAsia="Tahoma" w:hAnsi="Calibri" w:cs="Tahoma"/>
                <w:sz w:val="20"/>
                <w:szCs w:val="20"/>
                <w:lang w:val="en-GB"/>
              </w:rPr>
              <w:t xml:space="preserve"> the delivery of the updated Policy Status Report, the GNSO Council </w:t>
            </w:r>
            <w:r w:rsidR="00DE0D86">
              <w:rPr>
                <w:rFonts w:ascii="Calibri" w:eastAsia="Tahoma" w:hAnsi="Calibri" w:cs="Tahoma"/>
                <w:sz w:val="20"/>
                <w:szCs w:val="20"/>
                <w:lang w:val="en-GB"/>
              </w:rPr>
              <w:t>will</w:t>
            </w:r>
            <w:r w:rsidR="00CD755B">
              <w:rPr>
                <w:rFonts w:ascii="Calibri" w:eastAsia="Tahoma" w:hAnsi="Calibri" w:cs="Tahoma"/>
                <w:sz w:val="20"/>
                <w:szCs w:val="20"/>
                <w:lang w:val="en-GB"/>
              </w:rPr>
              <w:t xml:space="preserve"> consider next steps in the review</w:t>
            </w:r>
            <w:r w:rsidR="002B52E0">
              <w:rPr>
                <w:rFonts w:ascii="Calibri" w:eastAsia="Tahoma" w:hAnsi="Calibri" w:cs="Tahoma"/>
                <w:sz w:val="20"/>
                <w:szCs w:val="20"/>
                <w:lang w:val="en-GB"/>
              </w:rPr>
              <w:t xml:space="preserve"> during its meeting on 16 May</w:t>
            </w:r>
            <w:r w:rsidR="00CD755B">
              <w:rPr>
                <w:rFonts w:ascii="Calibri" w:eastAsia="Tahoma" w:hAnsi="Calibri" w:cs="Tahoma"/>
                <w:sz w:val="20"/>
                <w:szCs w:val="20"/>
                <w:lang w:val="en-GB"/>
              </w:rPr>
              <w:t>.</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C2F0AF8" w:rsidR="002C7795" w:rsidRDefault="00CD755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w:t>
            </w:r>
            <w:r w:rsidR="0064533A">
              <w:rPr>
                <w:rFonts w:ascii="Calibri" w:eastAsia="Tahoma" w:hAnsi="Calibri" w:cs="Tahoma"/>
                <w:sz w:val="20"/>
                <w:szCs w:val="20"/>
                <w:lang w:val="en-GB"/>
              </w:rPr>
              <w:t>-March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7897B6CF"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DC2AA4">
              <w:rPr>
                <w:rFonts w:ascii="Calibri" w:eastAsia="Tahoma" w:hAnsi="Calibri" w:cs="Tahoma"/>
                <w:sz w:val="20"/>
                <w:szCs w:val="20"/>
                <w:lang w:val="en-GB"/>
              </w:rPr>
              <w:t>Following discussion at the 13 March 2019 Council meeting, the Council agreed to defer further discussion of the WPIAG for 12 months but reserves the right to re</w:t>
            </w:r>
            <w:r w:rsidR="001150D3">
              <w:rPr>
                <w:rFonts w:ascii="Calibri" w:eastAsia="Tahoma" w:hAnsi="Calibri" w:cs="Tahoma"/>
                <w:sz w:val="20"/>
                <w:szCs w:val="20"/>
                <w:lang w:val="en-GB"/>
              </w:rPr>
              <w:t>visit the deferral period at any time</w:t>
            </w:r>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 w:name="EPDP_P2"/>
      <w:bookmarkEnd w:id="3"/>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1AFBC962"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r w:rsidR="002B52E0">
              <w:rPr>
                <w:rFonts w:ascii="Calibri" w:eastAsia="Tahoma" w:hAnsi="Calibri" w:cs="Tahoma"/>
                <w:sz w:val="20"/>
                <w:szCs w:val="20"/>
                <w:lang w:val="en-GB"/>
              </w:rPr>
              <w:t xml:space="preserve">Janis </w:t>
            </w:r>
            <w:proofErr w:type="spellStart"/>
            <w:r w:rsidR="002B52E0">
              <w:rPr>
                <w:rFonts w:ascii="Calibri" w:eastAsia="Tahoma" w:hAnsi="Calibri" w:cs="Tahoma"/>
                <w:sz w:val="20"/>
                <w:szCs w:val="20"/>
                <w:lang w:val="en-GB"/>
              </w:rPr>
              <w:t>Karklins</w:t>
            </w:r>
            <w:proofErr w:type="spellEnd"/>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10F2801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2631F2">
              <w:rPr>
                <w:rFonts w:ascii="Calibri" w:eastAsia="Tahoma" w:hAnsi="Calibri" w:cs="Tahoma"/>
                <w:sz w:val="20"/>
                <w:szCs w:val="20"/>
                <w:lang w:val="en-GB"/>
              </w:rPr>
              <w:t>9</w:t>
            </w:r>
            <w:r>
              <w:rPr>
                <w:rFonts w:ascii="Calibri" w:eastAsia="Tahoma" w:hAnsi="Calibri" w:cs="Tahoma"/>
                <w:sz w:val="20"/>
                <w:szCs w:val="20"/>
                <w:lang w:val="en-GB"/>
              </w:rPr>
              <w:t>-</w:t>
            </w:r>
            <w:r w:rsidR="002631F2">
              <w:rPr>
                <w:rFonts w:ascii="Calibri" w:eastAsia="Tahoma" w:hAnsi="Calibri" w:cs="Tahoma"/>
                <w:sz w:val="20"/>
                <w:szCs w:val="20"/>
                <w:lang w:val="en-GB"/>
              </w:rPr>
              <w:t>Mar</w:t>
            </w:r>
            <w:r>
              <w:rPr>
                <w:rFonts w:ascii="Calibri" w:eastAsia="Tahoma" w:hAnsi="Calibri" w:cs="Tahoma"/>
                <w:sz w:val="20"/>
                <w:szCs w:val="20"/>
                <w:lang w:val="en-GB"/>
              </w:rPr>
              <w:t>-</w:t>
            </w:r>
            <w:r w:rsidR="009B559B">
              <w:rPr>
                <w:rFonts w:ascii="Calibri" w:eastAsia="Tahoma" w:hAnsi="Calibri" w:cs="Tahoma"/>
                <w:sz w:val="20"/>
                <w:szCs w:val="20"/>
                <w:lang w:val="en-GB"/>
              </w:rPr>
              <w:t>04</w:t>
            </w:r>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76A8C13A" w:rsidR="00EC5FD1" w:rsidRPr="00AB0A0B"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adopted the Final Report during its Special Council meeting on 4 March 2019</w:t>
            </w:r>
            <w:r w:rsidR="002B52E0">
              <w:rPr>
                <w:rFonts w:ascii="Calibri" w:eastAsia="Tahoma" w:hAnsi="Calibri" w:cs="Tahoma"/>
                <w:sz w:val="20"/>
                <w:szCs w:val="20"/>
                <w:lang w:val="en-US"/>
              </w:rPr>
              <w:t xml:space="preserve"> and provided its non-objection to the commencement of phase 2</w:t>
            </w:r>
            <w:r>
              <w:rPr>
                <w:rFonts w:ascii="Calibri" w:eastAsia="Tahoma" w:hAnsi="Calibri" w:cs="Tahoma"/>
                <w:sz w:val="20"/>
                <w:szCs w:val="20"/>
                <w:lang w:val="en-US"/>
              </w:rPr>
              <w:t>.</w:t>
            </w:r>
            <w:r w:rsidR="00CD755B">
              <w:rPr>
                <w:rFonts w:ascii="Calibri" w:eastAsia="Tahoma" w:hAnsi="Calibri" w:cs="Tahoma"/>
                <w:sz w:val="20"/>
                <w:szCs w:val="20"/>
                <w:lang w:val="en-US"/>
              </w:rPr>
              <w:t xml:space="preserve"> </w:t>
            </w:r>
            <w:r w:rsidR="00D05810">
              <w:rPr>
                <w:rFonts w:ascii="Calibri" w:eastAsia="Tahoma" w:hAnsi="Calibri" w:cs="Tahoma"/>
                <w:sz w:val="20"/>
                <w:szCs w:val="20"/>
                <w:lang w:val="en-US"/>
              </w:rPr>
              <w:t xml:space="preserve">During </w:t>
            </w:r>
            <w:r w:rsidR="0017223F">
              <w:rPr>
                <w:rFonts w:ascii="Calibri" w:eastAsia="Tahoma" w:hAnsi="Calibri" w:cs="Tahoma"/>
                <w:sz w:val="20"/>
                <w:szCs w:val="20"/>
                <w:lang w:val="en-US"/>
              </w:rPr>
              <w:t>the</w:t>
            </w:r>
            <w:r w:rsidR="00D05810">
              <w:rPr>
                <w:rFonts w:ascii="Calibri" w:eastAsia="Tahoma" w:hAnsi="Calibri" w:cs="Tahoma"/>
                <w:sz w:val="20"/>
                <w:szCs w:val="20"/>
                <w:lang w:val="en-US"/>
              </w:rPr>
              <w:t xml:space="preserve"> 18 April 2019 Council meeting, the Council</w:t>
            </w:r>
            <w:r w:rsidR="0017223F">
              <w:rPr>
                <w:rFonts w:ascii="Calibri" w:eastAsia="Tahoma" w:hAnsi="Calibri" w:cs="Tahoma"/>
                <w:sz w:val="20"/>
                <w:szCs w:val="20"/>
                <w:lang w:val="en-US"/>
              </w:rPr>
              <w:t xml:space="preserve"> voted to </w:t>
            </w:r>
            <w:r w:rsidR="00D05810">
              <w:rPr>
                <w:rFonts w:ascii="Calibri" w:eastAsia="Tahoma" w:hAnsi="Calibri" w:cs="Tahoma"/>
                <w:sz w:val="20"/>
                <w:szCs w:val="20"/>
                <w:lang w:val="en-US"/>
              </w:rPr>
              <w:t xml:space="preserve">confirm Janis </w:t>
            </w:r>
            <w:proofErr w:type="spellStart"/>
            <w:r w:rsidR="00D05810">
              <w:rPr>
                <w:rFonts w:ascii="Calibri" w:eastAsia="Tahoma" w:hAnsi="Calibri" w:cs="Tahoma"/>
                <w:sz w:val="20"/>
                <w:szCs w:val="20"/>
                <w:lang w:val="en-US"/>
              </w:rPr>
              <w:t>Karklins</w:t>
            </w:r>
            <w:proofErr w:type="spellEnd"/>
            <w:r w:rsidR="00D05810">
              <w:rPr>
                <w:rFonts w:ascii="Calibri" w:eastAsia="Tahoma" w:hAnsi="Calibri" w:cs="Tahoma"/>
                <w:sz w:val="20"/>
                <w:szCs w:val="20"/>
                <w:lang w:val="en-US"/>
              </w:rPr>
              <w:t xml:space="preserve"> as the EPDP Phase 2 chair. Prior to the appointment of Mr. </w:t>
            </w:r>
            <w:proofErr w:type="spellStart"/>
            <w:r w:rsidR="00D05810">
              <w:rPr>
                <w:rFonts w:ascii="Calibri" w:eastAsia="Tahoma" w:hAnsi="Calibri" w:cs="Tahoma"/>
                <w:sz w:val="20"/>
                <w:szCs w:val="20"/>
                <w:lang w:val="en-US"/>
              </w:rPr>
              <w:t>Karklins</w:t>
            </w:r>
            <w:proofErr w:type="spellEnd"/>
            <w:r w:rsidR="00D05810">
              <w:rPr>
                <w:rFonts w:ascii="Calibri" w:eastAsia="Tahoma" w:hAnsi="Calibri" w:cs="Tahoma"/>
                <w:sz w:val="20"/>
                <w:szCs w:val="20"/>
                <w:lang w:val="en-US"/>
              </w:rPr>
              <w:t>, the interim EPDP leadership and EPDP staff support team ha</w:t>
            </w:r>
            <w:r w:rsidR="0017223F">
              <w:rPr>
                <w:rFonts w:ascii="Calibri" w:eastAsia="Tahoma" w:hAnsi="Calibri" w:cs="Tahoma"/>
                <w:sz w:val="20"/>
                <w:szCs w:val="20"/>
                <w:lang w:val="en-US"/>
              </w:rPr>
              <w:t>ve</w:t>
            </w:r>
            <w:r w:rsidR="00D05810">
              <w:rPr>
                <w:rFonts w:ascii="Calibri" w:eastAsia="Tahoma" w:hAnsi="Calibri" w:cs="Tahoma"/>
                <w:sz w:val="20"/>
                <w:szCs w:val="20"/>
                <w:lang w:val="en-US"/>
              </w:rPr>
              <w:t xml:space="preserve"> been preparing for the initiation of the Phase 2 work. </w:t>
            </w:r>
            <w:r w:rsidR="002B52E0">
              <w:rPr>
                <w:rFonts w:ascii="Calibri" w:eastAsia="Tahoma" w:hAnsi="Calibri" w:cs="Tahoma"/>
                <w:sz w:val="20"/>
                <w:szCs w:val="20"/>
                <w:lang w:val="en-US"/>
              </w:rPr>
              <w:t xml:space="preserve">The EPDP Team recommenced its meetings on 2 May focusing initially on the proposed approach and development of the work plan for </w:t>
            </w:r>
            <w:r w:rsidR="0017223F">
              <w:rPr>
                <w:rFonts w:ascii="Calibri" w:eastAsia="Tahoma" w:hAnsi="Calibri" w:cs="Tahoma"/>
                <w:sz w:val="20"/>
                <w:szCs w:val="20"/>
                <w:lang w:val="en-US"/>
              </w:rPr>
              <w:t>Phase 2</w:t>
            </w:r>
            <w:r w:rsidR="002631F2">
              <w:rPr>
                <w:rFonts w:ascii="Calibri" w:eastAsia="Tahoma" w:hAnsi="Calibri" w:cs="Tahoma"/>
                <w:sz w:val="20"/>
                <w:szCs w:val="20"/>
                <w:lang w:val="en-US"/>
              </w:rPr>
              <w:t>.</w:t>
            </w:r>
          </w:p>
        </w:tc>
      </w:tr>
      <w:bookmarkStart w:id="4" w:name="AUCTION"/>
      <w:bookmarkEnd w:id="4"/>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79D02FD0"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7"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The CCWG has commenced its review of public comments</w:t>
            </w:r>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r>
              <w:rPr>
                <w:rFonts w:ascii="Calibri" w:eastAsia="Tahoma" w:hAnsi="Calibri" w:cs="Tahoma"/>
                <w:sz w:val="20"/>
                <w:szCs w:val="20"/>
                <w:lang w:val="en-US"/>
              </w:rPr>
              <w:t xml:space="preserve"> and is </w:t>
            </w:r>
            <w:r w:rsidR="00CD755B">
              <w:rPr>
                <w:rFonts w:ascii="Calibri" w:eastAsia="Tahoma" w:hAnsi="Calibri" w:cs="Tahoma"/>
                <w:sz w:val="20"/>
                <w:szCs w:val="20"/>
                <w:lang w:val="en-US"/>
              </w:rPr>
              <w:t xml:space="preserve">working towards producing a first draft of the proposed Final Report by ICANN65, Marrakech (June 2019). </w:t>
            </w:r>
            <w:r w:rsidR="00CD755B">
              <w:rPr>
                <w:rFonts w:ascii="Calibri" w:eastAsia="Tahoma" w:hAnsi="Calibri" w:cs="Tahoma"/>
                <w:sz w:val="20"/>
                <w:szCs w:val="20"/>
                <w:lang w:val="en-US"/>
              </w:rPr>
              <w:lastRenderedPageBreak/>
              <w:t xml:space="preserve">An updated work plan can be found here: </w:t>
            </w:r>
            <w:hyperlink r:id="rId18" w:history="1">
              <w:r w:rsidR="00CD755B" w:rsidRPr="00A7095D">
                <w:rPr>
                  <w:rStyle w:val="Hyperlink"/>
                  <w:rFonts w:ascii="Calibri" w:eastAsia="Tahoma" w:hAnsi="Calibri" w:cs="Tahoma"/>
                  <w:sz w:val="20"/>
                  <w:szCs w:val="20"/>
                  <w:lang w:val="en-US"/>
                </w:rPr>
                <w:t>https://community.icann.org/x/dUPwAw</w:t>
              </w:r>
            </w:hyperlink>
            <w:r w:rsidR="00CD755B">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6" w:name="UDRP"/>
      <w:bookmarkEnd w:id="6"/>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69A2CC1A"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w:t>
            </w:r>
            <w:r w:rsidR="00EF7A65">
              <w:rPr>
                <w:rFonts w:ascii="Calibri" w:eastAsia="Tahoma" w:hAnsi="Calibri" w:cs="Tahoma"/>
                <w:sz w:val="20"/>
                <w:szCs w:val="20"/>
                <w:lang w:val="en-GB"/>
              </w:rPr>
              <w:t xml:space="preserve">has </w:t>
            </w:r>
            <w:r>
              <w:rPr>
                <w:rFonts w:ascii="Calibri" w:eastAsia="Tahoma" w:hAnsi="Calibri" w:cs="Tahoma"/>
                <w:sz w:val="20"/>
                <w:szCs w:val="20"/>
                <w:lang w:val="en-GB"/>
              </w:rPr>
              <w:t xml:space="preserve">completed its initial </w:t>
            </w:r>
            <w:r w:rsidR="00EF7A65">
              <w:rPr>
                <w:rFonts w:ascii="Calibri" w:eastAsia="Tahoma" w:hAnsi="Calibri" w:cs="Tahoma"/>
                <w:sz w:val="20"/>
                <w:szCs w:val="20"/>
                <w:lang w:val="en-GB"/>
              </w:rPr>
              <w:t>review of</w:t>
            </w:r>
            <w:r>
              <w:rPr>
                <w:rFonts w:ascii="Calibri" w:eastAsia="Tahoma" w:hAnsi="Calibri" w:cs="Tahoma"/>
                <w:sz w:val="20"/>
                <w:szCs w:val="20"/>
                <w:lang w:val="en-GB"/>
              </w:rPr>
              <w:t xml:space="preserve"> the Uniform Rapid Suspension (URS) RPM at ICANN63. All proposals </w:t>
            </w:r>
            <w:r w:rsidR="00967C3F">
              <w:rPr>
                <w:rFonts w:ascii="Calibri" w:eastAsia="Tahoma" w:hAnsi="Calibri" w:cs="Tahoma"/>
                <w:sz w:val="20"/>
                <w:szCs w:val="20"/>
                <w:lang w:val="en-GB"/>
              </w:rPr>
              <w:t xml:space="preserve">(including those </w:t>
            </w:r>
            <w:r>
              <w:rPr>
                <w:rFonts w:ascii="Calibri" w:eastAsia="Tahoma" w:hAnsi="Calibri" w:cs="Tahoma"/>
                <w:sz w:val="20"/>
                <w:szCs w:val="20"/>
                <w:lang w:val="en-GB"/>
              </w:rPr>
              <w:t xml:space="preserve">drafted by the three URS sub teams as well as </w:t>
            </w:r>
            <w:r w:rsidR="00967C3F">
              <w:rPr>
                <w:rFonts w:ascii="Calibri" w:eastAsia="Tahoma" w:hAnsi="Calibri" w:cs="Tahoma"/>
                <w:sz w:val="20"/>
                <w:szCs w:val="20"/>
                <w:lang w:val="en-GB"/>
              </w:rPr>
              <w:t>those</w:t>
            </w:r>
            <w:r>
              <w:rPr>
                <w:rFonts w:ascii="Calibri" w:eastAsia="Tahoma" w:hAnsi="Calibri" w:cs="Tahoma"/>
                <w:sz w:val="20"/>
                <w:szCs w:val="20"/>
                <w:lang w:val="en-GB"/>
              </w:rPr>
              <w:t xml:space="preserve"> submitted by individual WG members</w:t>
            </w:r>
            <w:r w:rsidR="00967C3F">
              <w:rPr>
                <w:rFonts w:ascii="Calibri" w:eastAsia="Tahoma" w:hAnsi="Calibri" w:cs="Tahoma"/>
                <w:sz w:val="20"/>
                <w:szCs w:val="20"/>
                <w:lang w:val="en-GB"/>
              </w:rPr>
              <w:t>)</w:t>
            </w:r>
            <w:r>
              <w:rPr>
                <w:rFonts w:ascii="Calibri" w:eastAsia="Tahoma" w:hAnsi="Calibri" w:cs="Tahoma"/>
                <w:sz w:val="20"/>
                <w:szCs w:val="20"/>
                <w:lang w:val="en-GB"/>
              </w:rPr>
              <w:t xml:space="preserve">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15A8D265" w14:textId="7B289FE3" w:rsidR="00865951" w:rsidRPr="00865951" w:rsidRDefault="00967C3F" w:rsidP="0086595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For the Sunrise and Trademark Claims RPMs, the </w:t>
            </w:r>
            <w:r w:rsidR="00EC5FD1">
              <w:rPr>
                <w:rFonts w:ascii="Calibri" w:eastAsia="Tahoma" w:hAnsi="Calibri" w:cs="Tahoma"/>
                <w:sz w:val="20"/>
                <w:szCs w:val="20"/>
                <w:lang w:val="en-GB"/>
              </w:rPr>
              <w:t xml:space="preserve">WG </w:t>
            </w:r>
            <w:r>
              <w:rPr>
                <w:rFonts w:ascii="Calibri" w:eastAsia="Tahoma" w:hAnsi="Calibri" w:cs="Tahoma"/>
                <w:sz w:val="20"/>
                <w:szCs w:val="20"/>
                <w:lang w:val="en-GB"/>
              </w:rPr>
              <w:t xml:space="preserve">continues to use </w:t>
            </w:r>
            <w:r w:rsidR="00EC5FD1">
              <w:rPr>
                <w:rFonts w:ascii="Calibri" w:eastAsia="Tahoma" w:hAnsi="Calibri" w:cs="Tahoma"/>
                <w:sz w:val="20"/>
                <w:szCs w:val="20"/>
                <w:lang w:val="en-GB"/>
              </w:rPr>
              <w:t xml:space="preserve">two Sub Teams to review: (1) the results of the professional surveys that were conducted by the Analysis Group (pursuant to the GNSO Council’s approval, in September 2017, of a funding request to ICANN Org); (2) additional data that was collected previously and initially reviewed by the full WG; and (3) individual proposals submitted by WG members. The Sub Teams’ </w:t>
            </w:r>
            <w:r>
              <w:rPr>
                <w:rFonts w:ascii="Calibri" w:eastAsia="Tahoma" w:hAnsi="Calibri" w:cs="Tahoma"/>
                <w:sz w:val="20"/>
                <w:szCs w:val="20"/>
                <w:lang w:val="en-GB"/>
              </w:rPr>
              <w:t xml:space="preserve">resulting recommendations </w:t>
            </w:r>
            <w:r w:rsidR="00EC5FD1">
              <w:rPr>
                <w:rFonts w:ascii="Calibri" w:eastAsia="Tahoma" w:hAnsi="Calibri" w:cs="Tahoma"/>
                <w:sz w:val="20"/>
                <w:szCs w:val="20"/>
                <w:lang w:val="en-GB"/>
              </w:rPr>
              <w:t xml:space="preserve">will </w:t>
            </w:r>
            <w:r>
              <w:rPr>
                <w:rFonts w:ascii="Calibri" w:eastAsia="Tahoma" w:hAnsi="Calibri" w:cs="Tahoma"/>
                <w:sz w:val="20"/>
                <w:szCs w:val="20"/>
                <w:lang w:val="en-GB"/>
              </w:rPr>
              <w:t xml:space="preserve">be sent to </w:t>
            </w:r>
            <w:r w:rsidR="00EC5FD1">
              <w:rPr>
                <w:rFonts w:ascii="Calibri" w:eastAsia="Tahoma" w:hAnsi="Calibri" w:cs="Tahoma"/>
                <w:sz w:val="20"/>
                <w:szCs w:val="20"/>
                <w:lang w:val="en-GB"/>
              </w:rPr>
              <w:t xml:space="preserve">the </w:t>
            </w:r>
            <w:r>
              <w:rPr>
                <w:rFonts w:ascii="Calibri" w:eastAsia="Tahoma" w:hAnsi="Calibri" w:cs="Tahoma"/>
                <w:sz w:val="20"/>
                <w:szCs w:val="20"/>
                <w:lang w:val="en-GB"/>
              </w:rPr>
              <w:t xml:space="preserve">full </w:t>
            </w:r>
            <w:r w:rsidR="00EC5FD1">
              <w:rPr>
                <w:rFonts w:ascii="Calibri" w:eastAsia="Tahoma" w:hAnsi="Calibri" w:cs="Tahoma"/>
                <w:sz w:val="20"/>
                <w:szCs w:val="20"/>
                <w:lang w:val="en-GB"/>
              </w:rPr>
              <w:t xml:space="preserve">WG </w:t>
            </w:r>
            <w:r>
              <w:rPr>
                <w:rFonts w:ascii="Calibri" w:eastAsia="Tahoma" w:hAnsi="Calibri" w:cs="Tahoma"/>
                <w:sz w:val="20"/>
                <w:szCs w:val="20"/>
                <w:lang w:val="en-GB"/>
              </w:rPr>
              <w:t>for review and possible inclusion in the Phase One Initial Report</w:t>
            </w:r>
            <w:r w:rsidR="00EC5FD1">
              <w:rPr>
                <w:rFonts w:ascii="Calibri" w:eastAsia="Tahoma" w:hAnsi="Calibri" w:cs="Tahoma"/>
                <w:sz w:val="20"/>
                <w:szCs w:val="20"/>
                <w:lang w:val="en-GB"/>
              </w:rPr>
              <w:t>.</w:t>
            </w:r>
            <w:r>
              <w:rPr>
                <w:rFonts w:ascii="Calibri" w:eastAsia="Tahoma" w:hAnsi="Calibri" w:cs="Tahoma"/>
                <w:sz w:val="20"/>
                <w:szCs w:val="20"/>
                <w:lang w:val="en-GB"/>
              </w:rPr>
              <w:t xml:space="preserve"> The Sub Teams are currently expected to complete their work by ICANN65 in June.</w:t>
            </w:r>
            <w:r w:rsidR="00EC5FD1">
              <w:rPr>
                <w:rFonts w:ascii="Calibri" w:eastAsia="Tahoma" w:hAnsi="Calibri" w:cs="Tahoma"/>
                <w:sz w:val="20"/>
                <w:szCs w:val="20"/>
                <w:lang w:val="en-GB"/>
              </w:rPr>
              <w:t xml:space="preserve"> </w:t>
            </w:r>
          </w:p>
          <w:p w14:paraId="0681D87B" w14:textId="77777777" w:rsidR="00EC5FD1" w:rsidRDefault="00EC5FD1" w:rsidP="00EC5FD1">
            <w:pPr>
              <w:pStyle w:val="TableContents"/>
              <w:snapToGrid w:val="0"/>
              <w:rPr>
                <w:rFonts w:ascii="Calibri" w:eastAsia="Tahoma" w:hAnsi="Calibri" w:cs="Tahoma"/>
                <w:sz w:val="20"/>
                <w:szCs w:val="20"/>
                <w:lang w:val="en-GB"/>
              </w:rPr>
            </w:pPr>
          </w:p>
          <w:p w14:paraId="1FA7AD57" w14:textId="30C87596"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has adjusted its Phase One timeline. </w:t>
            </w:r>
            <w:r w:rsidR="003373EA">
              <w:rPr>
                <w:rFonts w:ascii="Calibri" w:eastAsia="Tahoma" w:hAnsi="Calibri" w:cs="Tahoma"/>
                <w:sz w:val="20"/>
                <w:szCs w:val="20"/>
                <w:lang w:val="en-GB"/>
              </w:rPr>
              <w:t>As of ICANN64, it</w:t>
            </w:r>
            <w:r>
              <w:rPr>
                <w:rFonts w:ascii="Calibri" w:eastAsia="Tahoma" w:hAnsi="Calibri" w:cs="Tahoma"/>
                <w:sz w:val="20"/>
                <w:szCs w:val="20"/>
                <w:lang w:val="en-GB"/>
              </w:rPr>
              <w:t xml:space="preserve"> </w:t>
            </w:r>
            <w:r w:rsidR="003373EA">
              <w:rPr>
                <w:rFonts w:ascii="Calibri" w:eastAsia="Tahoma" w:hAnsi="Calibri" w:cs="Tahoma"/>
                <w:sz w:val="20"/>
                <w:szCs w:val="20"/>
                <w:lang w:val="en-GB"/>
              </w:rPr>
              <w:t xml:space="preserve">had anticipated </w:t>
            </w:r>
            <w:r>
              <w:rPr>
                <w:rFonts w:ascii="Calibri" w:eastAsia="Tahoma" w:hAnsi="Calibri" w:cs="Tahoma"/>
                <w:sz w:val="20"/>
                <w:szCs w:val="20"/>
                <w:lang w:val="en-GB"/>
              </w:rPr>
              <w:t xml:space="preserve">working on Phase One into February 2020 </w:t>
            </w:r>
            <w:r w:rsidR="003373EA">
              <w:rPr>
                <w:rFonts w:ascii="Calibri" w:eastAsia="Tahoma" w:hAnsi="Calibri" w:cs="Tahoma"/>
                <w:sz w:val="20"/>
                <w:szCs w:val="20"/>
                <w:lang w:val="en-GB"/>
              </w:rPr>
              <w:t>and</w:t>
            </w:r>
            <w:r>
              <w:rPr>
                <w:rFonts w:ascii="Calibri" w:eastAsia="Tahoma" w:hAnsi="Calibri" w:cs="Tahoma"/>
                <w:sz w:val="20"/>
                <w:szCs w:val="20"/>
                <w:lang w:val="en-GB"/>
              </w:rPr>
              <w:t xml:space="preserve"> submitting a finalized Phase One report to the GNSO Council in the first quarter of 2020.</w:t>
            </w:r>
            <w:r w:rsidR="003373EA">
              <w:rPr>
                <w:rFonts w:ascii="Calibri" w:eastAsia="Tahoma" w:hAnsi="Calibri" w:cs="Tahoma"/>
                <w:sz w:val="20"/>
                <w:szCs w:val="20"/>
                <w:lang w:val="en-GB"/>
              </w:rPr>
              <w:t xml:space="preserve"> </w:t>
            </w:r>
            <w:r w:rsidR="00967C3F">
              <w:rPr>
                <w:rFonts w:ascii="Calibri" w:eastAsia="Tahoma" w:hAnsi="Calibri" w:cs="Tahoma"/>
                <w:sz w:val="20"/>
                <w:szCs w:val="20"/>
                <w:lang w:val="en-GB"/>
              </w:rPr>
              <w:t xml:space="preserve">As requested by the Council leadership, the </w:t>
            </w:r>
            <w:r w:rsidR="003373EA">
              <w:rPr>
                <w:rFonts w:ascii="Calibri" w:eastAsia="Tahoma" w:hAnsi="Calibri" w:cs="Tahoma"/>
                <w:sz w:val="20"/>
                <w:szCs w:val="20"/>
                <w:lang w:val="en-GB"/>
              </w:rPr>
              <w:t xml:space="preserve">WG co-chairs </w:t>
            </w:r>
            <w:r w:rsidR="00967C3F">
              <w:rPr>
                <w:rFonts w:ascii="Calibri" w:eastAsia="Tahoma" w:hAnsi="Calibri" w:cs="Tahoma"/>
                <w:sz w:val="20"/>
                <w:szCs w:val="20"/>
                <w:lang w:val="en-GB"/>
              </w:rPr>
              <w:t>submitted</w:t>
            </w:r>
            <w:r w:rsidR="003373EA">
              <w:rPr>
                <w:rFonts w:ascii="Calibri" w:eastAsia="Tahoma" w:hAnsi="Calibri" w:cs="Tahoma"/>
                <w:sz w:val="20"/>
                <w:szCs w:val="20"/>
                <w:lang w:val="en-GB"/>
              </w:rPr>
              <w:t xml:space="preserve"> an updated Phase One timeline </w:t>
            </w:r>
            <w:r w:rsidR="008264DD">
              <w:rPr>
                <w:rFonts w:ascii="Calibri" w:eastAsia="Tahoma" w:hAnsi="Calibri" w:cs="Tahoma"/>
                <w:sz w:val="20"/>
                <w:szCs w:val="20"/>
                <w:lang w:val="en-GB"/>
              </w:rPr>
              <w:t xml:space="preserve">on </w:t>
            </w:r>
            <w:r w:rsidR="003324BC">
              <w:rPr>
                <w:rFonts w:ascii="Calibri" w:eastAsia="Tahoma" w:hAnsi="Calibri" w:cs="Tahoma"/>
                <w:sz w:val="20"/>
                <w:szCs w:val="20"/>
                <w:lang w:val="en-GB"/>
              </w:rPr>
              <w:t>2</w:t>
            </w:r>
            <w:r w:rsidR="008264DD">
              <w:rPr>
                <w:rFonts w:ascii="Calibri" w:eastAsia="Tahoma" w:hAnsi="Calibri" w:cs="Tahoma"/>
                <w:sz w:val="20"/>
                <w:szCs w:val="20"/>
                <w:lang w:val="en-GB"/>
              </w:rPr>
              <w:t>5</w:t>
            </w:r>
            <w:r w:rsidR="00B135DE">
              <w:rPr>
                <w:rFonts w:ascii="Calibri" w:eastAsia="Tahoma" w:hAnsi="Calibri" w:cs="Tahoma"/>
                <w:sz w:val="20"/>
                <w:szCs w:val="20"/>
                <w:lang w:val="en-GB"/>
              </w:rPr>
              <w:t xml:space="preserve"> </w:t>
            </w:r>
            <w:r w:rsidR="003373EA">
              <w:rPr>
                <w:rFonts w:ascii="Calibri" w:eastAsia="Tahoma" w:hAnsi="Calibri" w:cs="Tahoma"/>
                <w:sz w:val="20"/>
                <w:szCs w:val="20"/>
                <w:lang w:val="en-GB"/>
              </w:rPr>
              <w:t>April 2019</w:t>
            </w:r>
            <w:r w:rsidR="00967C3F">
              <w:rPr>
                <w:rFonts w:ascii="Calibri" w:eastAsia="Tahoma" w:hAnsi="Calibri" w:cs="Tahoma"/>
                <w:sz w:val="20"/>
                <w:szCs w:val="20"/>
                <w:lang w:val="en-GB"/>
              </w:rPr>
              <w:t xml:space="preserve"> that now reflects a late/end April 2020 date for completion of Phase One</w:t>
            </w:r>
            <w:r w:rsidR="003373EA">
              <w:rPr>
                <w:rFonts w:ascii="Calibri" w:eastAsia="Tahoma" w:hAnsi="Calibri" w:cs="Tahoma"/>
                <w:sz w:val="20"/>
                <w:szCs w:val="20"/>
                <w:lang w:val="en-GB"/>
              </w:rPr>
              <w:t>.</w:t>
            </w:r>
          </w:p>
          <w:p w14:paraId="4DD963BA" w14:textId="77777777" w:rsidR="00967C3F" w:rsidRDefault="00967C3F" w:rsidP="00EC5FD1">
            <w:pPr>
              <w:pStyle w:val="TableContents"/>
              <w:snapToGrid w:val="0"/>
              <w:rPr>
                <w:rFonts w:ascii="Calibri" w:eastAsia="Tahoma" w:hAnsi="Calibri" w:cs="Tahoma"/>
                <w:sz w:val="20"/>
                <w:szCs w:val="20"/>
                <w:lang w:val="en-GB"/>
              </w:rPr>
            </w:pPr>
          </w:p>
          <w:p w14:paraId="3722D14E" w14:textId="359FFFBD" w:rsidR="003324BC" w:rsidRDefault="008D14FB"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US"/>
              </w:rPr>
              <w:lastRenderedPageBreak/>
              <w:t xml:space="preserve">Based on the Council’s </w:t>
            </w:r>
            <w:r w:rsidR="00967C3F">
              <w:rPr>
                <w:rFonts w:ascii="Calibri" w:eastAsia="Tahoma" w:hAnsi="Calibri" w:cs="Tahoma"/>
                <w:sz w:val="20"/>
                <w:szCs w:val="20"/>
                <w:lang w:val="en-US"/>
              </w:rPr>
              <w:t xml:space="preserve">April 2019 </w:t>
            </w:r>
            <w:r>
              <w:rPr>
                <w:rFonts w:ascii="Calibri" w:eastAsia="Tahoma" w:hAnsi="Calibri" w:cs="Tahoma"/>
                <w:sz w:val="20"/>
                <w:szCs w:val="20"/>
                <w:lang w:val="en-US"/>
              </w:rPr>
              <w:t xml:space="preserve">referral of recommendation 5 of the IGO/INGO Curative Rights Protection Mechanisms PDP to the RPMs PDP, the Council will begin work on the revisions </w:t>
            </w:r>
            <w:r w:rsidR="00967C3F">
              <w:rPr>
                <w:rFonts w:ascii="Calibri" w:eastAsia="Tahoma" w:hAnsi="Calibri" w:cs="Tahoma"/>
                <w:sz w:val="20"/>
                <w:szCs w:val="20"/>
                <w:lang w:val="en-US"/>
              </w:rPr>
              <w:t xml:space="preserve">needed </w:t>
            </w:r>
            <w:r>
              <w:rPr>
                <w:rFonts w:ascii="Calibri" w:eastAsia="Tahoma" w:hAnsi="Calibri" w:cs="Tahoma"/>
                <w:sz w:val="20"/>
                <w:szCs w:val="20"/>
                <w:lang w:val="en-US"/>
              </w:rPr>
              <w:t>to integrate consideration of th</w:t>
            </w:r>
            <w:r w:rsidR="00967C3F">
              <w:rPr>
                <w:rFonts w:ascii="Calibri" w:eastAsia="Tahoma" w:hAnsi="Calibri" w:cs="Tahoma"/>
                <w:sz w:val="20"/>
                <w:szCs w:val="20"/>
                <w:lang w:val="en-US"/>
              </w:rPr>
              <w:t>is</w:t>
            </w:r>
            <w:r>
              <w:rPr>
                <w:rFonts w:ascii="Calibri" w:eastAsia="Tahoma" w:hAnsi="Calibri" w:cs="Tahoma"/>
                <w:sz w:val="20"/>
                <w:szCs w:val="20"/>
                <w:lang w:val="en-US"/>
              </w:rPr>
              <w:t xml:space="preserve"> recommendation into the RPMs PDP charter.</w:t>
            </w:r>
          </w:p>
        </w:tc>
      </w:tr>
      <w:bookmarkStart w:id="7" w:name="subrnd_gTLD"/>
      <w:bookmarkEnd w:id="7"/>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6A94885B"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closed on 26 September 2018 and the WG </w:t>
            </w:r>
            <w:r w:rsidR="0041353E">
              <w:rPr>
                <w:rFonts w:ascii="Calibri" w:eastAsia="Tahoma" w:hAnsi="Calibri" w:cs="Tahoma"/>
                <w:color w:val="000000"/>
                <w:sz w:val="20"/>
                <w:szCs w:val="20"/>
                <w:lang w:val="en-US"/>
              </w:rPr>
              <w:t>completed</w:t>
            </w:r>
            <w:r>
              <w:rPr>
                <w:rFonts w:ascii="Calibri" w:eastAsia="Tahoma" w:hAnsi="Calibri" w:cs="Tahoma"/>
                <w:color w:val="000000"/>
                <w:sz w:val="20"/>
                <w:szCs w:val="20"/>
                <w:lang w:val="en-US"/>
              </w:rPr>
              <w:t xml:space="preserve"> its initial review of the comments via three Sub Groups</w:t>
            </w:r>
            <w:r w:rsidR="0041353E">
              <w:rPr>
                <w:rFonts w:ascii="Calibri" w:eastAsia="Tahoma" w:hAnsi="Calibri" w:cs="Tahoma"/>
                <w:color w:val="000000"/>
                <w:sz w:val="20"/>
                <w:szCs w:val="20"/>
                <w:lang w:val="en-US"/>
              </w:rPr>
              <w:t xml:space="preserve"> just prior to ICANN65</w:t>
            </w:r>
            <w:r>
              <w:rPr>
                <w:rFonts w:ascii="Calibri" w:eastAsia="Tahoma" w:hAnsi="Calibri" w:cs="Tahoma"/>
                <w:color w:val="000000"/>
                <w:sz w:val="20"/>
                <w:szCs w:val="20"/>
                <w:lang w:val="en-US"/>
              </w:rPr>
              <w:t>. The full WG beg</w:t>
            </w:r>
            <w:r w:rsidR="0041353E">
              <w:rPr>
                <w:rFonts w:ascii="Calibri" w:eastAsia="Tahoma" w:hAnsi="Calibri" w:cs="Tahoma"/>
                <w:color w:val="000000"/>
                <w:sz w:val="20"/>
                <w:szCs w:val="20"/>
                <w:lang w:val="en-US"/>
              </w:rPr>
              <w:t>a</w:t>
            </w:r>
            <w:r>
              <w:rPr>
                <w:rFonts w:ascii="Calibri" w:eastAsia="Tahoma" w:hAnsi="Calibri" w:cs="Tahoma"/>
                <w:color w:val="000000"/>
                <w:sz w:val="20"/>
                <w:szCs w:val="20"/>
                <w:lang w:val="en-US"/>
              </w:rPr>
              <w:t xml:space="preserve">n substantive discussion on </w:t>
            </w:r>
            <w:r w:rsidR="0059083D">
              <w:rPr>
                <w:rFonts w:ascii="Calibri" w:eastAsia="Tahoma" w:hAnsi="Calibri" w:cs="Tahoma"/>
                <w:color w:val="000000"/>
                <w:sz w:val="20"/>
                <w:szCs w:val="20"/>
                <w:lang w:val="en-US"/>
              </w:rPr>
              <w:t xml:space="preserve">the public comments to </w:t>
            </w:r>
            <w:r>
              <w:rPr>
                <w:rFonts w:ascii="Calibri" w:eastAsia="Tahoma" w:hAnsi="Calibri" w:cs="Tahoma"/>
                <w:color w:val="000000"/>
                <w:sz w:val="20"/>
                <w:szCs w:val="20"/>
                <w:lang w:val="en-US"/>
              </w:rPr>
              <w:t>its Initial Report at ICANN64 and</w:t>
            </w:r>
            <w:r w:rsidR="0059083D">
              <w:rPr>
                <w:rFonts w:ascii="Calibri" w:eastAsia="Tahoma" w:hAnsi="Calibri" w:cs="Tahoma"/>
                <w:color w:val="000000"/>
                <w:sz w:val="20"/>
                <w:szCs w:val="20"/>
                <w:lang w:val="en-US"/>
              </w:rPr>
              <w:t xml:space="preserve"> taking into account lessons learned at ICANN64, </w:t>
            </w:r>
            <w:r w:rsidR="008264DD">
              <w:rPr>
                <w:rFonts w:ascii="Calibri" w:eastAsia="Tahoma" w:hAnsi="Calibri" w:cs="Tahoma"/>
                <w:color w:val="000000"/>
                <w:sz w:val="20"/>
                <w:szCs w:val="20"/>
                <w:lang w:val="en-US"/>
              </w:rPr>
              <w:t xml:space="preserve">is </w:t>
            </w:r>
            <w:r>
              <w:rPr>
                <w:rFonts w:ascii="Calibri" w:eastAsia="Tahoma" w:hAnsi="Calibri" w:cs="Tahoma"/>
                <w:color w:val="000000"/>
                <w:sz w:val="20"/>
                <w:szCs w:val="20"/>
                <w:lang w:val="en-US"/>
              </w:rPr>
              <w:t>continu</w:t>
            </w:r>
            <w:r w:rsidR="008264DD">
              <w:rPr>
                <w:rFonts w:ascii="Calibri" w:eastAsia="Tahoma" w:hAnsi="Calibri" w:cs="Tahoma"/>
                <w:color w:val="000000"/>
                <w:sz w:val="20"/>
                <w:szCs w:val="20"/>
                <w:lang w:val="en-US"/>
              </w:rPr>
              <w:t>ing</w:t>
            </w:r>
            <w:r>
              <w:rPr>
                <w:rFonts w:ascii="Calibri" w:eastAsia="Tahoma" w:hAnsi="Calibri" w:cs="Tahoma"/>
                <w:color w:val="000000"/>
                <w:sz w:val="20"/>
                <w:szCs w:val="20"/>
                <w:lang w:val="en-US"/>
              </w:rPr>
              <w:t xml:space="preserve"> those deliberations </w:t>
            </w:r>
            <w:r w:rsidR="008264DD">
              <w:rPr>
                <w:rFonts w:ascii="Calibri" w:eastAsia="Tahoma" w:hAnsi="Calibri" w:cs="Tahoma"/>
                <w:color w:val="000000"/>
                <w:sz w:val="20"/>
                <w:szCs w:val="20"/>
                <w:lang w:val="en-US"/>
              </w:rPr>
              <w:t>currently</w:t>
            </w:r>
            <w:r>
              <w:rPr>
                <w:rFonts w:ascii="Calibri" w:eastAsia="Tahoma" w:hAnsi="Calibri" w:cs="Tahoma"/>
                <w:color w:val="000000"/>
                <w:sz w:val="20"/>
                <w:szCs w:val="20"/>
                <w:lang w:val="en-US"/>
              </w:rPr>
              <w:t xml:space="preserve">. The full WG </w:t>
            </w:r>
            <w:r w:rsidR="003324BC">
              <w:rPr>
                <w:rFonts w:ascii="Calibri" w:eastAsia="Tahoma" w:hAnsi="Calibri" w:cs="Tahoma"/>
                <w:color w:val="000000"/>
                <w:sz w:val="20"/>
                <w:szCs w:val="20"/>
                <w:lang w:val="en-US"/>
              </w:rPr>
              <w:t xml:space="preserve">has </w:t>
            </w:r>
            <w:r w:rsidR="0059083D">
              <w:rPr>
                <w:rFonts w:ascii="Calibri" w:eastAsia="Tahoma" w:hAnsi="Calibri" w:cs="Tahoma"/>
                <w:color w:val="000000"/>
                <w:sz w:val="20"/>
                <w:szCs w:val="20"/>
                <w:lang w:val="en-US"/>
              </w:rPr>
              <w:t>completed the initial review of</w:t>
            </w:r>
            <w:r>
              <w:rPr>
                <w:rFonts w:ascii="Calibri" w:eastAsia="Tahoma" w:hAnsi="Calibri" w:cs="Tahoma"/>
                <w:color w:val="000000"/>
                <w:sz w:val="20"/>
                <w:szCs w:val="20"/>
                <w:lang w:val="en-US"/>
              </w:rPr>
              <w:t xml:space="preserve"> public comments received to its supplemental Initial Report on several additional topics that were not included in the Initial Report.</w:t>
            </w:r>
            <w:r w:rsidR="003324BC">
              <w:rPr>
                <w:rFonts w:ascii="Calibri" w:eastAsia="Tahoma" w:hAnsi="Calibri" w:cs="Tahoma"/>
                <w:color w:val="000000"/>
                <w:sz w:val="20"/>
                <w:szCs w:val="20"/>
                <w:lang w:val="en-US"/>
              </w:rPr>
              <w:t xml:space="preserve"> </w:t>
            </w:r>
            <w:r w:rsidR="008264DD">
              <w:rPr>
                <w:rFonts w:ascii="Calibri" w:eastAsia="Tahoma" w:hAnsi="Calibri" w:cs="Tahoma"/>
                <w:color w:val="000000"/>
                <w:sz w:val="20"/>
                <w:szCs w:val="20"/>
                <w:lang w:val="en-US"/>
              </w:rPr>
              <w:t xml:space="preserve">The WG is assembling public comment summary documents to help it assess what </w:t>
            </w:r>
            <w:proofErr w:type="spellStart"/>
            <w:r w:rsidR="008264DD">
              <w:rPr>
                <w:rFonts w:ascii="Calibri" w:eastAsia="Tahoma" w:hAnsi="Calibri" w:cs="Tahoma"/>
                <w:color w:val="000000"/>
                <w:sz w:val="20"/>
                <w:szCs w:val="20"/>
                <w:lang w:val="en-US"/>
              </w:rPr>
              <w:t>what</w:t>
            </w:r>
            <w:proofErr w:type="spellEnd"/>
            <w:r w:rsidR="008264DD">
              <w:rPr>
                <w:rFonts w:ascii="Calibri" w:eastAsia="Tahoma" w:hAnsi="Calibri" w:cs="Tahoma"/>
                <w:color w:val="000000"/>
                <w:sz w:val="20"/>
                <w:szCs w:val="20"/>
                <w:lang w:val="en-US"/>
              </w:rPr>
              <w:t xml:space="preserve"> elements should be integrated into its eventual recommendations. </w:t>
            </w:r>
            <w:r w:rsidR="003324BC">
              <w:rPr>
                <w:rFonts w:ascii="Calibri" w:eastAsia="Tahoma" w:hAnsi="Calibri" w:cs="Tahoma"/>
                <w:color w:val="000000"/>
                <w:sz w:val="20"/>
                <w:szCs w:val="20"/>
                <w:lang w:val="en-US"/>
              </w:rPr>
              <w:t xml:space="preserve">It also </w:t>
            </w:r>
            <w:r w:rsidR="003324BC">
              <w:rPr>
                <w:rFonts w:ascii="Calibri" w:eastAsia="Tahoma" w:hAnsi="Calibri" w:cs="Tahoma"/>
                <w:color w:val="000000"/>
                <w:sz w:val="20"/>
                <w:szCs w:val="20"/>
              </w:rPr>
              <w:t>completed discussion of</w:t>
            </w:r>
            <w:r w:rsidR="003324BC" w:rsidRPr="003324BC">
              <w:rPr>
                <w:rFonts w:ascii="Calibri" w:eastAsia="Tahoma" w:hAnsi="Calibri" w:cs="Tahoma"/>
                <w:color w:val="000000"/>
                <w:sz w:val="20"/>
                <w:szCs w:val="20"/>
              </w:rPr>
              <w:t xml:space="preserve"> </w:t>
            </w:r>
            <w:r w:rsidR="003324BC">
              <w:rPr>
                <w:rFonts w:ascii="Calibri" w:eastAsia="Tahoma" w:hAnsi="Calibri" w:cs="Tahoma"/>
                <w:color w:val="000000"/>
                <w:sz w:val="20"/>
                <w:szCs w:val="20"/>
              </w:rPr>
              <w:t xml:space="preserve">the summary </w:t>
            </w:r>
            <w:r w:rsidR="008264DD">
              <w:rPr>
                <w:rFonts w:ascii="Calibri" w:eastAsia="Tahoma" w:hAnsi="Calibri" w:cs="Tahoma"/>
                <w:color w:val="000000"/>
                <w:sz w:val="20"/>
                <w:szCs w:val="20"/>
              </w:rPr>
              <w:t xml:space="preserve">documents </w:t>
            </w:r>
            <w:r w:rsidR="003324BC">
              <w:rPr>
                <w:rFonts w:ascii="Calibri" w:eastAsia="Tahoma" w:hAnsi="Calibri" w:cs="Tahoma"/>
                <w:color w:val="000000"/>
                <w:sz w:val="20"/>
                <w:szCs w:val="20"/>
              </w:rPr>
              <w:t>on pre-launch activities (Applicant Guidebook, Communications, Systems) and will begin a discussion of public comment summaries on</w:t>
            </w:r>
            <w:r w:rsidR="008264DD">
              <w:rPr>
                <w:rFonts w:ascii="Calibri" w:eastAsia="Tahoma" w:hAnsi="Calibri" w:cs="Tahoma"/>
                <w:color w:val="000000"/>
                <w:sz w:val="20"/>
                <w:szCs w:val="20"/>
              </w:rPr>
              <w:t xml:space="preserve"> Overarching Issues</w:t>
            </w:r>
            <w:r w:rsidR="003324BC">
              <w:rPr>
                <w:rFonts w:ascii="Calibri" w:eastAsia="Tahoma" w:hAnsi="Calibri" w:cs="Tahoma"/>
                <w:color w:val="000000"/>
                <w:sz w:val="20"/>
                <w:szCs w:val="20"/>
              </w:rPr>
              <w:t xml:space="preserve"> </w:t>
            </w:r>
            <w:r w:rsidR="008264DD">
              <w:rPr>
                <w:rFonts w:ascii="Calibri" w:eastAsia="Tahoma" w:hAnsi="Calibri" w:cs="Tahoma"/>
                <w:color w:val="000000"/>
                <w:sz w:val="20"/>
                <w:szCs w:val="20"/>
              </w:rPr>
              <w:t xml:space="preserve">(e.g., </w:t>
            </w:r>
            <w:r w:rsidR="003324BC">
              <w:rPr>
                <w:rFonts w:ascii="Calibri" w:eastAsia="Tahoma" w:hAnsi="Calibri" w:cs="Tahoma"/>
                <w:color w:val="000000"/>
                <w:sz w:val="20"/>
                <w:szCs w:val="20"/>
              </w:rPr>
              <w:t>Continuing Subsequent Procedures, Predictability, Clarity of Application Process</w:t>
            </w:r>
            <w:r w:rsidR="008264DD">
              <w:rPr>
                <w:rFonts w:ascii="Calibri" w:eastAsia="Tahoma" w:hAnsi="Calibri" w:cs="Tahoma"/>
                <w:color w:val="000000"/>
                <w:sz w:val="20"/>
                <w:szCs w:val="20"/>
              </w:rPr>
              <w:t>, etc.)</w:t>
            </w:r>
            <w:r w:rsidR="003324BC">
              <w:rPr>
                <w:rFonts w:ascii="Calibri" w:eastAsia="Tahoma" w:hAnsi="Calibri" w:cs="Tahoma"/>
                <w:color w:val="000000"/>
                <w:sz w:val="20"/>
                <w:szCs w:val="20"/>
              </w:rPr>
              <w: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2A0B56EF"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r w:rsidR="0059083D">
              <w:rPr>
                <w:rFonts w:ascii="Calibri" w:eastAsia="Tahoma" w:hAnsi="Calibri" w:cs="Tahoma"/>
                <w:color w:val="000000"/>
                <w:sz w:val="20"/>
                <w:szCs w:val="20"/>
                <w:lang w:val="en-US"/>
              </w:rPr>
              <w:t>solely focused on</w:t>
            </w:r>
            <w:r w:rsidRPr="00831011">
              <w:rPr>
                <w:rFonts w:ascii="Calibri" w:eastAsia="Tahoma" w:hAnsi="Calibri" w:cs="Tahoma"/>
                <w:color w:val="000000"/>
                <w:sz w:val="20"/>
                <w:szCs w:val="20"/>
                <w:lang w:val="en-US"/>
              </w:rPr>
              <w:t xml:space="preserve"> geographic names at the top level. WT5</w:t>
            </w:r>
            <w:r w:rsidR="0059083D">
              <w:rPr>
                <w:rFonts w:ascii="Calibri" w:eastAsia="Tahoma" w:hAnsi="Calibri" w:cs="Tahoma"/>
                <w:color w:val="000000"/>
                <w:sz w:val="20"/>
                <w:szCs w:val="20"/>
                <w:lang w:val="en-US"/>
              </w:rPr>
              <w:t xml:space="preserve"> continues to review public comments received to its</w:t>
            </w:r>
            <w:r>
              <w:rPr>
                <w:rFonts w:ascii="Calibri" w:eastAsia="Tahoma" w:hAnsi="Calibri" w:cs="Tahoma"/>
                <w:color w:val="000000"/>
                <w:sz w:val="20"/>
                <w:szCs w:val="20"/>
                <w:lang w:val="en-US"/>
              </w:rPr>
              <w:t xml:space="preserve"> Initial Report that was published for public comment on 05 December 2018</w:t>
            </w:r>
            <w:r w:rsidR="0059083D">
              <w:rPr>
                <w:rFonts w:ascii="Calibri" w:eastAsia="Tahoma" w:hAnsi="Calibri" w:cs="Tahoma"/>
                <w:color w:val="000000"/>
                <w:sz w:val="20"/>
                <w:szCs w:val="20"/>
                <w:lang w:val="en-US"/>
              </w:rPr>
              <w:t xml:space="preserve">. WT5 </w:t>
            </w:r>
            <w:r w:rsidR="008264DD">
              <w:rPr>
                <w:rFonts w:ascii="Calibri" w:eastAsia="Tahoma" w:hAnsi="Calibri" w:cs="Tahoma"/>
                <w:color w:val="000000"/>
                <w:sz w:val="20"/>
                <w:szCs w:val="20"/>
                <w:lang w:val="en-US"/>
              </w:rPr>
              <w:t xml:space="preserve">is </w:t>
            </w:r>
            <w:r w:rsidR="0059083D">
              <w:rPr>
                <w:rFonts w:ascii="Calibri" w:eastAsia="Tahoma" w:hAnsi="Calibri" w:cs="Tahoma"/>
                <w:color w:val="000000"/>
                <w:sz w:val="20"/>
                <w:szCs w:val="20"/>
                <w:lang w:val="en-US"/>
              </w:rPr>
              <w:t xml:space="preserve">meeting on a weekly basis to try and complete </w:t>
            </w:r>
            <w:r w:rsidR="008264DD">
              <w:rPr>
                <w:rFonts w:ascii="Calibri" w:eastAsia="Tahoma" w:hAnsi="Calibri" w:cs="Tahoma"/>
                <w:color w:val="000000"/>
                <w:sz w:val="20"/>
                <w:szCs w:val="20"/>
                <w:lang w:val="en-US"/>
              </w:rPr>
              <w:t xml:space="preserve">the </w:t>
            </w:r>
            <w:r w:rsidR="0059083D">
              <w:rPr>
                <w:rFonts w:ascii="Calibri" w:eastAsia="Tahoma" w:hAnsi="Calibri" w:cs="Tahoma"/>
                <w:color w:val="000000"/>
                <w:sz w:val="20"/>
                <w:szCs w:val="20"/>
                <w:lang w:val="en-US"/>
              </w:rPr>
              <w:t>task on a timely basis.</w:t>
            </w:r>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04C58" w:rsidRPr="007508AF" w14:paraId="449E16F6"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5F13DBB4" w14:textId="5CC2254A" w:rsidR="00104C58" w:rsidRDefault="00104C58" w:rsidP="00104C58">
            <w:pPr>
              <w:pStyle w:val="TableContents"/>
              <w:snapToGrid w:val="0"/>
              <w:rPr>
                <w:rFonts w:ascii="Calibri" w:eastAsia="Tahoma" w:hAnsi="Calibri" w:cs="Tahoma"/>
                <w:b/>
                <w:sz w:val="20"/>
                <w:szCs w:val="20"/>
                <w:lang w:val="en-GB"/>
              </w:rPr>
            </w:pPr>
            <w:r w:rsidRPr="00104C58">
              <w:rPr>
                <w:rFonts w:ascii="Calibri" w:eastAsia="Tahoma" w:hAnsi="Calibri" w:cs="Tahoma"/>
                <w:b/>
                <w:sz w:val="20"/>
                <w:szCs w:val="20"/>
                <w:lang w:val="en-GB"/>
              </w:rPr>
              <w:t>-</w:t>
            </w:r>
            <w:r>
              <w:rPr>
                <w:rFonts w:ascii="Calibri" w:eastAsia="Tahoma" w:hAnsi="Calibri" w:cs="Tahoma"/>
                <w:b/>
                <w:sz w:val="20"/>
                <w:szCs w:val="20"/>
                <w:lang w:val="en-GB"/>
              </w:rPr>
              <w:t xml:space="preserve"> none - </w:t>
            </w:r>
          </w:p>
        </w:tc>
        <w:tc>
          <w:tcPr>
            <w:tcW w:w="1171" w:type="dxa"/>
            <w:tcBorders>
              <w:top w:val="single" w:sz="18" w:space="0" w:color="A6A6A6"/>
              <w:left w:val="single" w:sz="18" w:space="0" w:color="A6A6A6"/>
              <w:bottom w:val="single" w:sz="18" w:space="0" w:color="A6A6A6"/>
              <w:right w:val="single" w:sz="18" w:space="0" w:color="A6A6A6"/>
            </w:tcBorders>
          </w:tcPr>
          <w:p w14:paraId="17E0835A" w14:textId="77777777" w:rsidR="00104C58" w:rsidRDefault="00104C58" w:rsidP="00D16F2B">
            <w:pPr>
              <w:pStyle w:val="TableContents"/>
              <w:snapToGrid w:val="0"/>
              <w:rPr>
                <w:rFonts w:ascii="Calibri" w:eastAsia="Tahoma" w:hAnsi="Calibri" w:cs="Tahoma"/>
                <w:sz w:val="20"/>
                <w:szCs w:val="20"/>
                <w:lang w:val="en-GB"/>
              </w:rPr>
            </w:pPr>
          </w:p>
        </w:tc>
        <w:tc>
          <w:tcPr>
            <w:tcW w:w="1168" w:type="dxa"/>
            <w:tcBorders>
              <w:top w:val="single" w:sz="18" w:space="0" w:color="A6A6A6"/>
              <w:left w:val="single" w:sz="18" w:space="0" w:color="A6A6A6"/>
              <w:bottom w:val="single" w:sz="18" w:space="0" w:color="A6A6A6"/>
              <w:right w:val="single" w:sz="18" w:space="0" w:color="A6A6A6"/>
            </w:tcBorders>
          </w:tcPr>
          <w:p w14:paraId="1B1BC9F2" w14:textId="77777777" w:rsidR="00104C58" w:rsidRDefault="00104C58" w:rsidP="00D16F2B">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141F0FE0" w14:textId="77777777" w:rsidR="00104C58" w:rsidRDefault="00104C58" w:rsidP="00D16F2B">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6B0B861" w14:textId="77777777" w:rsidR="00104C58" w:rsidRDefault="00104C58" w:rsidP="00D16F2B">
            <w:pPr>
              <w:pStyle w:val="TableContents"/>
              <w:snapToGrid w:val="0"/>
              <w:rPr>
                <w:rFonts w:ascii="Calibri" w:eastAsia="Tahoma" w:hAnsi="Calibri" w:cs="Tahoma"/>
                <w:sz w:val="20"/>
                <w:szCs w:val="20"/>
                <w:lang w:val="en-US"/>
              </w:rPr>
            </w:pPr>
          </w:p>
        </w:tc>
      </w:tr>
    </w:tbl>
    <w:p w14:paraId="15F6FA46" w14:textId="77777777" w:rsidR="00410F69" w:rsidRDefault="00410F69" w:rsidP="00F35026">
      <w:bookmarkStart w:id="8" w:name="WHOIS_PDP"/>
      <w:bookmarkEnd w:id="8"/>
    </w:p>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9" w:name="IGO_INGO_RPM"/>
      <w:bookmarkEnd w:id="9"/>
      <w:tr w:rsidR="00104C58" w:rsidRPr="007508AF" w14:paraId="67A3B9F6"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4CA9B260" w14:textId="77777777"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252CEA3D"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4722E613" w14:textId="77777777" w:rsidR="00104C58" w:rsidRPr="00DB109C" w:rsidRDefault="00104C58" w:rsidP="00104C58">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20E13E6C"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C246EB3" w14:textId="77777777" w:rsidR="00104C58" w:rsidRDefault="00104C58" w:rsidP="00104C58">
            <w:pPr>
              <w:pStyle w:val="TableContents"/>
              <w:snapToGrid w:val="0"/>
              <w:rPr>
                <w:rFonts w:ascii="Calibri" w:eastAsia="Tahoma" w:hAnsi="Calibri" w:cs="Tahoma"/>
                <w:sz w:val="20"/>
                <w:szCs w:val="20"/>
                <w:lang w:val="en-GB"/>
              </w:rPr>
            </w:pPr>
          </w:p>
          <w:p w14:paraId="2B0ACB51" w14:textId="1CB7D572" w:rsidR="00104C58" w:rsidRDefault="00104C58" w:rsidP="00104C58">
            <w:pPr>
              <w:pStyle w:val="TableContents"/>
              <w:snapToGrid w:val="0"/>
              <w:rPr>
                <w:rStyle w:val="Hyperlink"/>
                <w:rFonts w:ascii="Calibri" w:eastAsia="Tahoma" w:hAnsi="Calibri" w:cs="Tahoma"/>
                <w:b/>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58269B85" w14:textId="5384392D"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44" w:type="dxa"/>
            <w:tcBorders>
              <w:top w:val="single" w:sz="18" w:space="0" w:color="A6A6A6"/>
              <w:left w:val="single" w:sz="18" w:space="0" w:color="A6A6A6"/>
              <w:bottom w:val="single" w:sz="18" w:space="0" w:color="A6A6A6"/>
              <w:right w:val="single" w:sz="18" w:space="0" w:color="A6A6A6"/>
            </w:tcBorders>
          </w:tcPr>
          <w:p w14:paraId="5C2926E4" w14:textId="1292471F"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31C5D00C" w14:textId="6A13AABC"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Board</w:t>
            </w:r>
          </w:p>
        </w:tc>
        <w:tc>
          <w:tcPr>
            <w:tcW w:w="6569" w:type="dxa"/>
            <w:tcBorders>
              <w:top w:val="single" w:sz="18" w:space="0" w:color="A6A6A6"/>
              <w:left w:val="single" w:sz="18" w:space="0" w:color="A6A6A6"/>
              <w:bottom w:val="single" w:sz="18" w:space="0" w:color="A6A6A6"/>
              <w:right w:val="single" w:sz="18" w:space="0" w:color="A6A6A6"/>
            </w:tcBorders>
          </w:tcPr>
          <w:p w14:paraId="1038166C" w14:textId="2D5EDE07"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w:t>
            </w:r>
            <w:r w:rsidR="00967C3F">
              <w:rPr>
                <w:rFonts w:ascii="Calibri" w:eastAsia="Tahoma" w:hAnsi="Calibri" w:cs="Tahoma"/>
                <w:sz w:val="20"/>
                <w:szCs w:val="20"/>
                <w:lang w:val="en-US"/>
              </w:rPr>
              <w:t xml:space="preserve"> 2018</w:t>
            </w:r>
            <w:r>
              <w:rPr>
                <w:rFonts w:ascii="Calibri" w:eastAsia="Tahoma" w:hAnsi="Calibri" w:cs="Tahoma"/>
                <w:sz w:val="20"/>
                <w:szCs w:val="20"/>
                <w:lang w:val="en-US"/>
              </w:rPr>
              <w:t xml:space="preserve"> meeting, it acknowledged receipt of the report and resolved to consider it in a holistic fashion, taking into account the overall protections for IGOs.</w:t>
            </w:r>
          </w:p>
          <w:p w14:paraId="52C0DD1D" w14:textId="77777777" w:rsidR="00104C58" w:rsidRDefault="00104C58" w:rsidP="00104C58">
            <w:pPr>
              <w:pStyle w:val="TableContents"/>
              <w:snapToGrid w:val="0"/>
              <w:rPr>
                <w:rFonts w:ascii="Calibri" w:eastAsia="Tahoma" w:hAnsi="Calibri" w:cs="Tahoma"/>
                <w:sz w:val="20"/>
                <w:szCs w:val="20"/>
                <w:lang w:val="en-US"/>
              </w:rPr>
            </w:pPr>
          </w:p>
          <w:p w14:paraId="0CCB2053" w14:textId="189FD8CF"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To more fully understand the Final Report and its recommendations, prior to taking any action, the Council conducted a question and answer webinar on 9 October 2018. A motion to consider the WG’s Final Report, submitted for the 24 October Council meeting, was withdrawn based on both substantive and procedural concerns raised by several Councilors. For the Council’s November 2018 meeting, staff prepared a procedural options paper to assist Council to determine next steps for moving forward. In January 2019, the Council sent a response to the GAC’s letter of October 2018, requesting further engagement on the topic. The Council and GAC leadership teams held tw</w:t>
            </w:r>
            <w:r w:rsidR="008264DD">
              <w:rPr>
                <w:rFonts w:ascii="Calibri" w:eastAsia="Tahoma" w:hAnsi="Calibri" w:cs="Tahoma"/>
                <w:sz w:val="20"/>
                <w:szCs w:val="20"/>
                <w:lang w:val="en-US"/>
              </w:rPr>
              <w:t>o</w:t>
            </w:r>
            <w:r>
              <w:rPr>
                <w:rFonts w:ascii="Calibri" w:eastAsia="Tahoma" w:hAnsi="Calibri" w:cs="Tahoma"/>
                <w:sz w:val="20"/>
                <w:szCs w:val="20"/>
                <w:lang w:val="en-US"/>
              </w:rPr>
              <w:t xml:space="preserve"> calls before ICANN64 and agreed that a series of questions might help frame the discussion. The questions were sent to the GAC just prior to ICANN64 in March 2019. The GAC/IGOs have indicated that they may be willing to participate in some form of reconstituted effort. The GNSO Council had been considering several options, ranging from approving, adopting some, or rejecting all recommendations, with various paths available after this initial action. For the Council’s 18 April meeting, the Council leadership proposed a motion where recommendations 1-4 are adopted and recommendation 5 is referred to the RPMs PDP for their consideration.</w:t>
            </w:r>
            <w:r w:rsidR="008264DD">
              <w:rPr>
                <w:rFonts w:ascii="Calibri" w:eastAsia="Tahoma" w:hAnsi="Calibri" w:cs="Tahoma"/>
                <w:sz w:val="20"/>
                <w:szCs w:val="20"/>
                <w:lang w:val="en-US"/>
              </w:rPr>
              <w:t xml:space="preserve"> Just prior to the 18 April meeting, the Council received correspondence from the GAC, which expressed some concern about this proposed approach. At the 18 April Council Meeting, the Council adopted the motion as proposed with a Supermajority</w:t>
            </w:r>
            <w:r w:rsidR="00967C3F">
              <w:rPr>
                <w:rFonts w:ascii="Calibri" w:eastAsia="Tahoma" w:hAnsi="Calibri" w:cs="Tahoma"/>
                <w:sz w:val="20"/>
                <w:szCs w:val="20"/>
                <w:lang w:val="en-US"/>
              </w:rPr>
              <w:t xml:space="preserve"> vote</w:t>
            </w:r>
            <w:r w:rsidR="008264DD">
              <w:rPr>
                <w:rFonts w:ascii="Calibri" w:eastAsia="Tahoma" w:hAnsi="Calibri" w:cs="Tahoma"/>
                <w:sz w:val="20"/>
                <w:szCs w:val="20"/>
                <w:lang w:val="en-US"/>
              </w:rPr>
              <w:t xml:space="preserve">. The Council will </w:t>
            </w:r>
            <w:r w:rsidR="00967C3F">
              <w:rPr>
                <w:rFonts w:ascii="Calibri" w:eastAsia="Tahoma" w:hAnsi="Calibri" w:cs="Tahoma"/>
                <w:sz w:val="20"/>
                <w:szCs w:val="20"/>
                <w:lang w:val="en-US"/>
              </w:rPr>
              <w:t>consider</w:t>
            </w:r>
            <w:r w:rsidR="008264DD">
              <w:rPr>
                <w:rFonts w:ascii="Calibri" w:eastAsia="Tahoma" w:hAnsi="Calibri" w:cs="Tahoma"/>
                <w:sz w:val="20"/>
                <w:szCs w:val="20"/>
                <w:lang w:val="en-US"/>
              </w:rPr>
              <w:t xml:space="preserve"> a Recommendations Report for the ICANN Board </w:t>
            </w:r>
            <w:r w:rsidR="00967C3F">
              <w:rPr>
                <w:rFonts w:ascii="Calibri" w:eastAsia="Tahoma" w:hAnsi="Calibri" w:cs="Tahoma"/>
                <w:sz w:val="20"/>
                <w:szCs w:val="20"/>
                <w:lang w:val="en-US"/>
              </w:rPr>
              <w:t xml:space="preserve">at its May 2019 meeting </w:t>
            </w:r>
            <w:r w:rsidR="008264DD">
              <w:rPr>
                <w:rFonts w:ascii="Calibri" w:eastAsia="Tahoma" w:hAnsi="Calibri" w:cs="Tahoma"/>
                <w:sz w:val="20"/>
                <w:szCs w:val="20"/>
                <w:lang w:val="en-US"/>
              </w:rPr>
              <w:t xml:space="preserve">and begin working on the revisions </w:t>
            </w:r>
            <w:r w:rsidR="00967C3F">
              <w:rPr>
                <w:rFonts w:ascii="Calibri" w:eastAsia="Tahoma" w:hAnsi="Calibri" w:cs="Tahoma"/>
                <w:sz w:val="20"/>
                <w:szCs w:val="20"/>
                <w:lang w:val="en-US"/>
              </w:rPr>
              <w:t xml:space="preserve">needed </w:t>
            </w:r>
            <w:r w:rsidR="008264DD">
              <w:rPr>
                <w:rFonts w:ascii="Calibri" w:eastAsia="Tahoma" w:hAnsi="Calibri" w:cs="Tahoma"/>
                <w:sz w:val="20"/>
                <w:szCs w:val="20"/>
                <w:lang w:val="en-US"/>
              </w:rPr>
              <w:t xml:space="preserve">to </w:t>
            </w:r>
            <w:r w:rsidR="008D14FB">
              <w:rPr>
                <w:rFonts w:ascii="Calibri" w:eastAsia="Tahoma" w:hAnsi="Calibri" w:cs="Tahoma"/>
                <w:sz w:val="20"/>
                <w:szCs w:val="20"/>
                <w:lang w:val="en-US"/>
              </w:rPr>
              <w:t xml:space="preserve">integrate consideration of recommendation 5 into </w:t>
            </w:r>
            <w:r w:rsidR="008264DD">
              <w:rPr>
                <w:rFonts w:ascii="Calibri" w:eastAsia="Tahoma" w:hAnsi="Calibri" w:cs="Tahoma"/>
                <w:sz w:val="20"/>
                <w:szCs w:val="20"/>
                <w:lang w:val="en-US"/>
              </w:rPr>
              <w:t>the RPMs PDP charter</w:t>
            </w:r>
            <w:r w:rsidR="008D14FB">
              <w:rPr>
                <w:rFonts w:ascii="Calibri" w:eastAsia="Tahoma" w:hAnsi="Calibri" w:cs="Tahoma"/>
                <w:sz w:val="20"/>
                <w:szCs w:val="20"/>
                <w:lang w:val="en-US"/>
              </w:rPr>
              <w:t>.</w:t>
            </w:r>
          </w:p>
        </w:tc>
      </w:tr>
      <w:bookmarkStart w:id="10" w:name="EPDP_TempSpec"/>
      <w:bookmarkEnd w:id="10"/>
      <w:tr w:rsidR="00104C58" w:rsidRPr="007508AF" w14:paraId="0B4B27FB"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684FD1E6" w14:textId="474D3236" w:rsidR="00104C58" w:rsidRDefault="00104C58" w:rsidP="00104C58">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sidR="00C547F7">
              <w:rPr>
                <w:rStyle w:val="Hyperlink"/>
                <w:rFonts w:ascii="Calibri" w:eastAsia="Tahoma" w:hAnsi="Calibri" w:cs="Tahoma"/>
                <w:b/>
                <w:sz w:val="20"/>
                <w:szCs w:val="20"/>
                <w:lang w:val="en-GB"/>
              </w:rPr>
              <w:instrText>HYPERLINK "https://community.icann.org/display/EOTSFGRD"</w:instrText>
            </w:r>
            <w:r>
              <w:rPr>
                <w:rStyle w:val="Hyperlink"/>
                <w:rFonts w:ascii="Calibri" w:eastAsia="Tahoma" w:hAnsi="Calibri" w:cs="Tahoma"/>
                <w:b/>
                <w:sz w:val="20"/>
                <w:szCs w:val="20"/>
                <w:lang w:val="en-GB"/>
              </w:rPr>
              <w:fldChar w:fldCharType="separate"/>
            </w:r>
            <w:r w:rsidR="00C547F7">
              <w:rPr>
                <w:rStyle w:val="Hyperlink"/>
                <w:rFonts w:ascii="Calibri" w:eastAsia="Tahoma" w:hAnsi="Calibri" w:cs="Tahoma"/>
                <w:b/>
                <w:sz w:val="20"/>
                <w:szCs w:val="20"/>
                <w:lang w:val="en-GB"/>
              </w:rPr>
              <w:t>Expedited Policy Development Process on the Temporary Specification on gTLD Registration Data (Phase 1)</w:t>
            </w:r>
            <w:r>
              <w:rPr>
                <w:rStyle w:val="Hyperlink"/>
                <w:rFonts w:ascii="Calibri" w:eastAsia="Tahoma" w:hAnsi="Calibri" w:cs="Tahoma"/>
                <w:b/>
                <w:sz w:val="20"/>
                <w:szCs w:val="20"/>
                <w:lang w:val="en-GB"/>
              </w:rPr>
              <w:fldChar w:fldCharType="end"/>
            </w:r>
          </w:p>
          <w:p w14:paraId="5934608F" w14:textId="3A90CC38"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Chair(s): Kurt </w:t>
            </w:r>
            <w:proofErr w:type="spellStart"/>
            <w:r>
              <w:rPr>
                <w:rFonts w:ascii="Calibri" w:eastAsia="Tahoma" w:hAnsi="Calibri" w:cs="Tahoma"/>
                <w:sz w:val="20"/>
                <w:szCs w:val="20"/>
                <w:lang w:val="en-GB"/>
              </w:rPr>
              <w:t>Pritz</w:t>
            </w:r>
            <w:proofErr w:type="spellEnd"/>
          </w:p>
          <w:p w14:paraId="49693F64"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65B1B951"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6E1F3808" w14:textId="77777777" w:rsidR="00104C58" w:rsidRDefault="00104C58" w:rsidP="00104C58">
            <w:pPr>
              <w:pStyle w:val="TableContents"/>
              <w:snapToGrid w:val="0"/>
              <w:rPr>
                <w:rFonts w:ascii="Calibri" w:eastAsia="Tahoma" w:hAnsi="Calibri" w:cs="Tahoma"/>
                <w:sz w:val="20"/>
                <w:szCs w:val="20"/>
                <w:lang w:val="en-GB"/>
              </w:rPr>
            </w:pPr>
          </w:p>
          <w:p w14:paraId="100D6AE4" w14:textId="3EB5826B"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2018-Jul-19</w:t>
            </w:r>
          </w:p>
        </w:tc>
        <w:tc>
          <w:tcPr>
            <w:tcW w:w="1144" w:type="dxa"/>
            <w:tcBorders>
              <w:top w:val="single" w:sz="18" w:space="0" w:color="A6A6A6"/>
              <w:left w:val="single" w:sz="18" w:space="0" w:color="A6A6A6"/>
              <w:bottom w:val="single" w:sz="18" w:space="0" w:color="A6A6A6"/>
              <w:right w:val="single" w:sz="18" w:space="0" w:color="A6A6A6"/>
            </w:tcBorders>
          </w:tcPr>
          <w:p w14:paraId="0B1C2823" w14:textId="0218AB2A"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2019-May</w:t>
            </w:r>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770B65BE" w14:textId="64A102CB" w:rsidR="00104C58" w:rsidRDefault="00104C58" w:rsidP="00104C58">
            <w:pPr>
              <w:pStyle w:val="TableContents"/>
              <w:snapToGrid w:val="0"/>
              <w:rPr>
                <w:rFonts w:ascii="Calibri" w:hAnsi="Calibri"/>
                <w:sz w:val="20"/>
                <w:szCs w:val="20"/>
              </w:rPr>
            </w:pPr>
            <w:r>
              <w:rPr>
                <w:rFonts w:ascii="Calibri" w:eastAsia="Tahoma" w:hAnsi="Calibri" w:cs="Tahoma"/>
                <w:sz w:val="20"/>
                <w:szCs w:val="20"/>
                <w:lang w:val="en-US"/>
              </w:rPr>
              <w:t xml:space="preserve">The GNSO Council adopted the Final Report and all recommendations during its Special Council meeting on 4 March 2019. Subsequently a public comment period was opened prior to Board consideration of the Final Report and </w:t>
            </w:r>
            <w:r>
              <w:rPr>
                <w:rFonts w:ascii="Calibri" w:eastAsia="Tahoma" w:hAnsi="Calibri" w:cs="Tahoma"/>
                <w:sz w:val="20"/>
                <w:szCs w:val="20"/>
                <w:lang w:val="en-US"/>
              </w:rPr>
              <w:lastRenderedPageBreak/>
              <w:t xml:space="preserve">recommendations (see </w:t>
            </w:r>
            <w:hyperlink r:id="rId19" w:history="1">
              <w:r w:rsidRPr="00A7095D">
                <w:rPr>
                  <w:rStyle w:val="Hyperlink"/>
                  <w:rFonts w:ascii="Calibri" w:eastAsia="Tahoma" w:hAnsi="Calibri" w:cs="Tahoma"/>
                  <w:sz w:val="20"/>
                  <w:szCs w:val="20"/>
                  <w:lang w:val="en-US"/>
                </w:rPr>
                <w:t>https://www.icann.org/public-comments/epdp-recs-2019-03-04-en</w:t>
              </w:r>
            </w:hyperlink>
            <w:r>
              <w:rPr>
                <w:rFonts w:ascii="Calibri" w:eastAsia="Tahoma" w:hAnsi="Calibri" w:cs="Tahoma"/>
                <w:sz w:val="20"/>
                <w:szCs w:val="20"/>
                <w:lang w:val="en-US"/>
              </w:rPr>
              <w:t xml:space="preserve">) and the GAC has been notified of the upcoming Board consideration (see </w:t>
            </w:r>
            <w:hyperlink r:id="rId20" w:history="1">
              <w:r w:rsidRPr="00A7095D">
                <w:rPr>
                  <w:rStyle w:val="Hyperlink"/>
                  <w:rFonts w:ascii="Calibri" w:eastAsia="Tahoma" w:hAnsi="Calibri" w:cs="Tahoma"/>
                  <w:sz w:val="20"/>
                  <w:szCs w:val="20"/>
                  <w:lang w:val="en-US"/>
                </w:rPr>
                <w:t>https://www.icann.org/en/system/files/correspondence/chalaby-to-ismail-08mar19-en.pdf</w:t>
              </w:r>
            </w:hyperlink>
            <w:r>
              <w:rPr>
                <w:rFonts w:ascii="Calibri" w:eastAsia="Tahoma" w:hAnsi="Calibri" w:cs="Tahoma"/>
                <w:sz w:val="20"/>
                <w:szCs w:val="20"/>
                <w:lang w:val="en-US"/>
              </w:rPr>
              <w:t xml:space="preserve">). In addition, ICANN Org sent a letter to the GNSO Council in relation to expected next steps (see </w:t>
            </w:r>
            <w:hyperlink r:id="rId21" w:history="1">
              <w:r w:rsidRPr="00A7095D">
                <w:rPr>
                  <w:rStyle w:val="Hyperlink"/>
                  <w:rFonts w:ascii="Calibri" w:eastAsia="Tahoma" w:hAnsi="Calibri" w:cs="Tahoma"/>
                  <w:sz w:val="20"/>
                  <w:szCs w:val="20"/>
                  <w:lang w:val="en-US"/>
                </w:rPr>
                <w:t>https://www.icann.org/en/system/files/correspondence/marby-to-drazek-05apr19-en.pdf</w:t>
              </w:r>
            </w:hyperlink>
            <w:r>
              <w:rPr>
                <w:rFonts w:ascii="Calibri" w:eastAsia="Tahoma" w:hAnsi="Calibri" w:cs="Tahoma"/>
                <w:sz w:val="20"/>
                <w:szCs w:val="20"/>
                <w:lang w:val="en-US"/>
              </w:rPr>
              <w:t>).</w:t>
            </w:r>
          </w:p>
        </w:tc>
      </w:tr>
      <w:bookmarkStart w:id="11" w:name="WS2"/>
      <w:bookmarkEnd w:id="11"/>
      <w:tr w:rsidR="00104C58"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104C58" w:rsidRPr="00CD7D6F"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104C58" w:rsidRPr="00CD7D6F"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104C58"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104C58" w:rsidRDefault="00104C58" w:rsidP="00104C58">
            <w:pPr>
              <w:pStyle w:val="TableContents"/>
              <w:snapToGrid w:val="0"/>
              <w:rPr>
                <w:rFonts w:ascii="Calibri" w:eastAsia="Tahoma" w:hAnsi="Calibri" w:cs="Tahoma"/>
                <w:sz w:val="20"/>
                <w:szCs w:val="20"/>
                <w:lang w:val="en-GB"/>
              </w:rPr>
            </w:pPr>
          </w:p>
          <w:p w14:paraId="0F941BD7" w14:textId="35028309" w:rsidR="00104C58" w:rsidRDefault="00104C58" w:rsidP="00104C58">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60FFBF0"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2019-Apr-30</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104C58" w:rsidRPr="00F2452B" w:rsidRDefault="00104C58" w:rsidP="00104C58">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12" w:name="GRWG"/>
      <w:bookmarkStart w:id="13" w:name="IGO_INGO"/>
      <w:bookmarkEnd w:id="12"/>
      <w:bookmarkEnd w:id="13"/>
      <w:tr w:rsidR="00104C58"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104C58" w:rsidRDefault="00104C58" w:rsidP="00104C58">
            <w:pPr>
              <w:pStyle w:val="TableContents"/>
              <w:snapToGrid w:val="0"/>
              <w:rPr>
                <w:rFonts w:ascii="Calibri" w:eastAsia="Tahoma" w:hAnsi="Calibri" w:cs="Tahoma"/>
                <w:sz w:val="20"/>
                <w:szCs w:val="20"/>
                <w:lang w:val="en-GB"/>
              </w:rPr>
            </w:pPr>
          </w:p>
          <w:p w14:paraId="04054607" w14:textId="77777777" w:rsidR="00104C58" w:rsidRPr="00A73B1B"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104C58" w:rsidRPr="0077488C" w:rsidRDefault="00104C58" w:rsidP="00104C58">
            <w:pPr>
              <w:pStyle w:val="TableContents"/>
              <w:snapToGrid w:val="0"/>
              <w:rPr>
                <w:rFonts w:ascii="Calibri" w:eastAsia="Tahoma" w:hAnsi="Calibri" w:cs="Tahoma"/>
                <w:sz w:val="20"/>
                <w:szCs w:val="20"/>
                <w:lang w:val="en-US"/>
              </w:rPr>
            </w:pPr>
          </w:p>
          <w:p w14:paraId="41C2B774" w14:textId="77777777" w:rsidR="00104C58" w:rsidRDefault="00104C58" w:rsidP="00104C58">
            <w:pPr>
              <w:pStyle w:val="TableContents"/>
              <w:snapToGrid w:val="0"/>
              <w:rPr>
                <w:rFonts w:ascii="Calibri" w:eastAsia="Tahoma" w:hAnsi="Calibri" w:cs="Tahoma"/>
                <w:sz w:val="20"/>
                <w:szCs w:val="20"/>
                <w:lang w:val="en-GB"/>
              </w:rPr>
            </w:pPr>
          </w:p>
          <w:p w14:paraId="6604AA3D" w14:textId="77777777" w:rsidR="00104C58" w:rsidRDefault="00104C58" w:rsidP="00104C58">
            <w:pPr>
              <w:pStyle w:val="TableContents"/>
              <w:snapToGrid w:val="0"/>
              <w:rPr>
                <w:rFonts w:ascii="Calibri" w:eastAsia="Tahoma" w:hAnsi="Calibri" w:cs="Tahoma"/>
                <w:sz w:val="20"/>
                <w:szCs w:val="20"/>
                <w:lang w:val="en-GB"/>
              </w:rPr>
            </w:pPr>
          </w:p>
          <w:p w14:paraId="5C03E2D7" w14:textId="77777777" w:rsidR="00104C58" w:rsidRDefault="00104C58" w:rsidP="00104C58">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104C58" w:rsidRDefault="00104C58" w:rsidP="00104C58">
            <w:pPr>
              <w:pStyle w:val="TableContents"/>
              <w:snapToGrid w:val="0"/>
              <w:rPr>
                <w:rFonts w:ascii="Calibri" w:eastAsia="Tahoma" w:hAnsi="Calibri" w:cs="Tahoma"/>
                <w:sz w:val="20"/>
                <w:szCs w:val="20"/>
                <w:lang w:val="en-US"/>
              </w:rPr>
            </w:pPr>
          </w:p>
          <w:p w14:paraId="65F806A6" w14:textId="44EA6725"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104C58" w:rsidRDefault="00104C58" w:rsidP="00104C58">
            <w:pPr>
              <w:pStyle w:val="TableContents"/>
              <w:snapToGrid w:val="0"/>
              <w:rPr>
                <w:rFonts w:ascii="Calibri" w:eastAsia="Tahoma" w:hAnsi="Calibri" w:cs="Tahoma"/>
                <w:sz w:val="20"/>
                <w:szCs w:val="20"/>
                <w:lang w:val="en-US"/>
              </w:rPr>
            </w:pPr>
          </w:p>
          <w:p w14:paraId="05BD67C1" w14:textId="77777777" w:rsidR="00104C58" w:rsidRPr="006D1D57" w:rsidRDefault="00104C58" w:rsidP="00104C58">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46EB3339"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w:t>
            </w:r>
            <w:r w:rsidR="00967C3F">
              <w:rPr>
                <w:rFonts w:ascii="Calibri" w:eastAsia="Tahoma" w:hAnsi="Calibri" w:cs="Tahoma"/>
                <w:sz w:val="20"/>
                <w:szCs w:val="20"/>
                <w:lang w:val="en-US"/>
              </w:rPr>
              <w:t xml:space="preserve">not </w:t>
            </w:r>
            <w:r>
              <w:rPr>
                <w:rFonts w:ascii="Calibri" w:eastAsia="Tahoma" w:hAnsi="Calibri" w:cs="Tahoma"/>
                <w:sz w:val="20"/>
                <w:szCs w:val="20"/>
                <w:lang w:val="en-US"/>
              </w:rPr>
              <w:t xml:space="preserve">expected to take place </w:t>
            </w:r>
            <w:r w:rsidR="00967C3F">
              <w:rPr>
                <w:rFonts w:ascii="Calibri" w:eastAsia="Tahoma" w:hAnsi="Calibri" w:cs="Tahoma"/>
                <w:sz w:val="20"/>
                <w:szCs w:val="20"/>
                <w:lang w:val="en-US"/>
              </w:rPr>
              <w:t xml:space="preserve">prior to </w:t>
            </w:r>
            <w:r>
              <w:rPr>
                <w:rFonts w:ascii="Calibri" w:eastAsia="Tahoma" w:hAnsi="Calibri" w:cs="Tahoma"/>
                <w:sz w:val="20"/>
                <w:szCs w:val="20"/>
                <w:lang w:val="en-US"/>
              </w:rPr>
              <w:t xml:space="preserve">the </w:t>
            </w:r>
            <w:r w:rsidR="00967C3F">
              <w:rPr>
                <w:rFonts w:ascii="Calibri" w:eastAsia="Tahoma" w:hAnsi="Calibri" w:cs="Tahoma"/>
                <w:sz w:val="20"/>
                <w:szCs w:val="20"/>
                <w:lang w:val="en-US"/>
              </w:rPr>
              <w:t xml:space="preserve">Board’s consideration of the </w:t>
            </w:r>
            <w:r>
              <w:rPr>
                <w:rFonts w:ascii="Calibri" w:eastAsia="Tahoma" w:hAnsi="Calibri" w:cs="Tahoma"/>
                <w:sz w:val="20"/>
                <w:szCs w:val="20"/>
                <w:lang w:val="en-US"/>
              </w:rPr>
              <w:t>Council’s</w:t>
            </w:r>
            <w:r w:rsidR="00967C3F">
              <w:rPr>
                <w:rFonts w:ascii="Calibri" w:eastAsia="Tahoma" w:hAnsi="Calibri" w:cs="Tahoma"/>
                <w:sz w:val="20"/>
                <w:szCs w:val="20"/>
                <w:lang w:val="en-US"/>
              </w:rPr>
              <w:t xml:space="preserve"> recent approval of the first four recommendations from </w:t>
            </w:r>
            <w:r>
              <w:rPr>
                <w:rFonts w:ascii="Calibri" w:eastAsia="Tahoma" w:hAnsi="Calibri" w:cs="Tahoma"/>
                <w:sz w:val="20"/>
                <w:szCs w:val="20"/>
                <w:lang w:val="en-US"/>
              </w:rPr>
              <w:t xml:space="preserve">the IGO-INGO Curative Rights PDP. </w:t>
            </w:r>
          </w:p>
          <w:p w14:paraId="584C4121" w14:textId="77777777" w:rsidR="00104C58" w:rsidRDefault="00104C58" w:rsidP="00104C58">
            <w:pPr>
              <w:pStyle w:val="TableContents"/>
              <w:snapToGrid w:val="0"/>
              <w:rPr>
                <w:rFonts w:ascii="Calibri" w:eastAsia="Tahoma" w:hAnsi="Calibri" w:cs="Tahoma"/>
                <w:sz w:val="20"/>
                <w:szCs w:val="20"/>
                <w:lang w:val="en-US"/>
              </w:rPr>
            </w:pPr>
          </w:p>
          <w:p w14:paraId="006B6409" w14:textId="77777777" w:rsidR="00104C58" w:rsidRPr="00A85723" w:rsidRDefault="00104C58" w:rsidP="00104C58">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3DE34D51" w:rsidR="00104C58" w:rsidRPr="00F47826"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IRT held its first meeting on 28 March 2019 and is targeting August 2019 to send a legal notice and announce the Policy Effective Date</w:t>
            </w:r>
            <w:r w:rsidR="009B559B">
              <w:rPr>
                <w:rFonts w:ascii="Calibri" w:eastAsia="Tahoma" w:hAnsi="Calibri" w:cs="Tahoma"/>
                <w:sz w:val="20"/>
                <w:szCs w:val="20"/>
                <w:lang w:val="en-US"/>
              </w:rPr>
              <w:t xml:space="preserve"> for August 2020</w:t>
            </w:r>
            <w:r>
              <w:rPr>
                <w:rFonts w:ascii="Calibri" w:eastAsia="Tahoma" w:hAnsi="Calibri" w:cs="Tahoma"/>
                <w:sz w:val="20"/>
                <w:szCs w:val="20"/>
                <w:lang w:val="en-US"/>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IGO_RCRC"/>
      <w:bookmarkEnd w:id="14"/>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4818DAB0"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w:t>
            </w:r>
            <w:r w:rsidR="001B16DD">
              <w:rPr>
                <w:rFonts w:ascii="Calibri" w:eastAsia="Tahoma" w:hAnsi="Calibri" w:cs="Tahoma"/>
                <w:sz w:val="20"/>
                <w:szCs w:val="20"/>
                <w:lang w:val="en-GB"/>
              </w:rPr>
              <w:t>20</w:t>
            </w:r>
            <w:r>
              <w:rPr>
                <w:rFonts w:ascii="Calibri" w:eastAsia="Tahoma" w:hAnsi="Calibri" w:cs="Tahoma"/>
                <w:sz w:val="20"/>
                <w:szCs w:val="20"/>
                <w:lang w:val="en-GB"/>
              </w:rPr>
              <w:t>-</w:t>
            </w:r>
            <w:r w:rsidR="004D532E">
              <w:rPr>
                <w:rFonts w:ascii="Calibri" w:eastAsia="Tahoma" w:hAnsi="Calibri" w:cs="Tahoma"/>
                <w:sz w:val="20"/>
                <w:szCs w:val="20"/>
                <w:lang w:val="en-GB"/>
              </w:rPr>
              <w:t>Aug</w:t>
            </w:r>
            <w:r>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60183F91" w14:textId="0500B7B7" w:rsidR="00A70FB3" w:rsidRDefault="004D532E"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US"/>
              </w:rPr>
              <w:t xml:space="preserve">The Reconvened WG IRT held its first meeting on 28 March 2019 </w:t>
            </w:r>
            <w:r w:rsidR="008D14FB">
              <w:rPr>
                <w:rFonts w:ascii="Calibri" w:eastAsia="Tahoma" w:hAnsi="Calibri" w:cs="Tahoma"/>
                <w:sz w:val="20"/>
                <w:szCs w:val="20"/>
                <w:lang w:val="en-US"/>
              </w:rPr>
              <w:t xml:space="preserve">and has been meeting on a monthly basis. It </w:t>
            </w:r>
            <w:r>
              <w:rPr>
                <w:rFonts w:ascii="Calibri" w:eastAsia="Tahoma" w:hAnsi="Calibri" w:cs="Tahoma"/>
                <w:sz w:val="20"/>
                <w:szCs w:val="20"/>
                <w:lang w:val="en-US"/>
              </w:rPr>
              <w:t xml:space="preserve">is targeting </w:t>
            </w:r>
            <w:r w:rsidR="008D14FB">
              <w:rPr>
                <w:rFonts w:ascii="Calibri" w:eastAsia="Tahoma" w:hAnsi="Calibri" w:cs="Tahoma"/>
                <w:sz w:val="20"/>
                <w:szCs w:val="20"/>
                <w:lang w:val="en-US"/>
              </w:rPr>
              <w:t xml:space="preserve">February </w:t>
            </w:r>
            <w:r>
              <w:rPr>
                <w:rFonts w:ascii="Calibri" w:eastAsia="Tahoma" w:hAnsi="Calibri" w:cs="Tahoma"/>
                <w:sz w:val="20"/>
                <w:szCs w:val="20"/>
                <w:lang w:val="en-US"/>
              </w:rPr>
              <w:t>20</w:t>
            </w:r>
            <w:r w:rsidR="008D14FB">
              <w:rPr>
                <w:rFonts w:ascii="Calibri" w:eastAsia="Tahoma" w:hAnsi="Calibri" w:cs="Tahoma"/>
                <w:sz w:val="20"/>
                <w:szCs w:val="20"/>
                <w:lang w:val="en-US"/>
              </w:rPr>
              <w:t>20</w:t>
            </w:r>
            <w:r>
              <w:rPr>
                <w:rFonts w:ascii="Calibri" w:eastAsia="Tahoma" w:hAnsi="Calibri" w:cs="Tahoma"/>
                <w:sz w:val="20"/>
                <w:szCs w:val="20"/>
                <w:lang w:val="en-US"/>
              </w:rPr>
              <w:t xml:space="preserve"> to send a legal notice and announce the Policy Effective Date.</w:t>
            </w:r>
          </w:p>
          <w:p w14:paraId="75BE7765" w14:textId="77777777" w:rsidR="001B16DD" w:rsidRDefault="001B16DD" w:rsidP="00A70FB3">
            <w:pPr>
              <w:widowControl/>
              <w:suppressAutoHyphens w:val="0"/>
              <w:rPr>
                <w:rFonts w:ascii="Calibri" w:eastAsia="Tahoma" w:hAnsi="Calibri" w:cs="Tahoma"/>
                <w:sz w:val="20"/>
                <w:szCs w:val="20"/>
                <w:lang w:val="en-US"/>
              </w:rPr>
            </w:pPr>
          </w:p>
          <w:p w14:paraId="18D6E89F" w14:textId="0794A5F9" w:rsidR="001B16DD" w:rsidRPr="009B559B" w:rsidRDefault="001B16DD" w:rsidP="00A70FB3">
            <w:pPr>
              <w:widowControl/>
              <w:suppressAutoHyphens w:val="0"/>
              <w:rPr>
                <w:rFonts w:ascii="Calibri" w:hAnsi="Calibri" w:cs="Calibri"/>
                <w:sz w:val="20"/>
                <w:szCs w:val="20"/>
                <w:lang w:val="en-US"/>
              </w:rPr>
            </w:pPr>
            <w:r w:rsidRPr="009B559B">
              <w:rPr>
                <w:rFonts w:ascii="Calibri" w:eastAsia="Tahoma" w:hAnsi="Calibri" w:cs="Tahoma"/>
                <w:sz w:val="20"/>
                <w:szCs w:val="20"/>
                <w:lang w:val="en-US"/>
              </w:rPr>
              <w:t xml:space="preserve">On 27 January 2019, the Board </w:t>
            </w:r>
            <w:hyperlink r:id="rId22" w:anchor="2.d" w:history="1">
              <w:r w:rsidRPr="009B559B">
                <w:rPr>
                  <w:rFonts w:ascii="Calibri" w:eastAsia="Tahoma" w:hAnsi="Calibri" w:cs="Tahoma"/>
                  <w:sz w:val="20"/>
                  <w:szCs w:val="20"/>
                  <w:lang w:val="en-US"/>
                </w:rPr>
                <w:t>adopted</w:t>
              </w:r>
            </w:hyperlink>
            <w:r w:rsidRPr="009B559B">
              <w:rPr>
                <w:rFonts w:ascii="Calibri" w:eastAsia="Tahoma" w:hAnsi="Calibri" w:cs="Tahoma"/>
                <w:sz w:val="20"/>
                <w:szCs w:val="20"/>
                <w:lang w:val="en-US"/>
              </w:rPr>
              <w:t xml:space="preserve"> policy recommendations on Protections for Certain Red Cross and Red Crescent Names in All Generic Top-Level Domains and directed their implementation. This Consensus Policy will supplement the previously-adopted</w:t>
            </w:r>
            <w:hyperlink r:id="rId23" w:history="1">
              <w:r w:rsidRPr="009B559B">
                <w:rPr>
                  <w:rFonts w:ascii="Calibri" w:eastAsia="Tahoma" w:hAnsi="Calibri" w:cs="Tahoma"/>
                  <w:sz w:val="20"/>
                  <w:szCs w:val="20"/>
                  <w:lang w:val="en-US"/>
                </w:rPr>
                <w:t xml:space="preserve"> Protection of IGO and INGO Identifiers in All gTLDs Policy</w:t>
              </w:r>
            </w:hyperlink>
            <w:r w:rsidRPr="009B559B">
              <w:rPr>
                <w:rFonts w:ascii="Calibri" w:eastAsia="Tahoma" w:hAnsi="Calibri" w:cs="Tahoma"/>
                <w:sz w:val="20"/>
                <w:szCs w:val="20"/>
                <w:lang w:val="en-US"/>
              </w:rPr>
              <w:t xml:space="preserve"> by which the specific terms Red Cross, Red Crescent, Red Lion &amp; Sun and Red Crystal were withheld from registration. The Implementation Team that is working on the implementation of the previously-adopted consensus policy plans has added these new recommendations to its scope and currently working on an implementation plan in preparation for public comment. Please see </w:t>
            </w:r>
            <w:hyperlink r:id="rId24" w:history="1">
              <w:r w:rsidRPr="009B559B">
                <w:rPr>
                  <w:rFonts w:ascii="Calibri" w:eastAsia="Tahoma" w:hAnsi="Calibri" w:cs="Tahoma"/>
                  <w:sz w:val="20"/>
                  <w:szCs w:val="20"/>
                  <w:lang w:val="en-US"/>
                </w:rPr>
                <w:t>IGO and INGO Policy IRT wiki page</w:t>
              </w:r>
            </w:hyperlink>
            <w:r w:rsidRPr="009B559B">
              <w:rPr>
                <w:rFonts w:ascii="Calibri" w:eastAsia="Tahoma" w:hAnsi="Calibri" w:cs="Tahoma"/>
                <w:sz w:val="20"/>
                <w:szCs w:val="20"/>
                <w:lang w:val="en-US"/>
              </w:rPr>
              <w:t xml:space="preserve"> for details. </w:t>
            </w:r>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15" w:name="PDP_3_0"/>
            <w:bookmarkEnd w:id="15"/>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2DE4B832"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5"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0059083D">
              <w:rPr>
                <w:rFonts w:ascii="Calibri" w:hAnsi="Calibri" w:cs="Calibri"/>
                <w:sz w:val="20"/>
                <w:szCs w:val="20"/>
                <w:lang w:val="en-US" w:eastAsia="x-none"/>
              </w:rPr>
              <w:t xml:space="preserve">has agreed to </w:t>
            </w:r>
            <w:r w:rsidRPr="00A053CC">
              <w:rPr>
                <w:rFonts w:ascii="Calibri" w:hAnsi="Calibri" w:cs="Calibri"/>
                <w:sz w:val="20"/>
                <w:szCs w:val="20"/>
                <w:lang w:val="x-none" w:eastAsia="x-none"/>
              </w:rPr>
              <w:t xml:space="preserve">further develop and take action on the various proposed implementation strategies documented </w:t>
            </w:r>
            <w:r w:rsidR="0059083D">
              <w:rPr>
                <w:rFonts w:ascii="Calibri" w:hAnsi="Calibri" w:cs="Calibri"/>
                <w:sz w:val="20"/>
                <w:szCs w:val="20"/>
                <w:lang w:val="en-US" w:eastAsia="x-none"/>
              </w:rPr>
              <w:t>there</w:t>
            </w:r>
            <w:r w:rsidRPr="00A053CC">
              <w:rPr>
                <w:rFonts w:ascii="Calibri" w:hAnsi="Calibri" w:cs="Calibri"/>
                <w:sz w:val="20"/>
                <w:szCs w:val="20"/>
                <w:lang w:val="en-US"/>
              </w:rPr>
              <w:t xml:space="preserve">. A proposed implementation plan was shared with the GNSO Council on 10 December 2018 for review (see </w:t>
            </w:r>
            <w:hyperlink r:id="rId26"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r w:rsidR="0059083D">
              <w:rPr>
                <w:rFonts w:ascii="Calibri" w:hAnsi="Calibri" w:cs="Calibri"/>
                <w:sz w:val="20"/>
                <w:szCs w:val="20"/>
                <w:lang w:val="en-US"/>
              </w:rPr>
              <w:t xml:space="preserve">At </w:t>
            </w:r>
            <w:r w:rsidRPr="00A053CC">
              <w:rPr>
                <w:rFonts w:ascii="Calibri" w:hAnsi="Calibri" w:cs="Calibri"/>
                <w:sz w:val="20"/>
                <w:szCs w:val="20"/>
                <w:lang w:val="en-US"/>
              </w:rPr>
              <w:t>the GNSO Council Strategic Planning Session at the end of January 2019</w:t>
            </w:r>
            <w:r w:rsidR="0059083D">
              <w:rPr>
                <w:rFonts w:ascii="Calibri" w:hAnsi="Calibri" w:cs="Calibri"/>
                <w:sz w:val="20"/>
                <w:szCs w:val="20"/>
                <w:lang w:val="en-US"/>
              </w:rPr>
              <w:t xml:space="preserve">, </w:t>
            </w:r>
            <w:r>
              <w:rPr>
                <w:rFonts w:ascii="Calibri" w:hAnsi="Calibri" w:cs="Calibri"/>
                <w:sz w:val="20"/>
                <w:szCs w:val="20"/>
                <w:lang w:val="en-US"/>
              </w:rPr>
              <w:t>it was agreed that a small team of Councilors would be formed to work on implementation of</w:t>
            </w:r>
            <w:r w:rsidR="00BB60BE">
              <w:rPr>
                <w:rFonts w:ascii="Calibri" w:hAnsi="Calibri" w:cs="Calibri"/>
                <w:sz w:val="20"/>
                <w:szCs w:val="20"/>
                <w:lang w:val="en-US"/>
              </w:rPr>
              <w:t xml:space="preserve"> </w:t>
            </w:r>
            <w:r>
              <w:rPr>
                <w:rFonts w:ascii="Calibri" w:hAnsi="Calibri" w:cs="Calibri"/>
                <w:sz w:val="20"/>
                <w:szCs w:val="20"/>
                <w:lang w:val="en-US"/>
              </w:rPr>
              <w:t xml:space="preserve">all </w:t>
            </w:r>
            <w:r w:rsidR="008D6629">
              <w:rPr>
                <w:rFonts w:ascii="Calibri" w:hAnsi="Calibri" w:cs="Calibri"/>
                <w:sz w:val="20"/>
                <w:szCs w:val="20"/>
                <w:lang w:val="en-US"/>
              </w:rPr>
              <w:t xml:space="preserve">recommendations </w:t>
            </w:r>
            <w:r w:rsidR="00BB60BE">
              <w:rPr>
                <w:rFonts w:ascii="Calibri" w:hAnsi="Calibri" w:cs="Calibri"/>
                <w:sz w:val="20"/>
                <w:szCs w:val="20"/>
                <w:lang w:val="en-US"/>
              </w:rPr>
              <w:t xml:space="preserve">contained </w:t>
            </w:r>
            <w:r>
              <w:rPr>
                <w:rFonts w:ascii="Calibri" w:hAnsi="Calibri" w:cs="Calibri"/>
                <w:sz w:val="20"/>
                <w:szCs w:val="20"/>
                <w:lang w:val="en-US"/>
              </w:rPr>
              <w:t xml:space="preserve">in </w:t>
            </w:r>
            <w:r w:rsidR="008D6629">
              <w:rPr>
                <w:rFonts w:ascii="Calibri" w:hAnsi="Calibri" w:cs="Calibri"/>
                <w:sz w:val="20"/>
                <w:szCs w:val="20"/>
                <w:lang w:val="en-US"/>
              </w:rPr>
              <w:t xml:space="preserve">the </w:t>
            </w:r>
            <w:r>
              <w:rPr>
                <w:rFonts w:ascii="Calibri" w:hAnsi="Calibri" w:cs="Calibri"/>
                <w:sz w:val="20"/>
                <w:szCs w:val="20"/>
                <w:lang w:val="en-US"/>
              </w:rPr>
              <w:t>PDP 3.0</w:t>
            </w:r>
            <w:r w:rsidR="008D6629">
              <w:rPr>
                <w:rFonts w:ascii="Calibri" w:hAnsi="Calibri" w:cs="Calibri"/>
                <w:sz w:val="20"/>
                <w:szCs w:val="20"/>
                <w:lang w:val="en-US"/>
              </w:rPr>
              <w:t xml:space="preserve"> implementation plan</w:t>
            </w:r>
            <w:r>
              <w:rPr>
                <w:rFonts w:ascii="Calibri" w:hAnsi="Calibri" w:cs="Calibri"/>
                <w:sz w:val="20"/>
                <w:szCs w:val="20"/>
                <w:lang w:val="en-US"/>
              </w:rPr>
              <w:t>.</w:t>
            </w:r>
            <w:r w:rsidR="003A6C87">
              <w:rPr>
                <w:rFonts w:ascii="Calibri" w:hAnsi="Calibri" w:cs="Calibri"/>
                <w:sz w:val="20"/>
                <w:szCs w:val="20"/>
                <w:lang w:val="en-US"/>
              </w:rPr>
              <w:t xml:space="preserve"> The small team </w:t>
            </w:r>
            <w:r w:rsidR="008D6629">
              <w:rPr>
                <w:rFonts w:ascii="Calibri" w:hAnsi="Calibri" w:cs="Calibri"/>
                <w:sz w:val="20"/>
                <w:szCs w:val="20"/>
                <w:lang w:val="en-US"/>
              </w:rPr>
              <w:t xml:space="preserve">held its first meeting at ICANN64 and has begun meeting on a bi-weekly basis. The small team is </w:t>
            </w:r>
            <w:r w:rsidR="00676C76">
              <w:rPr>
                <w:rFonts w:ascii="Calibri" w:hAnsi="Calibri" w:cs="Calibri"/>
                <w:sz w:val="20"/>
                <w:szCs w:val="20"/>
                <w:lang w:val="en-US"/>
              </w:rPr>
              <w:t xml:space="preserve">continuing to review </w:t>
            </w:r>
            <w:r w:rsidR="008D6629">
              <w:rPr>
                <w:rFonts w:ascii="Calibri" w:hAnsi="Calibri" w:cs="Calibri"/>
                <w:sz w:val="20"/>
                <w:szCs w:val="20"/>
                <w:lang w:val="en-US"/>
              </w:rPr>
              <w:t xml:space="preserve">drafts and </w:t>
            </w:r>
            <w:r w:rsidR="00676C76">
              <w:rPr>
                <w:rFonts w:ascii="Calibri" w:hAnsi="Calibri" w:cs="Calibri"/>
                <w:sz w:val="20"/>
                <w:szCs w:val="20"/>
                <w:lang w:val="en-US"/>
              </w:rPr>
              <w:t>has</w:t>
            </w:r>
            <w:r w:rsidR="008D6629">
              <w:rPr>
                <w:rFonts w:ascii="Calibri" w:hAnsi="Calibri" w:cs="Calibri"/>
                <w:sz w:val="20"/>
                <w:szCs w:val="20"/>
                <w:lang w:val="en-US"/>
              </w:rPr>
              <w:t xml:space="preserve"> develop</w:t>
            </w:r>
            <w:r w:rsidR="00676C76">
              <w:rPr>
                <w:rFonts w:ascii="Calibri" w:hAnsi="Calibri" w:cs="Calibri"/>
                <w:sz w:val="20"/>
                <w:szCs w:val="20"/>
                <w:lang w:val="en-US"/>
              </w:rPr>
              <w:t>ed</w:t>
            </w:r>
            <w:r w:rsidR="008D6629">
              <w:rPr>
                <w:rFonts w:ascii="Calibri" w:hAnsi="Calibri" w:cs="Calibri"/>
                <w:sz w:val="20"/>
                <w:szCs w:val="20"/>
                <w:lang w:val="en-US"/>
              </w:rPr>
              <w:t xml:space="preserve"> a detailed work plan</w:t>
            </w:r>
            <w:r w:rsidR="00676C76">
              <w:rPr>
                <w:rFonts w:ascii="Calibri" w:hAnsi="Calibri" w:cs="Calibri"/>
                <w:sz w:val="20"/>
                <w:szCs w:val="20"/>
                <w:lang w:val="en-US"/>
              </w:rPr>
              <w:t>, targeting ICANN66 for completion of all work for this project</w:t>
            </w:r>
            <w:r w:rsidR="008D6629">
              <w:rPr>
                <w:rFonts w:ascii="Calibri" w:hAnsi="Calibri" w:cs="Calibri"/>
                <w:sz w:val="20"/>
                <w:szCs w:val="20"/>
                <w:lang w:val="en-US"/>
              </w:rPr>
              <w:t>. The small team has agreed to provide updates to the Council no less frequently than once a quarter.</w:t>
            </w:r>
            <w:r w:rsidR="003A6C87">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16" w:name="GEO"/>
      <w:bookmarkEnd w:id="16"/>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3A7B0EF6"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w:t>
            </w:r>
            <w:r w:rsidR="00967C3F">
              <w:rPr>
                <w:rFonts w:ascii="Calibri" w:eastAsia="Tahoma" w:hAnsi="Calibri" w:cs="Tahoma"/>
                <w:sz w:val="20"/>
                <w:szCs w:val="20"/>
                <w:lang w:val="en-GB"/>
              </w:rPr>
              <w:t xml:space="preserve">the second half of </w:t>
            </w:r>
            <w:r>
              <w:rPr>
                <w:rFonts w:ascii="Calibri" w:eastAsia="Tahoma" w:hAnsi="Calibri" w:cs="Tahoma"/>
                <w:sz w:val="20"/>
                <w:szCs w:val="20"/>
                <w:lang w:val="en-GB"/>
              </w:rPr>
              <w:t>2019.</w:t>
            </w:r>
          </w:p>
        </w:tc>
      </w:tr>
      <w:bookmarkStart w:id="17" w:name="RODT"/>
      <w:bookmarkEnd w:id="17"/>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50603571"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7"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r w:rsidR="005101AF">
              <w:rPr>
                <w:rFonts w:ascii="Calibri" w:eastAsia="Tahoma" w:hAnsi="Calibri" w:cs="Tahoma"/>
                <w:sz w:val="20"/>
                <w:szCs w:val="20"/>
                <w:lang w:val="en-US"/>
              </w:rPr>
              <w:t xml:space="preserve"> and templates</w:t>
            </w:r>
            <w:r w:rsidR="005C7267">
              <w:rPr>
                <w:rFonts w:ascii="Calibri" w:eastAsia="Tahoma" w:hAnsi="Calibri" w:cs="Tahoma"/>
                <w:sz w:val="20"/>
                <w:szCs w:val="20"/>
                <w:lang w:val="en-US"/>
              </w:rPr>
              <w:t xml:space="preserve"> and it has provided a timeline/workplan to the GNSO Council leadership in March 2019</w:t>
            </w:r>
            <w:r>
              <w:rPr>
                <w:rFonts w:ascii="Calibri" w:eastAsia="Tahoma" w:hAnsi="Calibri" w:cs="Tahoma"/>
                <w:sz w:val="20"/>
                <w:szCs w:val="20"/>
                <w:lang w:val="en-US"/>
              </w:rPr>
              <w:t>.</w:t>
            </w:r>
          </w:p>
        </w:tc>
      </w:tr>
      <w:bookmarkStart w:id="18" w:name="CWG_UTCN"/>
      <w:bookmarkStart w:id="19" w:name="CWG_CWG"/>
      <w:bookmarkStart w:id="20" w:name="GAC_GNSO_CG"/>
      <w:bookmarkStart w:id="21" w:name="PPSAI"/>
      <w:bookmarkEnd w:id="18"/>
      <w:bookmarkEnd w:id="19"/>
      <w:bookmarkEnd w:id="20"/>
      <w:bookmarkEnd w:id="21"/>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301D3752" w:rsidR="00A70FB3" w:rsidRDefault="00A70FB3" w:rsidP="00A70FB3">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w:t>
            </w:r>
            <w:r w:rsidR="005B041B">
              <w:rPr>
                <w:rFonts w:ascii="Calibri" w:hAnsi="Calibri" w:cs="Arial"/>
                <w:sz w:val="20"/>
                <w:szCs w:val="20"/>
              </w:rPr>
              <w:t>Legal</w:t>
            </w:r>
            <w:r>
              <w:rPr>
                <w:rFonts w:ascii="Calibri" w:hAnsi="Calibri" w:cs="Arial"/>
                <w:sz w:val="20"/>
                <w:szCs w:val="20"/>
              </w:rPr>
              <w:t>)</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6BE00B85"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1DCD9465" w14:textId="6A34371D" w:rsidR="00A70FB3" w:rsidRDefault="00A70FB3" w:rsidP="00A70FB3">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w:t>
            </w:r>
            <w:r w:rsidR="005B041B">
              <w:rPr>
                <w:rFonts w:ascii="Calibri" w:eastAsia="Tahoma" w:hAnsi="Calibri" w:cs="Tahoma"/>
                <w:sz w:val="20"/>
                <w:szCs w:val="20"/>
                <w:lang w:val="en-US"/>
              </w:rPr>
              <w:t>T</w:t>
            </w:r>
            <w:r>
              <w:rPr>
                <w:rFonts w:ascii="Calibri" w:eastAsia="Tahoma" w:hAnsi="Calibri" w:cs="Tahoma"/>
                <w:sz w:val="20"/>
                <w:szCs w:val="20"/>
                <w:lang w:val="en-US"/>
              </w:rPr>
              <w:t>he IRT is expected to</w:t>
            </w:r>
            <w:r w:rsidRPr="00C63AAB">
              <w:rPr>
                <w:rFonts w:ascii="Calibri" w:eastAsia="Tahoma" w:hAnsi="Calibri" w:cs="Tahoma"/>
                <w:sz w:val="20"/>
                <w:szCs w:val="20"/>
                <w:lang w:val="en-US"/>
              </w:rPr>
              <w:t xml:space="preserve"> undertake this work after </w:t>
            </w:r>
            <w:r w:rsidR="005B041B">
              <w:rPr>
                <w:rFonts w:ascii="Calibri" w:eastAsia="Tahoma" w:hAnsi="Calibri" w:cs="Tahoma"/>
                <w:sz w:val="20"/>
                <w:szCs w:val="20"/>
                <w:lang w:val="en-US"/>
              </w:rPr>
              <w:t>conducting the public</w:t>
            </w:r>
            <w:r w:rsidR="005B041B" w:rsidRPr="00C63AAB">
              <w:rPr>
                <w:rFonts w:ascii="Calibri" w:eastAsia="Tahoma" w:hAnsi="Calibri" w:cs="Tahoma"/>
                <w:sz w:val="20"/>
                <w:szCs w:val="20"/>
                <w:lang w:val="en-US"/>
              </w:rPr>
              <w:t xml:space="preserve">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13A07EAE" w:rsidR="005B041B" w:rsidRDefault="005B041B" w:rsidP="00A70FB3">
            <w:pPr>
              <w:spacing w:before="100" w:beforeAutospacing="1" w:after="100" w:afterAutospacing="1"/>
            </w:pPr>
            <w:r>
              <w:rPr>
                <w:rFonts w:ascii="Calibri" w:eastAsia="Tahoma" w:hAnsi="Calibri" w:cs="Tahoma"/>
                <w:sz w:val="20"/>
                <w:szCs w:val="20"/>
                <w:lang w:val="en-US"/>
              </w:rPr>
              <w:t>On 4 March 2019, Cyrus Namazi (GDD) wrote to Council leadership requesting feedback on any additional steps the Council believes ICANN Org should take with respect to the PPSAI IRT in light of the EPDP and on the IRTP-C issue. Council leadership is preparing a response to the letter.</w:t>
            </w:r>
          </w:p>
        </w:tc>
      </w:tr>
      <w:bookmarkStart w:id="22"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2672CA34" w:rsidR="00A70FB3" w:rsidRDefault="00A70FB3" w:rsidP="00A70FB3">
            <w:pPr>
              <w:pStyle w:val="TableContents"/>
              <w:snapToGrid w:val="0"/>
              <w:rPr>
                <w:rFonts w:ascii="Calibri" w:hAnsi="Calibri"/>
                <w:b/>
                <w:sz w:val="20"/>
                <w:szCs w:val="20"/>
              </w:rPr>
            </w:pPr>
            <w:r>
              <w:rPr>
                <w:rFonts w:ascii="Calibri" w:hAnsi="Calibri"/>
                <w:b/>
                <w:sz w:val="20"/>
                <w:szCs w:val="20"/>
              </w:rPr>
              <w:fldChar w:fldCharType="begin"/>
            </w:r>
            <w:r w:rsidR="00C547F7">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sidR="00C547F7">
              <w:rPr>
                <w:rStyle w:val="Hyperlink"/>
                <w:rFonts w:ascii="Calibri" w:hAnsi="Calibri"/>
                <w:b/>
                <w:sz w:val="20"/>
                <w:szCs w:val="20"/>
              </w:rPr>
              <w:t>Translation/Transliteration of Internationalized Registration Data PDP Recommendations</w:t>
            </w:r>
            <w:r>
              <w:rPr>
                <w:rFonts w:ascii="Calibri" w:hAnsi="Calibri"/>
                <w:b/>
                <w:sz w:val="20"/>
                <w:szCs w:val="20"/>
              </w:rPr>
              <w:fldChar w:fldCharType="end"/>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lastRenderedPageBreak/>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03345F3"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approved the adoption of all seven recommendations contained in the Final Report from the PDP </w:t>
            </w:r>
            <w:r>
              <w:rPr>
                <w:rFonts w:ascii="Calibri" w:eastAsia="Tahoma" w:hAnsi="Calibri" w:cs="Tahoma"/>
                <w:sz w:val="20"/>
                <w:szCs w:val="20"/>
                <w:lang w:val="en-GB"/>
              </w:rPr>
              <w:lastRenderedPageBreak/>
              <w:t>Working Group (</w:t>
            </w:r>
            <w:hyperlink r:id="rId28"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3B5AB989" w:rsidR="00A70FB3" w:rsidRDefault="00E70814"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With the RDAP roll-out</w:t>
            </w:r>
            <w:r w:rsidR="00136314">
              <w:rPr>
                <w:rFonts w:ascii="Calibri" w:eastAsia="Tahoma" w:hAnsi="Calibri" w:cs="Tahoma"/>
                <w:sz w:val="20"/>
                <w:szCs w:val="20"/>
                <w:lang w:val="en-US"/>
              </w:rPr>
              <w:t xml:space="preserve"> now</w:t>
            </w:r>
            <w:r>
              <w:rPr>
                <w:rFonts w:ascii="Calibri" w:eastAsia="Tahoma" w:hAnsi="Calibri" w:cs="Tahoma"/>
                <w:sz w:val="20"/>
                <w:szCs w:val="20"/>
                <w:lang w:val="en-US"/>
              </w:rPr>
              <w:t xml:space="preserve"> confirmed, the IRT is expected to </w:t>
            </w:r>
            <w:proofErr w:type="spellStart"/>
            <w:r>
              <w:rPr>
                <w:rFonts w:ascii="Calibri" w:eastAsia="Tahoma" w:hAnsi="Calibri" w:cs="Tahoma"/>
                <w:sz w:val="20"/>
                <w:szCs w:val="20"/>
                <w:lang w:val="en-US"/>
              </w:rPr>
              <w:t>reconven</w:t>
            </w:r>
            <w:proofErr w:type="spellEnd"/>
            <w:r>
              <w:rPr>
                <w:rFonts w:ascii="Calibri" w:eastAsia="Tahoma" w:hAnsi="Calibri" w:cs="Tahoma"/>
                <w:sz w:val="20"/>
                <w:szCs w:val="20"/>
                <w:lang w:val="en-US"/>
              </w:rPr>
              <w:t xml:space="preserve"> shortly</w:t>
            </w:r>
            <w:r w:rsidR="00136314">
              <w:rPr>
                <w:rFonts w:ascii="Calibri" w:eastAsia="Tahoma" w:hAnsi="Calibri" w:cs="Tahoma"/>
                <w:sz w:val="20"/>
                <w:szCs w:val="20"/>
                <w:lang w:val="en-US"/>
              </w:rPr>
              <w:t xml:space="preserve"> to determine next steps. </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3" w:name="IRTP_C"/>
            <w:bookmarkStart w:id="24" w:name="THICK_WHOIS"/>
            <w:bookmarkEnd w:id="22"/>
            <w:bookmarkEnd w:id="23"/>
            <w:bookmarkEnd w:id="24"/>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9"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30"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31"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32"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2B2410">
            <w:pPr>
              <w:pStyle w:val="ListParagraph"/>
              <w:widowControl/>
              <w:numPr>
                <w:ilvl w:val="0"/>
                <w:numId w:val="39"/>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rFonts w:ascii="Calibri" w:hAnsi="Calibri" w:cs="Calibri"/>
                <w:sz w:val="20"/>
                <w:szCs w:val="20"/>
              </w:rPr>
            </w:pPr>
          </w:p>
          <w:p w14:paraId="2BFDC49A" w14:textId="228CA0CD" w:rsidR="008C0CDD" w:rsidRPr="000D7D05" w:rsidRDefault="008C0CDD" w:rsidP="008C0CDD">
            <w:pPr>
              <w:widowControl/>
              <w:suppressAutoHyphens w:val="0"/>
            </w:pPr>
            <w:r>
              <w:rPr>
                <w:rFonts w:ascii="Calibri" w:hAnsi="Calibri" w:cs="Calibri"/>
                <w:sz w:val="20"/>
                <w:szCs w:val="20"/>
              </w:rPr>
              <w:lastRenderedPageBreak/>
              <w:t xml:space="preserve">Additionally, on 22 Feb 2019, Verisign </w:t>
            </w:r>
            <w:hyperlink r:id="rId33" w:history="1">
              <w:r w:rsidRPr="008C0CDD">
                <w:rPr>
                  <w:rStyle w:val="Hyperlink"/>
                  <w:rFonts w:ascii="Calibri" w:hAnsi="Calibri" w:cs="Calibri"/>
                  <w:sz w:val="20"/>
                  <w:szCs w:val="20"/>
                </w:rPr>
                <w:t>submitted a letter</w:t>
              </w:r>
            </w:hyperlink>
            <w:r>
              <w:rPr>
                <w:rFonts w:ascii="Calibri" w:hAnsi="Calibri" w:cs="Calibri"/>
                <w:sz w:val="20"/>
                <w:szCs w:val="20"/>
              </w:rPr>
              <w:t xml:space="preserve"> to GDD requesting an extension of the implementation deadlines as a result of the EPDP Phase 1 and Phase 2 efforts</w:t>
            </w:r>
            <w:r w:rsidR="008D6629">
              <w:rPr>
                <w:rFonts w:ascii="Calibri" w:hAnsi="Calibri" w:cs="Calibri"/>
                <w:sz w:val="20"/>
                <w:szCs w:val="20"/>
              </w:rPr>
              <w:t>. During its 14 March 2019 meeting, the ICANN Board resolved to further defer enforcement of the Thick WHOIS policy implementation until 30 November 2019, 31 May 2020, and 30 November 2020, respectively and in relation to the enumerated milestones listed above.</w:t>
            </w:r>
          </w:p>
        </w:tc>
      </w:tr>
    </w:tbl>
    <w:p w14:paraId="70F38862" w14:textId="6737B59A" w:rsidR="00F97B51" w:rsidRDefault="00F97B51">
      <w:pPr>
        <w:widowControl/>
        <w:suppressAutoHyphens w:val="0"/>
      </w:pPr>
      <w:bookmarkStart w:id="25" w:name="IGO_INGO2"/>
      <w:bookmarkEnd w:id="25"/>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SCBO"/>
      <w:bookmarkEnd w:id="26"/>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0FF88FB6"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will remain idle until Sept. 2019 when it will engage Council leadership and PDP leadership to understand resource requirements for FY2020.</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7" w:name="SSC"/>
      <w:bookmarkEnd w:id="27"/>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 w:name="CCT_RT"/>
            <w:bookmarkStart w:id="29" w:name="ERRP_PR"/>
            <w:bookmarkEnd w:id="28"/>
            <w:bookmarkEnd w:id="29"/>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5B3158">
            <w:pPr>
              <w:pStyle w:val="TableContents"/>
              <w:snapToGrid w:val="0"/>
              <w:rPr>
                <w:rFonts w:ascii="Calibri" w:eastAsia="Tahoma" w:hAnsi="Calibri" w:cs="Tahoma"/>
                <w:sz w:val="20"/>
                <w:szCs w:val="20"/>
                <w:lang w:val="en-GB"/>
              </w:rPr>
            </w:pPr>
            <w:hyperlink r:id="rId37"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0" w:name="TEAC_PR"/>
            <w:bookmarkStart w:id="31" w:name="PolImp_RR"/>
            <w:bookmarkEnd w:id="30"/>
            <w:bookmarkEnd w:id="31"/>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01B38A7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r w:rsidR="00C547F7">
              <w:rPr>
                <w:rFonts w:ascii="Calibri" w:eastAsia="Tahoma" w:hAnsi="Calibri" w:cs="Tahoma"/>
                <w:sz w:val="20"/>
                <w:szCs w:val="20"/>
                <w:lang w:val="en-GB"/>
              </w:rPr>
              <w:t xml:space="preserve"> Following review by the GNSO Council, this updated version has now been posted. </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1728034E" w:rsidR="00B5698A" w:rsidRDefault="00C547F7"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GNSO Council resolved in June 2015 that “</w:t>
            </w:r>
            <w:r w:rsidRPr="00C547F7">
              <w:rPr>
                <w:rFonts w:ascii="Calibri" w:eastAsia="Tahoma" w:hAnsi="Calibri" w:cs="Tahoma"/>
                <w:sz w:val="20"/>
                <w:szCs w:val="20"/>
                <w:lang w:val="en-GB"/>
              </w:rPr>
              <w:t>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r w:rsidRPr="00C547F7">
              <w:rPr>
                <w:rFonts w:ascii="Calibri" w:eastAsia="Tahoma" w:hAnsi="Calibri" w:cs="Tahoma"/>
                <w:sz w:val="20"/>
                <w:szCs w:val="20"/>
                <w:lang w:val="en-GB"/>
              </w:rPr>
              <w:t>.</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F6B6" w14:textId="77777777" w:rsidR="005B3158" w:rsidRDefault="005B3158">
      <w:r>
        <w:separator/>
      </w:r>
    </w:p>
  </w:endnote>
  <w:endnote w:type="continuationSeparator" w:id="0">
    <w:p w14:paraId="7333405D" w14:textId="77777777" w:rsidR="005B3158" w:rsidRDefault="005B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F7A65" w:rsidRDefault="00EF7A6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F7A65" w:rsidRDefault="00EF7A65"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F7A65" w:rsidRPr="006C669B" w:rsidRDefault="00EF7A6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F7A65" w:rsidRDefault="00EF7A65"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F7AA" w14:textId="77777777" w:rsidR="005B3158" w:rsidRDefault="005B3158">
      <w:r>
        <w:separator/>
      </w:r>
    </w:p>
  </w:footnote>
  <w:footnote w:type="continuationSeparator" w:id="0">
    <w:p w14:paraId="5F427901" w14:textId="77777777" w:rsidR="005B3158" w:rsidRDefault="005B3158">
      <w:r>
        <w:continuationSeparator/>
      </w:r>
    </w:p>
  </w:footnote>
  <w:footnote w:id="1">
    <w:p w14:paraId="1AF32F16" w14:textId="3F306488" w:rsidR="00EF7A65" w:rsidRPr="00226FCD" w:rsidRDefault="00EF7A65">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F7A65" w:rsidRPr="00226FCD" w:rsidRDefault="00EF7A65">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F7A65" w:rsidRDefault="00EF7A6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F7A65" w:rsidRPr="004718D7" w:rsidRDefault="00EF7A6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F7A65" w:rsidRPr="004718D7" w:rsidRDefault="00EF7A6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F7A65" w:rsidRDefault="00EF7A6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F7A65" w:rsidRDefault="00EF7A6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D12B4"/>
    <w:multiLevelType w:val="multilevel"/>
    <w:tmpl w:val="7F82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C1106"/>
    <w:multiLevelType w:val="hybridMultilevel"/>
    <w:tmpl w:val="B0D6773E"/>
    <w:lvl w:ilvl="0" w:tplc="3AFE9522">
      <w:start w:val="5"/>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86F95"/>
    <w:multiLevelType w:val="hybridMultilevel"/>
    <w:tmpl w:val="7D7220BC"/>
    <w:numStyleLink w:val="ImportedStyle3"/>
  </w:abstractNum>
  <w:abstractNum w:abstractNumId="33"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4"/>
  </w:num>
  <w:num w:numId="5">
    <w:abstractNumId w:val="8"/>
  </w:num>
  <w:num w:numId="6">
    <w:abstractNumId w:val="14"/>
  </w:num>
  <w:num w:numId="7">
    <w:abstractNumId w:val="9"/>
  </w:num>
  <w:num w:numId="8">
    <w:abstractNumId w:val="6"/>
  </w:num>
  <w:num w:numId="9">
    <w:abstractNumId w:val="19"/>
  </w:num>
  <w:num w:numId="10">
    <w:abstractNumId w:val="0"/>
  </w:num>
  <w:num w:numId="11">
    <w:abstractNumId w:val="5"/>
  </w:num>
  <w:num w:numId="12">
    <w:abstractNumId w:val="25"/>
  </w:num>
  <w:num w:numId="13">
    <w:abstractNumId w:val="38"/>
  </w:num>
  <w:num w:numId="14">
    <w:abstractNumId w:val="27"/>
  </w:num>
  <w:num w:numId="15">
    <w:abstractNumId w:val="30"/>
  </w:num>
  <w:num w:numId="16">
    <w:abstractNumId w:val="17"/>
  </w:num>
  <w:num w:numId="17">
    <w:abstractNumId w:val="36"/>
  </w:num>
  <w:num w:numId="18">
    <w:abstractNumId w:val="24"/>
  </w:num>
  <w:num w:numId="19">
    <w:abstractNumId w:val="31"/>
  </w:num>
  <w:num w:numId="20">
    <w:abstractNumId w:val="21"/>
  </w:num>
  <w:num w:numId="21">
    <w:abstractNumId w:val="33"/>
  </w:num>
  <w:num w:numId="22">
    <w:abstractNumId w:val="7"/>
  </w:num>
  <w:num w:numId="23">
    <w:abstractNumId w:val="13"/>
  </w:num>
  <w:num w:numId="24">
    <w:abstractNumId w:val="29"/>
  </w:num>
  <w:num w:numId="25">
    <w:abstractNumId w:val="15"/>
  </w:num>
  <w:num w:numId="26">
    <w:abstractNumId w:val="35"/>
  </w:num>
  <w:num w:numId="27">
    <w:abstractNumId w:val="37"/>
  </w:num>
  <w:num w:numId="28">
    <w:abstractNumId w:val="26"/>
  </w:num>
  <w:num w:numId="29">
    <w:abstractNumId w:val="28"/>
  </w:num>
  <w:num w:numId="30">
    <w:abstractNumId w:val="16"/>
  </w:num>
  <w:num w:numId="31">
    <w:abstractNumId w:val="11"/>
  </w:num>
  <w:num w:numId="32">
    <w:abstractNumId w:val="40"/>
  </w:num>
  <w:num w:numId="33">
    <w:abstractNumId w:val="34"/>
  </w:num>
  <w:num w:numId="34">
    <w:abstractNumId w:val="20"/>
  </w:num>
  <w:num w:numId="35">
    <w:abstractNumId w:val="22"/>
  </w:num>
  <w:num w:numId="36">
    <w:abstractNumId w:val="3"/>
  </w:num>
  <w:num w:numId="37">
    <w:abstractNumId w:val="12"/>
  </w:num>
  <w:num w:numId="38">
    <w:abstractNumId w:val="32"/>
  </w:num>
  <w:num w:numId="39">
    <w:abstractNumId w:val="39"/>
  </w:num>
  <w:num w:numId="40">
    <w:abstractNumId w:val="23"/>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4DE5"/>
    <w:rsid w:val="00015744"/>
    <w:rsid w:val="00017A40"/>
    <w:rsid w:val="0002011B"/>
    <w:rsid w:val="00020464"/>
    <w:rsid w:val="00020EDC"/>
    <w:rsid w:val="00021B42"/>
    <w:rsid w:val="00022119"/>
    <w:rsid w:val="00022984"/>
    <w:rsid w:val="00023132"/>
    <w:rsid w:val="00023C5A"/>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C58"/>
    <w:rsid w:val="00104E6E"/>
    <w:rsid w:val="00104F97"/>
    <w:rsid w:val="001053B5"/>
    <w:rsid w:val="001062B6"/>
    <w:rsid w:val="00106DE3"/>
    <w:rsid w:val="00107319"/>
    <w:rsid w:val="001073FD"/>
    <w:rsid w:val="00107586"/>
    <w:rsid w:val="00110028"/>
    <w:rsid w:val="00110A55"/>
    <w:rsid w:val="00111E0F"/>
    <w:rsid w:val="00112491"/>
    <w:rsid w:val="00112B45"/>
    <w:rsid w:val="00112C14"/>
    <w:rsid w:val="001138AC"/>
    <w:rsid w:val="00114043"/>
    <w:rsid w:val="001150D3"/>
    <w:rsid w:val="001162AF"/>
    <w:rsid w:val="001170E5"/>
    <w:rsid w:val="00117DC9"/>
    <w:rsid w:val="00120168"/>
    <w:rsid w:val="001205F1"/>
    <w:rsid w:val="00120B1E"/>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671DD"/>
    <w:rsid w:val="00170083"/>
    <w:rsid w:val="0017052B"/>
    <w:rsid w:val="00170896"/>
    <w:rsid w:val="00170F1C"/>
    <w:rsid w:val="001717C1"/>
    <w:rsid w:val="001719BE"/>
    <w:rsid w:val="0017223F"/>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231"/>
    <w:rsid w:val="001B0D68"/>
    <w:rsid w:val="001B0FCE"/>
    <w:rsid w:val="001B16DD"/>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67F"/>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2E0"/>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1E1C"/>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4BC"/>
    <w:rsid w:val="00332535"/>
    <w:rsid w:val="00332BA8"/>
    <w:rsid w:val="00332F28"/>
    <w:rsid w:val="00333FB2"/>
    <w:rsid w:val="0033455B"/>
    <w:rsid w:val="003346B3"/>
    <w:rsid w:val="00335B99"/>
    <w:rsid w:val="00336703"/>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32E"/>
    <w:rsid w:val="004D54DB"/>
    <w:rsid w:val="004D6986"/>
    <w:rsid w:val="004D699D"/>
    <w:rsid w:val="004E0842"/>
    <w:rsid w:val="004E0E87"/>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36CF0"/>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41B"/>
    <w:rsid w:val="005B05D0"/>
    <w:rsid w:val="005B0E11"/>
    <w:rsid w:val="005B3158"/>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125E"/>
    <w:rsid w:val="00641D17"/>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B29"/>
    <w:rsid w:val="0067282C"/>
    <w:rsid w:val="00672994"/>
    <w:rsid w:val="00673678"/>
    <w:rsid w:val="00673A8D"/>
    <w:rsid w:val="00673E14"/>
    <w:rsid w:val="00675FB8"/>
    <w:rsid w:val="0067606D"/>
    <w:rsid w:val="006766B9"/>
    <w:rsid w:val="00676C76"/>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7F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5AB3"/>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4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4FB"/>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67C3F"/>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59B"/>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02B"/>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5F25"/>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5C76"/>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2825"/>
    <w:rsid w:val="00B135D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3C34"/>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194"/>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7F7"/>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472"/>
    <w:rsid w:val="00C755B0"/>
    <w:rsid w:val="00C7698D"/>
    <w:rsid w:val="00C76EB8"/>
    <w:rsid w:val="00C7716F"/>
    <w:rsid w:val="00C774CC"/>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4F6"/>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2686"/>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5810"/>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57D34"/>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0D86"/>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27"/>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205"/>
    <w:rsid w:val="00E7353A"/>
    <w:rsid w:val="00E73557"/>
    <w:rsid w:val="00E741E9"/>
    <w:rsid w:val="00E74A7C"/>
    <w:rsid w:val="00E757C3"/>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87D9C"/>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EF7A65"/>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4A2"/>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127671382">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11322509">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18133573">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community.icann.org/x/dUPwAw" TargetMode="External"/><Relationship Id="rId26" Type="http://schemas.openxmlformats.org/officeDocument/2006/relationships/hyperlink" Target="https://gnso.icann.org/en/drafts/pdp-implementation-plan-10dec18-e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ann.org/en/system/files/correspondence/marby-to-drazek-05apr19-en.pdf" TargetMode="External"/><Relationship Id="rId34" Type="http://schemas.openxmlformats.org/officeDocument/2006/relationships/hyperlink" Target="https://gnso.icann.org/en/council/resolu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x/dUPwAw" TargetMode="External"/><Relationship Id="rId25" Type="http://schemas.openxmlformats.org/officeDocument/2006/relationships/hyperlink" Target="https://gnso.icann.org/sites/default/files/file/field-file-attach/pdp-increase-effectiveness-efficiency-23oct18-en.pdf" TargetMode="External"/><Relationship Id="rId33" Type="http://schemas.openxmlformats.org/officeDocument/2006/relationships/hyperlink" Target="https://www.icann.org/en/system/files/correspondence/kane-to-namazi-22feb19-e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en/system/files/correspondence/chalaby-to-ismail-08mar19-en.pdf" TargetMode="External"/><Relationship Id="rId29" Type="http://schemas.openxmlformats.org/officeDocument/2006/relationships/hyperlink" Target="http://www.icann.org/en/groups/board/documents/resolutions-07feb14-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mmunity.icann.org/display/IIPIRT/IGO+and+INGO+Identifiers+Protection+for+All+gTLDs+Policy+IRT" TargetMode="External"/><Relationship Id="rId32" Type="http://schemas.openxmlformats.org/officeDocument/2006/relationships/hyperlink" Target="https://www.icann.org/resources/pages/thick-whois-transition-policy-2017-02-01-en" TargetMode="External"/><Relationship Id="rId37" Type="http://schemas.openxmlformats.org/officeDocument/2006/relationships/hyperlink" Target="https://gnso.icann.org/issues/pednr-final-report-14jun11-en.pdf" TargetMode="External"/><Relationship Id="rId5" Type="http://schemas.openxmlformats.org/officeDocument/2006/relationships/webSettings" Target="web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s://www.icann.org/resources/pages/igo-ingo-protection-policy-2018-01-16-en" TargetMode="External"/><Relationship Id="rId28" Type="http://schemas.openxmlformats.org/officeDocument/2006/relationships/hyperlink" Target="https://www.icann.org/resources/board-material/resolutions-2015-09-28-en)" TargetMode="External"/><Relationship Id="rId36" Type="http://schemas.openxmlformats.org/officeDocument/2006/relationships/hyperlink" Target="https://gnso.icann.org/issues/pednr-final-report-14jun11-en.pdf" TargetMode="External"/><Relationship Id="rId10" Type="http://schemas.openxmlformats.org/officeDocument/2006/relationships/header" Target="header1.xml"/><Relationship Id="rId19" Type="http://schemas.openxmlformats.org/officeDocument/2006/relationships/hyperlink" Target="https://www.icann.org/public-comments/epdp-recs-2019-03-04-en" TargetMode="External"/><Relationship Id="rId31" Type="http://schemas.openxmlformats.org/officeDocument/2006/relationships/hyperlink" Target="https://www.icann.org/resources/pages/rdds-labeling-policy-2017-02-01-en"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public-comments/irtp-status-2018-11-14-en" TargetMode="External"/><Relationship Id="rId22" Type="http://schemas.openxmlformats.org/officeDocument/2006/relationships/hyperlink" Target="https://www.icann.org/resources/board-material/resolutions-2019-01-27-en" TargetMode="External"/><Relationship Id="rId27" Type="http://schemas.openxmlformats.org/officeDocument/2006/relationships/hyperlink" Target="https://gnso.icann.org/en/council/procedures" TargetMode="External"/><Relationship Id="rId30" Type="http://schemas.openxmlformats.org/officeDocument/2006/relationships/hyperlink" Target="https://www.icann.org/news/announcement-2-2017-02-01-en" TargetMode="External"/><Relationship Id="rId35" Type="http://schemas.openxmlformats.org/officeDocument/2006/relationships/hyperlink" Target="https://gnso.icann.org/en/group-activities/inactive/2013/pedn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510C-6D59-4BF5-B6A6-8D51886E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6136</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41030</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2019-05-13T14:39:00Z</dcterms:created>
  <dcterms:modified xsi:type="dcterms:W3CDTF">2019-05-13T14:39:00Z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