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horzAnchor="margin" w:tblpY="-1093"/>
        <w:tblW w:w="130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897"/>
        <w:gridCol w:w="3600"/>
        <w:gridCol w:w="2060"/>
        <w:gridCol w:w="2250"/>
        <w:gridCol w:w="3230"/>
      </w:tblGrid>
      <w:tr w:rsidR="00F05389" w:rsidRPr="00F05389" w:rsidTr="00F05389">
        <w:trPr>
          <w:trHeight w:val="1340"/>
        </w:trPr>
        <w:tc>
          <w:tcPr>
            <w:tcW w:w="189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F05389" w:rsidRPr="00F05389" w:rsidRDefault="00F05389" w:rsidP="00F05389">
            <w:pPr>
              <w:keepNext w:val="0"/>
              <w:widowControl w:val="0"/>
              <w:rPr>
                <w:rFonts w:ascii="Calibri" w:eastAsia="Calibri" w:hAnsi="Calibri" w:cs="Calibri"/>
                <w:b/>
                <w:sz w:val="22"/>
                <w:szCs w:val="22"/>
              </w:rPr>
            </w:pPr>
            <w:r w:rsidRPr="00F05389">
              <w:rPr>
                <w:rFonts w:ascii="Calibri" w:eastAsia="Calibri" w:hAnsi="Calibri" w:cs="Calibri"/>
                <w:b/>
                <w:sz w:val="22"/>
                <w:szCs w:val="22"/>
              </w:rPr>
              <w:t>GAC Advice - Topic</w:t>
            </w:r>
          </w:p>
        </w:tc>
        <w:tc>
          <w:tcPr>
            <w:tcW w:w="360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F05389" w:rsidRPr="00F05389" w:rsidRDefault="00F05389" w:rsidP="00F05389">
            <w:pPr>
              <w:keepNext w:val="0"/>
              <w:widowControl w:val="0"/>
              <w:rPr>
                <w:rFonts w:ascii="Calibri" w:eastAsia="Calibri" w:hAnsi="Calibri" w:cs="Calibri"/>
                <w:b/>
                <w:sz w:val="22"/>
                <w:szCs w:val="22"/>
              </w:rPr>
            </w:pPr>
            <w:r w:rsidRPr="00F05389">
              <w:rPr>
                <w:rFonts w:ascii="Calibri" w:eastAsia="Calibri" w:hAnsi="Calibri" w:cs="Calibri"/>
                <w:b/>
                <w:sz w:val="22"/>
                <w:szCs w:val="22"/>
              </w:rPr>
              <w:t>GAC Advice Details</w:t>
            </w:r>
          </w:p>
        </w:tc>
        <w:tc>
          <w:tcPr>
            <w:tcW w:w="206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F05389" w:rsidRPr="00F05389" w:rsidRDefault="00F05389" w:rsidP="00F05389">
            <w:pPr>
              <w:keepNext w:val="0"/>
              <w:widowControl w:val="0"/>
              <w:rPr>
                <w:rFonts w:ascii="Calibri" w:eastAsia="Calibri" w:hAnsi="Calibri" w:cs="Calibri"/>
                <w:b/>
                <w:sz w:val="22"/>
                <w:szCs w:val="22"/>
              </w:rPr>
            </w:pPr>
            <w:r w:rsidRPr="00F05389">
              <w:rPr>
                <w:rFonts w:ascii="Calibri" w:eastAsia="Calibri" w:hAnsi="Calibri" w:cs="Calibri"/>
                <w:b/>
                <w:sz w:val="22"/>
                <w:szCs w:val="22"/>
              </w:rPr>
              <w:t>Does the advice concern an issue that can be considered within the remit</w:t>
            </w:r>
            <w:r w:rsidRPr="00F05389">
              <w:rPr>
                <w:rFonts w:ascii="Calibri" w:eastAsia="Calibri" w:hAnsi="Calibri" w:cs="Calibri"/>
                <w:b/>
                <w:sz w:val="22"/>
                <w:szCs w:val="22"/>
                <w:vertAlign w:val="superscript"/>
              </w:rPr>
              <w:footnoteReference w:id="1"/>
            </w:r>
            <w:r w:rsidRPr="00F05389">
              <w:rPr>
                <w:rFonts w:ascii="Calibri" w:eastAsia="Calibri" w:hAnsi="Calibri" w:cs="Calibri"/>
                <w:b/>
                <w:sz w:val="22"/>
                <w:szCs w:val="22"/>
              </w:rPr>
              <w:t xml:space="preserve"> of the GNSO (yes/no)</w:t>
            </w:r>
          </w:p>
        </w:tc>
        <w:tc>
          <w:tcPr>
            <w:tcW w:w="225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F05389" w:rsidRPr="00F05389" w:rsidRDefault="00F05389" w:rsidP="00F05389">
            <w:pPr>
              <w:keepNext w:val="0"/>
              <w:widowControl w:val="0"/>
              <w:rPr>
                <w:rFonts w:ascii="Calibri" w:eastAsia="Calibri" w:hAnsi="Calibri" w:cs="Calibri"/>
                <w:b/>
                <w:i/>
                <w:sz w:val="22"/>
                <w:szCs w:val="22"/>
              </w:rPr>
            </w:pPr>
            <w:r w:rsidRPr="00F05389">
              <w:rPr>
                <w:rFonts w:ascii="Calibri" w:eastAsia="Calibri" w:hAnsi="Calibri" w:cs="Calibri"/>
                <w:b/>
                <w:i/>
                <w:sz w:val="22"/>
                <w:szCs w:val="22"/>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F05389" w:rsidRPr="00F05389" w:rsidRDefault="00F05389" w:rsidP="00F05389">
            <w:pPr>
              <w:keepNext w:val="0"/>
              <w:widowControl w:val="0"/>
              <w:rPr>
                <w:rFonts w:ascii="Calibri" w:eastAsia="Calibri" w:hAnsi="Calibri" w:cs="Calibri"/>
                <w:b/>
                <w:i/>
                <w:sz w:val="22"/>
                <w:szCs w:val="22"/>
              </w:rPr>
            </w:pPr>
            <w:r w:rsidRPr="00F05389">
              <w:rPr>
                <w:rFonts w:ascii="Calibri" w:eastAsia="Calibri" w:hAnsi="Calibri" w:cs="Calibri"/>
                <w:b/>
                <w:i/>
                <w:sz w:val="22"/>
                <w:szCs w:val="22"/>
              </w:rPr>
              <w:t>How has this issue been/is being/will be dealt with by the GNSO</w:t>
            </w:r>
          </w:p>
        </w:tc>
      </w:tr>
      <w:tr w:rsidR="00F05389" w:rsidRPr="00F05389" w:rsidTr="00F05389">
        <w:trPr>
          <w:trHeight w:val="3200"/>
        </w:trPr>
        <w:tc>
          <w:tcPr>
            <w:tcW w:w="189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pBdr>
                <w:top w:val="nil"/>
                <w:left w:val="nil"/>
                <w:bottom w:val="nil"/>
                <w:right w:val="nil"/>
                <w:between w:val="nil"/>
              </w:pBdr>
              <w:rPr>
                <w:rFonts w:ascii="Calibri" w:eastAsia="Calibri" w:hAnsi="Calibri" w:cs="Calibri"/>
                <w:b/>
                <w:i/>
                <w:color w:val="000000"/>
                <w:sz w:val="22"/>
                <w:szCs w:val="22"/>
              </w:rPr>
            </w:pPr>
            <w:proofErr w:type="gramStart"/>
            <w:r w:rsidRPr="00F05389">
              <w:rPr>
                <w:rFonts w:ascii="Calibri" w:eastAsia="Calibri" w:hAnsi="Calibri" w:cs="Calibri"/>
                <w:b/>
                <w:sz w:val="22"/>
                <w:szCs w:val="22"/>
              </w:rPr>
              <w:t>1. .AMAZON</w:t>
            </w:r>
            <w:proofErr w:type="gramEnd"/>
            <w:r w:rsidRPr="00F05389">
              <w:rPr>
                <w:rFonts w:ascii="Calibri" w:eastAsia="Calibri" w:hAnsi="Calibri" w:cs="Calibri"/>
                <w:b/>
                <w:sz w:val="22"/>
                <w:szCs w:val="22"/>
              </w:rPr>
              <w:t xml:space="preserve"> applications </w:t>
            </w:r>
            <w:r w:rsidRPr="00F05389">
              <w:rPr>
                <w:rFonts w:ascii="Calibri" w:eastAsia="Calibri" w:hAnsi="Calibri" w:cs="Calibri"/>
                <w:b/>
                <w:i/>
                <w:sz w:val="22"/>
                <w:szCs w:val="22"/>
              </w:rPr>
              <w:t>(Follow-up on Previous Advice)</w:t>
            </w:r>
          </w:p>
        </w:tc>
        <w:tc>
          <w:tcPr>
            <w:tcW w:w="360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 xml:space="preserve">The GAC asks the Board to explain in writing whether and why it considers that its decision to proceed with </w:t>
            </w:r>
            <w:proofErr w:type="gramStart"/>
            <w:r w:rsidRPr="00F05389">
              <w:rPr>
                <w:rFonts w:ascii="Calibri" w:eastAsia="Calibri" w:hAnsi="Calibri" w:cs="Calibri"/>
                <w:color w:val="00000A"/>
                <w:sz w:val="22"/>
                <w:szCs w:val="22"/>
              </w:rPr>
              <w:t>the .AMAZON</w:t>
            </w:r>
            <w:proofErr w:type="gramEnd"/>
            <w:r w:rsidRPr="00F05389">
              <w:rPr>
                <w:rFonts w:ascii="Calibri" w:eastAsia="Calibri" w:hAnsi="Calibri" w:cs="Calibri"/>
                <w:color w:val="00000A"/>
                <w:sz w:val="22"/>
                <w:szCs w:val="22"/>
              </w:rPr>
              <w:t xml:space="preserve"> applications, based on a proposal that the eight Amazon countries considered did not address their concerns, complies with GAC Advice. </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u w:val="single"/>
              </w:rPr>
              <w:t>RATIONALE</w:t>
            </w:r>
            <w:r w:rsidRPr="00F05389">
              <w:rPr>
                <w:rFonts w:ascii="Calibri" w:eastAsia="Calibri" w:hAnsi="Calibri" w:cs="Calibri"/>
                <w:color w:val="00000A"/>
                <w:sz w:val="22"/>
                <w:szCs w:val="22"/>
              </w:rPr>
              <w:t xml:space="preserve"> </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 xml:space="preserve">During the meeting with the ICANN Board, several GAC members expressed their concerns about the recent Board decision to find the Amazon corporation proposal of 17 April 2019 acceptable and directing the ICANN org to continue processing of </w:t>
            </w:r>
            <w:proofErr w:type="gramStart"/>
            <w:r w:rsidRPr="00F05389">
              <w:rPr>
                <w:rFonts w:ascii="Calibri" w:eastAsia="Calibri" w:hAnsi="Calibri" w:cs="Calibri"/>
                <w:color w:val="00000A"/>
                <w:sz w:val="22"/>
                <w:szCs w:val="22"/>
              </w:rPr>
              <w:t>the .AMAZON</w:t>
            </w:r>
            <w:proofErr w:type="gramEnd"/>
            <w:r w:rsidRPr="00F05389">
              <w:rPr>
                <w:rFonts w:ascii="Calibri" w:eastAsia="Calibri" w:hAnsi="Calibri" w:cs="Calibri"/>
                <w:color w:val="00000A"/>
                <w:sz w:val="22"/>
                <w:szCs w:val="22"/>
              </w:rPr>
              <w:t xml:space="preserve"> applications delegation of sensitive strings that the GAC has stressed as raising public policy concerns in future. Several members referenced the ICANN60 Abu Dhabi Communiqué, where: </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ind w:left="720"/>
              <w:rPr>
                <w:rFonts w:ascii="Calibri" w:eastAsia="Calibri" w:hAnsi="Calibri" w:cs="Calibri"/>
                <w:color w:val="00000A"/>
                <w:sz w:val="22"/>
                <w:szCs w:val="22"/>
              </w:rPr>
            </w:pPr>
            <w:r w:rsidRPr="00F05389">
              <w:rPr>
                <w:rFonts w:ascii="Calibri" w:eastAsia="Calibri" w:hAnsi="Calibri" w:cs="Calibri"/>
                <w:color w:val="00000A"/>
                <w:sz w:val="22"/>
                <w:szCs w:val="22"/>
              </w:rPr>
              <w:t xml:space="preserve">a) in section “V. Follow-up on Previous Advice”, with regard </w:t>
            </w:r>
            <w:r w:rsidRPr="00F05389">
              <w:rPr>
                <w:rFonts w:ascii="Calibri" w:eastAsia="Calibri" w:hAnsi="Calibri" w:cs="Calibri"/>
                <w:color w:val="00000A"/>
                <w:sz w:val="22"/>
                <w:szCs w:val="22"/>
              </w:rPr>
              <w:lastRenderedPageBreak/>
              <w:t xml:space="preserve">to the “Application </w:t>
            </w:r>
            <w:proofErr w:type="gramStart"/>
            <w:r w:rsidRPr="00F05389">
              <w:rPr>
                <w:rFonts w:ascii="Calibri" w:eastAsia="Calibri" w:hAnsi="Calibri" w:cs="Calibri"/>
                <w:color w:val="00000A"/>
                <w:sz w:val="22"/>
                <w:szCs w:val="22"/>
              </w:rPr>
              <w:t>for .amazon</w:t>
            </w:r>
            <w:proofErr w:type="gramEnd"/>
            <w:r w:rsidRPr="00F05389">
              <w:rPr>
                <w:rFonts w:ascii="Calibri" w:eastAsia="Calibri" w:hAnsi="Calibri" w:cs="Calibri"/>
                <w:color w:val="00000A"/>
                <w:sz w:val="22"/>
                <w:szCs w:val="22"/>
              </w:rPr>
              <w:t xml:space="preserve"> and related strings”, “[t]he GAC expressed the need to find a mutually acceptable solution in the case of the .Amazon gTLD applications for the countries affected and for the Amazon corporation”; and </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ind w:left="720"/>
              <w:rPr>
                <w:rFonts w:ascii="Calibri" w:eastAsia="Calibri" w:hAnsi="Calibri" w:cs="Calibri"/>
                <w:color w:val="00000A"/>
                <w:sz w:val="22"/>
                <w:szCs w:val="22"/>
              </w:rPr>
            </w:pPr>
            <w:r w:rsidRPr="00F05389">
              <w:rPr>
                <w:rFonts w:ascii="Calibri" w:eastAsia="Calibri" w:hAnsi="Calibri" w:cs="Calibri"/>
                <w:color w:val="00000A"/>
                <w:sz w:val="22"/>
                <w:szCs w:val="22"/>
              </w:rPr>
              <w:t xml:space="preserve">b) in section “VII. GAC Consensus Advice to the Board”, with regard to “Applications </w:t>
            </w:r>
            <w:proofErr w:type="gramStart"/>
            <w:r w:rsidRPr="00F05389">
              <w:rPr>
                <w:rFonts w:ascii="Calibri" w:eastAsia="Calibri" w:hAnsi="Calibri" w:cs="Calibri"/>
                <w:color w:val="00000A"/>
                <w:sz w:val="22"/>
                <w:szCs w:val="22"/>
              </w:rPr>
              <w:t>for .amazon</w:t>
            </w:r>
            <w:proofErr w:type="gramEnd"/>
            <w:r w:rsidRPr="00F05389">
              <w:rPr>
                <w:rFonts w:ascii="Calibri" w:eastAsia="Calibri" w:hAnsi="Calibri" w:cs="Calibri"/>
                <w:color w:val="00000A"/>
                <w:sz w:val="22"/>
                <w:szCs w:val="22"/>
              </w:rPr>
              <w:t xml:space="preserve"> and related strings”, “[t]he GAC recognizes the need to find a mutually acceptable solution for the countries affected and the Amazon corporation to allow for the use of .amazon as a top level domain name”. </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ind w:left="720"/>
              <w:rPr>
                <w:rFonts w:ascii="Calibri" w:eastAsia="Calibri" w:hAnsi="Calibri" w:cs="Calibri"/>
                <w:color w:val="00000A"/>
                <w:sz w:val="22"/>
                <w:szCs w:val="22"/>
              </w:rPr>
            </w:pP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 xml:space="preserve">Several members also referenced the letter the GAC sent to the Board on 15 March 2018 in response to the Board’s request for “new or additional information to provide to the Board regarding the GAC’s advice that the </w:t>
            </w:r>
            <w:r w:rsidRPr="00F05389">
              <w:rPr>
                <w:rFonts w:ascii="Calibri" w:eastAsia="Calibri" w:hAnsi="Calibri" w:cs="Calibri"/>
                <w:color w:val="00000A"/>
                <w:sz w:val="22"/>
                <w:szCs w:val="22"/>
              </w:rPr>
              <w:lastRenderedPageBreak/>
              <w:t xml:space="preserve">Amazon applications should not proceed”, where it was stated that “the GAC does not have any additional information to provide to the Board on this matter, beyond referring to the GAC Abu Dhabi Communique.” </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 xml:space="preserve">Some members did not necessarily agree with the basis of these concerns as articulated above nor with the interpretation of GAC advice on this subject. </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 xml:space="preserve">On another note, some GAC members during the discussion with the ICANN Board, urged all parties to exhaust all means consistent with applicable procedures to facilitate a mutually acceptable solution. </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 xml:space="preserve">This request for a written response from the Board should be considered a follow-up to the GAC-Board discussion during ICANN65 and should not be construed as new GAC Advice on this </w:t>
            </w:r>
            <w:proofErr w:type="spellStart"/>
            <w:proofErr w:type="gramStart"/>
            <w:r w:rsidRPr="00F05389">
              <w:rPr>
                <w:rFonts w:ascii="Calibri" w:eastAsia="Calibri" w:hAnsi="Calibri" w:cs="Calibri"/>
                <w:color w:val="00000A"/>
                <w:sz w:val="22"/>
                <w:szCs w:val="22"/>
              </w:rPr>
              <w:t>matter.according</w:t>
            </w:r>
            <w:proofErr w:type="spellEnd"/>
            <w:proofErr w:type="gramEnd"/>
            <w:r w:rsidRPr="00F05389">
              <w:rPr>
                <w:rFonts w:ascii="Calibri" w:eastAsia="Calibri" w:hAnsi="Calibri" w:cs="Calibri"/>
                <w:color w:val="00000A"/>
                <w:sz w:val="22"/>
                <w:szCs w:val="22"/>
              </w:rPr>
              <w:t xml:space="preserve"> to the policies and procedures of the New gTLD Program. Concerns were also expressed with the possibility of the outcome in </w:t>
            </w:r>
            <w:proofErr w:type="gramStart"/>
            <w:r w:rsidRPr="00F05389">
              <w:rPr>
                <w:rFonts w:ascii="Calibri" w:eastAsia="Calibri" w:hAnsi="Calibri" w:cs="Calibri"/>
                <w:color w:val="00000A"/>
                <w:sz w:val="22"/>
                <w:szCs w:val="22"/>
              </w:rPr>
              <w:t>the .AMAZON</w:t>
            </w:r>
            <w:proofErr w:type="gramEnd"/>
            <w:r w:rsidRPr="00F05389">
              <w:rPr>
                <w:rFonts w:ascii="Calibri" w:eastAsia="Calibri" w:hAnsi="Calibri" w:cs="Calibri"/>
                <w:color w:val="00000A"/>
                <w:sz w:val="22"/>
                <w:szCs w:val="22"/>
              </w:rPr>
              <w:t xml:space="preserve"> case </w:t>
            </w:r>
            <w:r w:rsidRPr="00F05389">
              <w:rPr>
                <w:rFonts w:ascii="Calibri" w:eastAsia="Calibri" w:hAnsi="Calibri" w:cs="Calibri"/>
                <w:color w:val="00000A"/>
                <w:sz w:val="22"/>
                <w:szCs w:val="22"/>
              </w:rPr>
              <w:lastRenderedPageBreak/>
              <w:t>becoming a precedent for similar cases for</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tc>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color w:val="00000A"/>
                <w:sz w:val="22"/>
                <w:szCs w:val="22"/>
              </w:rPr>
              <w:lastRenderedPageBreak/>
              <w:t>Yes</w:t>
            </w:r>
          </w:p>
        </w:tc>
        <w:tc>
          <w:tcPr>
            <w:tcW w:w="225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Subject to existing policy recommendations and implementation actions.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rPr>
                <w:rFonts w:ascii="Calibri" w:eastAsia="Calibri" w:hAnsi="Calibri" w:cs="Calibri"/>
                <w:sz w:val="22"/>
                <w:szCs w:val="22"/>
              </w:rPr>
            </w:pPr>
            <w:r w:rsidRPr="00F05389">
              <w:rPr>
                <w:rFonts w:ascii="Calibri" w:eastAsia="Calibri" w:hAnsi="Calibri" w:cs="Calibri"/>
                <w:sz w:val="22"/>
                <w:szCs w:val="22"/>
              </w:rPr>
              <w:t xml:space="preserve">The GNSO Council considers the advice in the GNSO Council Review of the GAC Communique from </w:t>
            </w:r>
            <w:hyperlink r:id="rId6" w:history="1">
              <w:r w:rsidRPr="00F05389">
                <w:rPr>
                  <w:rFonts w:ascii="Calibri" w:eastAsia="Calibri" w:hAnsi="Calibri" w:cs="Calibri"/>
                  <w:color w:val="1155CC"/>
                  <w:sz w:val="22"/>
                  <w:szCs w:val="22"/>
                  <w:u w:val="single"/>
                </w:rPr>
                <w:t xml:space="preserve">Abu Dhabi </w:t>
              </w:r>
            </w:hyperlink>
            <w:r w:rsidRPr="00F05389">
              <w:rPr>
                <w:rFonts w:ascii="Calibri" w:eastAsia="Calibri" w:hAnsi="Calibri" w:cs="Calibri"/>
                <w:sz w:val="22"/>
                <w:szCs w:val="22"/>
              </w:rPr>
              <w:t>(October 2017) to still be fully relevant.</w:t>
            </w:r>
          </w:p>
          <w:p w:rsidR="00F05389" w:rsidRPr="00F05389" w:rsidRDefault="00F05389" w:rsidP="00F05389">
            <w:pPr>
              <w:keepNext w:val="0"/>
              <w:widowControl w:val="0"/>
              <w:rPr>
                <w:rFonts w:ascii="Calibri" w:eastAsia="Calibri" w:hAnsi="Calibri" w:cs="Calibri"/>
                <w:sz w:val="22"/>
                <w:szCs w:val="22"/>
              </w:rPr>
            </w:pPr>
          </w:p>
        </w:tc>
      </w:tr>
      <w:tr w:rsidR="00F05389" w:rsidRPr="00F05389" w:rsidTr="00F05389">
        <w:trPr>
          <w:trHeight w:val="700"/>
        </w:trPr>
        <w:tc>
          <w:tcPr>
            <w:tcW w:w="189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b/>
                <w:sz w:val="22"/>
                <w:szCs w:val="22"/>
              </w:rPr>
            </w:pPr>
            <w:r w:rsidRPr="00F05389">
              <w:rPr>
                <w:rFonts w:ascii="Calibri" w:eastAsia="Calibri" w:hAnsi="Calibri" w:cs="Calibri"/>
                <w:b/>
                <w:sz w:val="22"/>
                <w:szCs w:val="22"/>
              </w:rPr>
              <w:lastRenderedPageBreak/>
              <w:t xml:space="preserve">2. Two-Character Country Codes as Second Level Domain Names </w:t>
            </w:r>
            <w:r w:rsidRPr="00F05389">
              <w:rPr>
                <w:rFonts w:ascii="Calibri" w:eastAsia="Calibri" w:hAnsi="Calibri" w:cs="Calibri"/>
                <w:b/>
                <w:i/>
                <w:sz w:val="22"/>
                <w:szCs w:val="22"/>
              </w:rPr>
              <w:t>(Follow-up on Previous Advice)</w:t>
            </w:r>
          </w:p>
        </w:tc>
        <w:tc>
          <w:tcPr>
            <w:tcW w:w="360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 xml:space="preserve">The GAC remains concerned that GAC advice on the procedure for the release of country codes at the second level under new gTLDs was not taken into consideration as </w:t>
            </w:r>
            <w:proofErr w:type="gramStart"/>
            <w:r w:rsidRPr="00F05389">
              <w:rPr>
                <w:rFonts w:ascii="Calibri" w:eastAsia="Calibri" w:hAnsi="Calibri" w:cs="Calibri"/>
                <w:color w:val="00000A"/>
                <w:sz w:val="22"/>
                <w:szCs w:val="22"/>
              </w:rPr>
              <w:t>intended, and</w:t>
            </w:r>
            <w:proofErr w:type="gramEnd"/>
            <w:r w:rsidRPr="00F05389">
              <w:rPr>
                <w:rFonts w:ascii="Calibri" w:eastAsia="Calibri" w:hAnsi="Calibri" w:cs="Calibri"/>
                <w:color w:val="00000A"/>
                <w:sz w:val="22"/>
                <w:szCs w:val="22"/>
              </w:rPr>
              <w:t xml:space="preserve"> advises that meaningful steps be taken to ensure this does not happen in the future.</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Moreover, the GAC notes the provision of a search tool by ICANN. GAC Members have highlighted that the effectiveness of the tool is still being evaluated.</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 xml:space="preserve">The GAC urges ICANN to continue to engage with concerned GAC members </w:t>
            </w:r>
            <w:proofErr w:type="gramStart"/>
            <w:r w:rsidRPr="00F05389">
              <w:rPr>
                <w:rFonts w:ascii="Calibri" w:eastAsia="Calibri" w:hAnsi="Calibri" w:cs="Calibri"/>
                <w:color w:val="00000A"/>
                <w:sz w:val="22"/>
                <w:szCs w:val="22"/>
              </w:rPr>
              <w:t>in order to</w:t>
            </w:r>
            <w:proofErr w:type="gramEnd"/>
            <w:r w:rsidRPr="00F05389">
              <w:rPr>
                <w:rFonts w:ascii="Calibri" w:eastAsia="Calibri" w:hAnsi="Calibri" w:cs="Calibri"/>
                <w:color w:val="00000A"/>
                <w:sz w:val="22"/>
                <w:szCs w:val="22"/>
              </w:rPr>
              <w:t xml:space="preserve"> address their concerns.</w:t>
            </w:r>
          </w:p>
        </w:tc>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color w:val="00000A"/>
                <w:sz w:val="22"/>
                <w:szCs w:val="22"/>
              </w:rPr>
              <w:t>Yes</w:t>
            </w:r>
          </w:p>
          <w:p w:rsidR="00F05389" w:rsidRPr="00F05389" w:rsidRDefault="00F05389" w:rsidP="00F05389">
            <w:pPr>
              <w:keepNext w:val="0"/>
              <w:widowControl w:val="0"/>
              <w:rPr>
                <w:rFonts w:ascii="Calibri" w:eastAsia="Calibri" w:hAnsi="Calibri" w:cs="Calibri"/>
                <w:sz w:val="22"/>
                <w:szCs w:val="22"/>
              </w:rPr>
            </w:pPr>
          </w:p>
          <w:p w:rsidR="00F05389" w:rsidRPr="00F05389" w:rsidRDefault="00F05389" w:rsidP="00F05389">
            <w:pPr>
              <w:keepNext w:val="0"/>
              <w:widowControl w:val="0"/>
              <w:rPr>
                <w:rFonts w:ascii="Calibri" w:eastAsia="Calibri" w:hAnsi="Calibri" w:cs="Calibri"/>
                <w:sz w:val="22"/>
                <w:szCs w:val="22"/>
              </w:rPr>
            </w:pPr>
          </w:p>
          <w:p w:rsidR="00F05389" w:rsidRPr="00F05389" w:rsidRDefault="00F05389" w:rsidP="00F05389">
            <w:pPr>
              <w:keepNext w:val="0"/>
              <w:widowControl w:val="0"/>
              <w:rPr>
                <w:rFonts w:ascii="Calibri" w:eastAsia="Calibri" w:hAnsi="Calibri" w:cs="Calibri"/>
                <w:sz w:val="22"/>
                <w:szCs w:val="22"/>
              </w:rPr>
            </w:pPr>
          </w:p>
          <w:p w:rsidR="00F05389" w:rsidRPr="00F05389" w:rsidRDefault="00F05389" w:rsidP="00F05389">
            <w:pPr>
              <w:keepNext w:val="0"/>
              <w:widowControl w:val="0"/>
              <w:rPr>
                <w:rFonts w:ascii="Calibri" w:eastAsia="Calibri" w:hAnsi="Calibri" w:cs="Calibri"/>
                <w:sz w:val="22"/>
                <w:szCs w:val="22"/>
              </w:rPr>
            </w:pPr>
          </w:p>
          <w:p w:rsidR="00F05389" w:rsidRPr="00F05389" w:rsidRDefault="00F05389" w:rsidP="00F05389">
            <w:pPr>
              <w:keepNext w:val="0"/>
              <w:widowControl w:val="0"/>
              <w:rPr>
                <w:rFonts w:ascii="Calibri" w:eastAsia="Calibri" w:hAnsi="Calibri" w:cs="Calibri"/>
                <w:sz w:val="22"/>
                <w:szCs w:val="22"/>
              </w:rPr>
            </w:pPr>
          </w:p>
        </w:tc>
        <w:tc>
          <w:tcPr>
            <w:tcW w:w="225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Yes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 xml:space="preserve">This topic has been a subject of </w:t>
            </w:r>
            <w:r w:rsidRPr="00F05389">
              <w:rPr>
                <w:rFonts w:ascii="Calibri" w:eastAsia="Calibri" w:hAnsi="Calibri" w:cs="Calibri"/>
                <w:sz w:val="22"/>
                <w:szCs w:val="22"/>
              </w:rPr>
              <w:t xml:space="preserve">several </w:t>
            </w:r>
            <w:r w:rsidRPr="00F05389">
              <w:rPr>
                <w:rFonts w:ascii="Calibri" w:eastAsia="Calibri" w:hAnsi="Calibri" w:cs="Calibri"/>
                <w:sz w:val="22"/>
                <w:szCs w:val="22"/>
              </w:rPr>
              <w:t>GNSO Council Reviews of prior GAC Communiques:</w:t>
            </w:r>
          </w:p>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w:t>
            </w:r>
            <w:hyperlink r:id="rId7" w:history="1">
              <w:r w:rsidRPr="00F05389">
                <w:rPr>
                  <w:rFonts w:ascii="Calibri" w:eastAsia="Calibri" w:hAnsi="Calibri" w:cs="Calibri"/>
                  <w:color w:val="1155CC"/>
                  <w:sz w:val="22"/>
                  <w:szCs w:val="22"/>
                  <w:u w:val="single"/>
                </w:rPr>
                <w:t>Dublin</w:t>
              </w:r>
            </w:hyperlink>
            <w:r w:rsidRPr="00F05389">
              <w:rPr>
                <w:rFonts w:ascii="Calibri" w:eastAsia="Calibri" w:hAnsi="Calibri" w:cs="Calibri"/>
                <w:sz w:val="22"/>
                <w:szCs w:val="22"/>
              </w:rPr>
              <w:t xml:space="preserve"> (December 2015): pp.9-11</w:t>
            </w:r>
          </w:p>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w:t>
            </w:r>
            <w:hyperlink r:id="rId8" w:history="1">
              <w:r w:rsidRPr="00F05389">
                <w:rPr>
                  <w:rFonts w:ascii="Calibri" w:eastAsia="Calibri" w:hAnsi="Calibri" w:cs="Calibri"/>
                  <w:color w:val="1155CC"/>
                  <w:sz w:val="22"/>
                  <w:szCs w:val="22"/>
                  <w:u w:val="single"/>
                </w:rPr>
                <w:t>Helsinki</w:t>
              </w:r>
            </w:hyperlink>
            <w:r w:rsidRPr="00F05389">
              <w:rPr>
                <w:rFonts w:ascii="Calibri" w:eastAsia="Calibri" w:hAnsi="Calibri" w:cs="Calibri"/>
                <w:sz w:val="22"/>
                <w:szCs w:val="22"/>
              </w:rPr>
              <w:t xml:space="preserve"> (July 2016): pp.5-6</w:t>
            </w:r>
          </w:p>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w:t>
            </w:r>
            <w:hyperlink r:id="rId9" w:history="1">
              <w:r w:rsidRPr="00F05389">
                <w:rPr>
                  <w:rFonts w:ascii="Calibri" w:eastAsia="Calibri" w:hAnsi="Calibri" w:cs="Calibri"/>
                  <w:color w:val="1155CC"/>
                  <w:sz w:val="22"/>
                  <w:szCs w:val="22"/>
                  <w:u w:val="single"/>
                </w:rPr>
                <w:t>Hyderabad</w:t>
              </w:r>
            </w:hyperlink>
            <w:r w:rsidRPr="00F05389">
              <w:rPr>
                <w:rFonts w:ascii="Calibri" w:eastAsia="Calibri" w:hAnsi="Calibri" w:cs="Calibri"/>
                <w:sz w:val="22"/>
                <w:szCs w:val="22"/>
              </w:rPr>
              <w:t xml:space="preserve"> (December 2016): p.3</w:t>
            </w:r>
          </w:p>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w:t>
            </w:r>
            <w:hyperlink r:id="rId10" w:history="1">
              <w:r w:rsidRPr="00F05389">
                <w:rPr>
                  <w:rFonts w:ascii="Calibri" w:eastAsia="Calibri" w:hAnsi="Calibri" w:cs="Calibri"/>
                  <w:color w:val="1155CC"/>
                  <w:sz w:val="22"/>
                  <w:szCs w:val="22"/>
                  <w:u w:val="single"/>
                </w:rPr>
                <w:t>Copenhagen</w:t>
              </w:r>
            </w:hyperlink>
            <w:r w:rsidRPr="00F05389">
              <w:rPr>
                <w:rFonts w:ascii="Calibri" w:eastAsia="Calibri" w:hAnsi="Calibri" w:cs="Calibri"/>
                <w:sz w:val="22"/>
                <w:szCs w:val="22"/>
              </w:rPr>
              <w:t xml:space="preserve"> (April 2017): pp.7-8</w:t>
            </w:r>
          </w:p>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w:t>
            </w:r>
            <w:hyperlink r:id="rId11" w:history="1">
              <w:r w:rsidRPr="00F05389">
                <w:rPr>
                  <w:rFonts w:ascii="Calibri" w:eastAsia="Calibri" w:hAnsi="Calibri" w:cs="Calibri"/>
                  <w:color w:val="1155CC"/>
                  <w:sz w:val="22"/>
                  <w:szCs w:val="22"/>
                  <w:u w:val="single"/>
                </w:rPr>
                <w:t>Panama</w:t>
              </w:r>
            </w:hyperlink>
            <w:r w:rsidRPr="00F05389">
              <w:rPr>
                <w:rFonts w:ascii="Calibri" w:eastAsia="Calibri" w:hAnsi="Calibri" w:cs="Calibri"/>
                <w:sz w:val="22"/>
                <w:szCs w:val="22"/>
              </w:rPr>
              <w:t xml:space="preserve"> (July 2018): pp.6-8</w:t>
            </w:r>
          </w:p>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w:t>
            </w:r>
            <w:hyperlink r:id="rId12" w:history="1">
              <w:r w:rsidRPr="00F05389">
                <w:rPr>
                  <w:rFonts w:ascii="Calibri" w:eastAsia="Calibri" w:hAnsi="Calibri" w:cs="Calibri"/>
                  <w:color w:val="1155CC"/>
                  <w:sz w:val="22"/>
                  <w:szCs w:val="22"/>
                  <w:u w:val="single"/>
                </w:rPr>
                <w:t>Barcelona</w:t>
              </w:r>
            </w:hyperlink>
            <w:r w:rsidRPr="00F05389">
              <w:rPr>
                <w:rFonts w:ascii="Calibri" w:eastAsia="Calibri" w:hAnsi="Calibri" w:cs="Calibri"/>
                <w:sz w:val="22"/>
                <w:szCs w:val="22"/>
              </w:rPr>
              <w:t xml:space="preserve"> (October 2018) pp.1-2</w:t>
            </w:r>
          </w:p>
          <w:p w:rsidR="00F05389" w:rsidRPr="00F05389" w:rsidRDefault="00F05389" w:rsidP="00F05389">
            <w:pPr>
              <w:keepNext w:val="0"/>
              <w:widowControl w:val="0"/>
              <w:rPr>
                <w:rFonts w:ascii="Calibri" w:eastAsia="Calibri" w:hAnsi="Calibri" w:cs="Calibri"/>
                <w:sz w:val="22"/>
                <w:szCs w:val="22"/>
              </w:rPr>
            </w:pPr>
          </w:p>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The GNSO Council is of the view that ICANN has fully implemented the GAC’s Advice on this matter.</w:t>
            </w:r>
          </w:p>
          <w:p w:rsidR="00F05389" w:rsidRPr="00F05389" w:rsidRDefault="00F05389" w:rsidP="00F05389">
            <w:pPr>
              <w:keepNext w:val="0"/>
              <w:widowControl w:val="0"/>
              <w:rPr>
                <w:rFonts w:ascii="Calibri" w:eastAsia="Calibri" w:hAnsi="Calibri" w:cs="Calibri"/>
                <w:sz w:val="22"/>
                <w:szCs w:val="22"/>
              </w:rPr>
            </w:pPr>
          </w:p>
          <w:p w:rsidR="00F05389" w:rsidRPr="00F05389" w:rsidRDefault="00F05389" w:rsidP="00F05389">
            <w:pPr>
              <w:keepNext w:val="0"/>
              <w:widowControl w:val="0"/>
              <w:rPr>
                <w:rFonts w:ascii="Calibri" w:eastAsia="Calibri" w:hAnsi="Calibri" w:cs="Calibri"/>
                <w:sz w:val="22"/>
                <w:szCs w:val="22"/>
              </w:rPr>
            </w:pPr>
          </w:p>
        </w:tc>
      </w:tr>
      <w:tr w:rsidR="00F05389" w:rsidRPr="00F05389" w:rsidTr="00F05389">
        <w:trPr>
          <w:trHeight w:val="700"/>
        </w:trPr>
        <w:tc>
          <w:tcPr>
            <w:tcW w:w="189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b/>
                <w:sz w:val="22"/>
                <w:szCs w:val="22"/>
              </w:rPr>
            </w:pPr>
            <w:r w:rsidRPr="00F05389">
              <w:rPr>
                <w:rFonts w:ascii="Calibri" w:eastAsia="Calibri" w:hAnsi="Calibri" w:cs="Calibri"/>
                <w:b/>
                <w:sz w:val="22"/>
                <w:szCs w:val="22"/>
              </w:rPr>
              <w:lastRenderedPageBreak/>
              <w:t xml:space="preserve">3. WHOIS and Data Protection </w:t>
            </w:r>
            <w:r w:rsidRPr="00F05389">
              <w:rPr>
                <w:rFonts w:ascii="Calibri" w:eastAsia="Calibri" w:hAnsi="Calibri" w:cs="Calibri"/>
                <w:b/>
                <w:i/>
                <w:sz w:val="22"/>
                <w:szCs w:val="22"/>
              </w:rPr>
              <w:t>(Follow-up on Previous Advice)</w:t>
            </w:r>
          </w:p>
        </w:tc>
        <w:tc>
          <w:tcPr>
            <w:tcW w:w="360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The GAC recalls its GAC Kobe Communiqué Advice and welcomes the actions being taken on the 2nd</w:t>
            </w:r>
          </w:p>
          <w:p w:rsidR="00F05389" w:rsidRPr="00F05389" w:rsidRDefault="00F05389" w:rsidP="00F05389">
            <w:pPr>
              <w:keepNext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sidRPr="00F05389">
              <w:rPr>
                <w:rFonts w:ascii="Calibri" w:eastAsia="Calibri" w:hAnsi="Calibri" w:cs="Calibri"/>
                <w:color w:val="00000A"/>
                <w:sz w:val="22"/>
                <w:szCs w:val="22"/>
              </w:rPr>
              <w:t>phase of the EPDP.</w:t>
            </w:r>
          </w:p>
        </w:tc>
        <w:tc>
          <w:tcPr>
            <w:tcW w:w="20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Yes</w:t>
            </w:r>
          </w:p>
        </w:tc>
        <w:tc>
          <w:tcPr>
            <w:tcW w:w="225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Yes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F05389" w:rsidRPr="00F05389" w:rsidRDefault="00F05389" w:rsidP="00F05389">
            <w:pPr>
              <w:keepNext w:val="0"/>
              <w:widowControl w:val="0"/>
              <w:rPr>
                <w:rFonts w:ascii="Calibri" w:eastAsia="Calibri" w:hAnsi="Calibri" w:cs="Calibri"/>
                <w:sz w:val="22"/>
                <w:szCs w:val="22"/>
              </w:rPr>
            </w:pPr>
            <w:r w:rsidRPr="00F05389">
              <w:rPr>
                <w:rFonts w:ascii="Calibri" w:eastAsia="Calibri" w:hAnsi="Calibri" w:cs="Calibri"/>
                <w:sz w:val="22"/>
                <w:szCs w:val="22"/>
              </w:rPr>
              <w:t>The GNSO Council continues to monitor the EPDP closely to ensure progress.</w:t>
            </w:r>
          </w:p>
        </w:tc>
      </w:tr>
    </w:tbl>
    <w:p w:rsidR="00797EAD" w:rsidRPr="00F05389" w:rsidRDefault="002E56CE">
      <w:pPr>
        <w:rPr>
          <w:rFonts w:ascii="Calibri" w:eastAsia="Calibri" w:hAnsi="Calibri" w:cs="Calibri"/>
          <w:b/>
          <w:sz w:val="22"/>
          <w:szCs w:val="22"/>
          <w:vertAlign w:val="superscript"/>
        </w:rPr>
      </w:pPr>
      <w:r w:rsidRPr="00F05389">
        <w:rPr>
          <w:rFonts w:ascii="Calibri" w:eastAsia="Calibri" w:hAnsi="Calibri" w:cs="Calibri"/>
          <w:b/>
          <w:sz w:val="22"/>
          <w:szCs w:val="22"/>
        </w:rPr>
        <w:t xml:space="preserve">GNSO COUNCIL REVIEW OF </w:t>
      </w:r>
      <w:hyperlink r:id="rId13">
        <w:r w:rsidRPr="00F05389">
          <w:rPr>
            <w:rFonts w:ascii="Calibri" w:eastAsia="Calibri" w:hAnsi="Calibri" w:cs="Calibri"/>
            <w:b/>
            <w:color w:val="1155CC"/>
            <w:sz w:val="22"/>
            <w:szCs w:val="22"/>
            <w:u w:val="single"/>
          </w:rPr>
          <w:t>THE MARRAKECH GAC COMMUNIQUE</w:t>
        </w:r>
      </w:hyperlink>
      <w:r w:rsidRPr="00F05389">
        <w:rPr>
          <w:rFonts w:ascii="Calibri" w:eastAsia="Calibri" w:hAnsi="Calibri" w:cs="Calibri"/>
          <w:b/>
          <w:sz w:val="22"/>
          <w:szCs w:val="22"/>
          <w:vertAlign w:val="superscript"/>
        </w:rPr>
        <w:footnoteReference w:id="2"/>
      </w:r>
      <w:bookmarkStart w:id="0" w:name="_GoBack"/>
      <w:bookmarkEnd w:id="0"/>
    </w:p>
    <w:sectPr w:rsidR="00797EAD" w:rsidRPr="00F05389">
      <w:footerReference w:type="even" r:id="rId14"/>
      <w:footerReference w:type="default" r:id="rId15"/>
      <w:pgSz w:w="15840" w:h="12240"/>
      <w:pgMar w:top="1800" w:right="1440" w:bottom="1800" w:left="1440" w:header="720" w:footer="720"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CE" w:rsidRDefault="002E56CE">
      <w:r>
        <w:separator/>
      </w:r>
    </w:p>
  </w:endnote>
  <w:endnote w:type="continuationSeparator" w:id="0">
    <w:p w:rsidR="002E56CE" w:rsidRDefault="002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EAD" w:rsidRDefault="002E56C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97EAD" w:rsidRDefault="00797EA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EAD" w:rsidRDefault="002E56C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F05389">
      <w:rPr>
        <w:rFonts w:ascii="Calibri" w:eastAsia="Calibri" w:hAnsi="Calibri" w:cs="Calibri"/>
        <w:color w:val="000000"/>
        <w:sz w:val="18"/>
        <w:szCs w:val="18"/>
      </w:rPr>
      <w:fldChar w:fldCharType="separate"/>
    </w:r>
    <w:r w:rsidR="00F0538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797EAD" w:rsidRDefault="00797EAD">
    <w:pPr>
      <w:pBdr>
        <w:top w:val="nil"/>
        <w:left w:val="nil"/>
        <w:bottom w:val="nil"/>
        <w:right w:val="nil"/>
        <w:between w:val="nil"/>
      </w:pBdr>
      <w:tabs>
        <w:tab w:val="right" w:pos="9020"/>
      </w:tabs>
      <w:ind w:right="360"/>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CE" w:rsidRDefault="002E56CE">
      <w:r>
        <w:separator/>
      </w:r>
    </w:p>
  </w:footnote>
  <w:footnote w:type="continuationSeparator" w:id="0">
    <w:p w:rsidR="002E56CE" w:rsidRDefault="002E56CE">
      <w:r>
        <w:continuationSeparator/>
      </w:r>
    </w:p>
  </w:footnote>
  <w:footnote w:id="1">
    <w:p w:rsidR="00F05389" w:rsidRDefault="00F05389" w:rsidP="00F05389">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As per the ICANN Bylaws: ‘There shall be a policy-development body known as the Generic Names Supporting Organization (GNSO), which shall be responsible for developing and recommending to the ICANN Board substantive policies relating to generic top-level domains.</w:t>
      </w:r>
    </w:p>
  </w:footnote>
  <w:footnote w:id="2">
    <w:p w:rsidR="00797EAD" w:rsidRDefault="002E56CE">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 Only of “Section V of the Communiqué: GAC Advice to the ICANN Board and for this Communiqué, Follow-up on Previous Advice”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AD"/>
    <w:rsid w:val="002E56CE"/>
    <w:rsid w:val="00797EAD"/>
    <w:rsid w:val="00F0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4B97"/>
  <w15:docId w15:val="{B22A1B7B-FB8B-48F5-9A38-522872D8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keepNext/>
        <w:shd w:val="clear" w:color="auto" w:fill="FFFFFF"/>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val="0"/>
      <w:pBdr>
        <w:top w:val="none" w:sz="0" w:space="0" w:color="000000"/>
        <w:left w:val="none" w:sz="0" w:space="0" w:color="000000"/>
        <w:bottom w:val="none" w:sz="0" w:space="0" w:color="000000"/>
        <w:right w:val="none" w:sz="0" w:space="0" w:color="000000"/>
      </w:pBdr>
      <w:shd w:val="clear" w:color="auto" w:fill="auto"/>
      <w:outlineLvl w:val="0"/>
    </w:pPr>
    <w:rPr>
      <w:rFonts w:ascii="Times" w:eastAsia="Times" w:hAnsi="Times" w:cs="Times"/>
      <w:b/>
      <w:color w:val="000000"/>
      <w:sz w:val="48"/>
      <w:szCs w:val="48"/>
    </w:rPr>
  </w:style>
  <w:style w:type="paragraph" w:styleId="Heading2">
    <w:name w:val="heading 2"/>
    <w:basedOn w:val="Normal"/>
    <w:next w:val="Normal"/>
    <w:uiPriority w:val="9"/>
    <w:semiHidden/>
    <w:unhideWhenUsed/>
    <w:qFormat/>
    <w:pPr>
      <w:keepLines/>
      <w:spacing w:before="360" w:after="80"/>
      <w:outlineLvl w:val="1"/>
    </w:pPr>
    <w:rPr>
      <w:b/>
      <w:sz w:val="36"/>
      <w:szCs w:val="36"/>
    </w:rPr>
  </w:style>
  <w:style w:type="paragraph" w:styleId="Heading3">
    <w:name w:val="heading 3"/>
    <w:basedOn w:val="Normal"/>
    <w:next w:val="Normal"/>
    <w:uiPriority w:val="9"/>
    <w:semiHidden/>
    <w:unhideWhenUsed/>
    <w:qFormat/>
    <w:pPr>
      <w:keepLines/>
      <w:spacing w:before="280" w:after="80"/>
      <w:outlineLvl w:val="2"/>
    </w:pPr>
    <w:rPr>
      <w:b/>
      <w:sz w:val="28"/>
      <w:szCs w:val="28"/>
    </w:rPr>
  </w:style>
  <w:style w:type="paragraph" w:styleId="Heading4">
    <w:name w:val="heading 4"/>
    <w:basedOn w:val="Normal"/>
    <w:next w:val="Normal"/>
    <w:uiPriority w:val="9"/>
    <w:semiHidden/>
    <w:unhideWhenUsed/>
    <w:qFormat/>
    <w:pPr>
      <w:keepLines/>
      <w:spacing w:before="240" w:after="40"/>
      <w:outlineLvl w:val="3"/>
    </w:pPr>
    <w:rPr>
      <w:b/>
    </w:rPr>
  </w:style>
  <w:style w:type="paragraph" w:styleId="Heading5">
    <w:name w:val="heading 5"/>
    <w:basedOn w:val="Normal"/>
    <w:next w:val="Normal"/>
    <w:uiPriority w:val="9"/>
    <w:semiHidden/>
    <w:unhideWhenUsed/>
    <w:qFormat/>
    <w:pPr>
      <w:keepLines/>
      <w:spacing w:before="220" w:after="40"/>
      <w:outlineLvl w:val="4"/>
    </w:pPr>
    <w:rPr>
      <w:b/>
      <w:sz w:val="22"/>
      <w:szCs w:val="22"/>
    </w:rPr>
  </w:style>
  <w:style w:type="paragraph" w:styleId="Heading6">
    <w:name w:val="heading 6"/>
    <w:basedOn w:val="Normal"/>
    <w:next w:val="Normal"/>
    <w:uiPriority w:val="9"/>
    <w:semiHidden/>
    <w:unhideWhenUsed/>
    <w:qFormat/>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Lines/>
      <w:spacing w:before="480" w:after="120"/>
    </w:pPr>
    <w:rPr>
      <w:b/>
      <w:sz w:val="72"/>
      <w:szCs w:val="72"/>
    </w:rPr>
  </w:style>
  <w:style w:type="paragraph" w:styleId="Subtitle">
    <w:name w:val="Subtitle"/>
    <w:basedOn w:val="Normal"/>
    <w:next w:val="Normal"/>
    <w:uiPriority w:val="11"/>
    <w:qFormat/>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75" w:type="dxa"/>
        <w:bottom w:w="80" w:type="dxa"/>
        <w:right w:w="80" w:type="dxa"/>
      </w:tblCellMar>
    </w:tblPr>
  </w:style>
  <w:style w:type="paragraph" w:styleId="BalloonText">
    <w:name w:val="Balloon Text"/>
    <w:basedOn w:val="Normal"/>
    <w:link w:val="BalloonTextChar"/>
    <w:uiPriority w:val="99"/>
    <w:semiHidden/>
    <w:unhideWhenUsed/>
    <w:rsid w:val="00F05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89"/>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2016-12/bladel-to-crocker-gac-communique-11aug16-en.pdf" TargetMode="External"/><Relationship Id="rId13" Type="http://schemas.openxmlformats.org/officeDocument/2006/relationships/hyperlink" Target="https://gac.icann.org/contentMigrated/icann65-marrakech-communique" TargetMode="External"/><Relationship Id="rId3" Type="http://schemas.openxmlformats.org/officeDocument/2006/relationships/webSettings" Target="webSettings.xml"/><Relationship Id="rId7" Type="http://schemas.openxmlformats.org/officeDocument/2006/relationships/hyperlink" Target="https://gnso.icann.org/en/correspondence/gnso-gac-review-31dec15-en.pdf" TargetMode="External"/><Relationship Id="rId12" Type="http://schemas.openxmlformats.org/officeDocument/2006/relationships/hyperlink" Target="https://gnso.icann.org/en/correspondence/gnso-council-to-icann-board-21dec18-en.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nso.icann.org/sites/default/files/file/field-file-attach/gnso-council-to-icann-board-06dec17-en.pdf" TargetMode="External"/><Relationship Id="rId11" Type="http://schemas.openxmlformats.org/officeDocument/2006/relationships/hyperlink" Target="https://gnso.icann.org/en/correspondence/forrest-et-al-to-chalaby-27jul18-en.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gnso.icann.org/en/correspondence/bladel-et-al-to-crocker-02jun17-en.pdf" TargetMode="External"/><Relationship Id="rId4" Type="http://schemas.openxmlformats.org/officeDocument/2006/relationships/footnotes" Target="footnotes.xml"/><Relationship Id="rId9" Type="http://schemas.openxmlformats.org/officeDocument/2006/relationships/hyperlink" Target="https://gnso.icann.org/sites/default/files/file/field-file-attach/bladel-to-crocker-21dec16-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2</cp:revision>
  <dcterms:created xsi:type="dcterms:W3CDTF">2019-07-17T08:29:00Z</dcterms:created>
  <dcterms:modified xsi:type="dcterms:W3CDTF">2019-07-17T08:29:00Z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-124305943</vt:i4>
  </property>
  <property fmtid="{D5CDD505-2E9C-101B-9397-08002B2CF9AE}" pid="3" name="_NewReviewCycle">
    <vt:lpwstr/>
  </property>
  <property fmtid="{D5CDD505-2E9C-101B-9397-08002B2CF9AE}" pid="4" name="_EmailSubject">
    <vt:lpwstr>GNSO Council Review of ICANN 65 GAC Communique</vt:lpwstr>
  </property>
  <property fmtid="{D5CDD505-2E9C-101B-9397-08002B2CF9AE}" pid="5" name="_AuthorEmail">
    <vt:lpwstr>kdrazek@verisign.com</vt:lpwstr>
  </property>
  <property fmtid="{D5CDD505-2E9C-101B-9397-08002B2CF9AE}" pid="6" name="_AuthorEmailDisplayName">
    <vt:lpwstr>Drazek, Keith</vt:lpwstr>
  </property>
</Properties>
</file>