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282A" w14:textId="77777777" w:rsidR="00E6108B" w:rsidRPr="00A66D81" w:rsidRDefault="00E6108B">
      <w:pPr>
        <w:rPr>
          <w:b/>
          <w:szCs w:val="22"/>
        </w:rPr>
      </w:pPr>
      <w:r w:rsidRPr="00A66D81">
        <w:rPr>
          <w:b/>
          <w:szCs w:val="22"/>
        </w:rPr>
        <w:t>Executive Summary</w:t>
      </w:r>
    </w:p>
    <w:p w14:paraId="264CC779" w14:textId="77777777" w:rsidR="00E6108B" w:rsidRPr="00A66D81" w:rsidRDefault="00E6108B">
      <w:pPr>
        <w:rPr>
          <w:szCs w:val="22"/>
        </w:rPr>
      </w:pPr>
      <w:r w:rsidRPr="00A66D81">
        <w:rPr>
          <w:szCs w:val="22"/>
        </w:rPr>
        <w:t xml:space="preserve">Deliverables 3: Issues Arising or likely to arise in connection with applying policies to current or proposed strings. </w:t>
      </w:r>
    </w:p>
    <w:p w14:paraId="6A8D3C4E" w14:textId="77777777" w:rsidR="00E6108B" w:rsidRDefault="00E6108B">
      <w:pPr>
        <w:rPr>
          <w:szCs w:val="22"/>
        </w:rPr>
      </w:pPr>
      <w:r w:rsidRPr="00A66D81">
        <w:rPr>
          <w:szCs w:val="22"/>
        </w:rPr>
        <w:t xml:space="preserve">Full text: </w:t>
      </w:r>
      <w:hyperlink r:id="rId6" w:history="1">
        <w:r w:rsidRPr="00A66D81">
          <w:rPr>
            <w:rStyle w:val="Hyperlink"/>
            <w:szCs w:val="22"/>
          </w:rPr>
          <w:t>http://ccnso.icann.org/workinggroups/unct-final-08sep12-en.pdf</w:t>
        </w:r>
      </w:hyperlink>
      <w:r w:rsidRPr="00A66D81">
        <w:rPr>
          <w:szCs w:val="22"/>
        </w:rPr>
        <w:t xml:space="preserve"> (pp.25-33)</w:t>
      </w:r>
    </w:p>
    <w:p w14:paraId="6A32EF95" w14:textId="77777777" w:rsidR="00B45D53" w:rsidRDefault="00B45D53">
      <w:pPr>
        <w:rPr>
          <w:szCs w:val="22"/>
        </w:rPr>
      </w:pPr>
    </w:p>
    <w:p w14:paraId="3F1E0A7C" w14:textId="4C1ABFD4" w:rsidR="00B45D53" w:rsidRPr="00A66D81" w:rsidRDefault="00006023">
      <w:pPr>
        <w:rPr>
          <w:szCs w:val="22"/>
        </w:rPr>
      </w:pPr>
      <w:r>
        <w:rPr>
          <w:szCs w:val="22"/>
        </w:rPr>
        <w:t>As a starting point, i</w:t>
      </w:r>
      <w:r w:rsidR="00477912">
        <w:rPr>
          <w:szCs w:val="22"/>
        </w:rPr>
        <w:t>t should be reiterat</w:t>
      </w:r>
      <w:r w:rsidR="00B45D53">
        <w:rPr>
          <w:szCs w:val="22"/>
        </w:rPr>
        <w:t>ed that</w:t>
      </w:r>
      <w:r>
        <w:rPr>
          <w:szCs w:val="22"/>
        </w:rPr>
        <w:t xml:space="preserve"> no authoritative list exists for the definition, appli</w:t>
      </w:r>
      <w:r w:rsidR="00477912">
        <w:rPr>
          <w:szCs w:val="22"/>
        </w:rPr>
        <w:t>cation or use of country names as TLDs.</w:t>
      </w:r>
    </w:p>
    <w:p w14:paraId="474F63E3" w14:textId="77777777" w:rsidR="00E6108B" w:rsidRPr="00A66D81" w:rsidRDefault="00E6108B">
      <w:pPr>
        <w:rPr>
          <w:szCs w:val="22"/>
        </w:rPr>
      </w:pPr>
    </w:p>
    <w:p w14:paraId="34B16796" w14:textId="77777777" w:rsidR="00E6108B" w:rsidRPr="00A66D81" w:rsidRDefault="00E6108B">
      <w:pPr>
        <w:rPr>
          <w:b/>
          <w:szCs w:val="22"/>
        </w:rPr>
      </w:pPr>
      <w:r w:rsidRPr="00A66D81">
        <w:rPr>
          <w:b/>
          <w:szCs w:val="22"/>
        </w:rPr>
        <w:t xml:space="preserve">2 letter strings </w:t>
      </w:r>
    </w:p>
    <w:p w14:paraId="14DFB8F7" w14:textId="77777777" w:rsidR="00E6108B" w:rsidRPr="00A66D81" w:rsidRDefault="00E6108B">
      <w:pPr>
        <w:rPr>
          <w:szCs w:val="22"/>
        </w:rPr>
      </w:pPr>
    </w:p>
    <w:p w14:paraId="393E0959" w14:textId="2BBCA291" w:rsidR="00477912" w:rsidRDefault="00477912" w:rsidP="003F7C39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ISO 3166-1 alpha 2 list determines the eligibility of a two-letter code as a ccTLD and / or IDN ccTLD. This list is not managed by ICANN or the SOs and ACs. </w:t>
      </w:r>
    </w:p>
    <w:p w14:paraId="60DD7368" w14:textId="77777777" w:rsidR="00D77772" w:rsidRDefault="00D77772" w:rsidP="00D77772">
      <w:pPr>
        <w:pStyle w:val="ListParagraph"/>
        <w:numPr>
          <w:ilvl w:val="0"/>
          <w:numId w:val="1"/>
        </w:numPr>
        <w:rPr>
          <w:szCs w:val="22"/>
        </w:rPr>
      </w:pPr>
      <w:proofErr w:type="gramStart"/>
      <w:r w:rsidRPr="00A66D81">
        <w:rPr>
          <w:szCs w:val="22"/>
        </w:rPr>
        <w:t>the</w:t>
      </w:r>
      <w:proofErr w:type="gramEnd"/>
      <w:r w:rsidRPr="00A66D81">
        <w:rPr>
          <w:szCs w:val="22"/>
        </w:rPr>
        <w:t xml:space="preserve"> ISO</w:t>
      </w:r>
      <w:r>
        <w:rPr>
          <w:szCs w:val="22"/>
        </w:rPr>
        <w:t xml:space="preserve"> 3166-1 alpha 2 code</w:t>
      </w:r>
      <w:r w:rsidRPr="00A66D81">
        <w:rPr>
          <w:szCs w:val="22"/>
        </w:rPr>
        <w:t xml:space="preserve"> list is not static and subject to changes as new countries/territories are recognized and other cease to exist</w:t>
      </w:r>
      <w:r>
        <w:rPr>
          <w:szCs w:val="22"/>
        </w:rPr>
        <w:t>.</w:t>
      </w:r>
    </w:p>
    <w:p w14:paraId="65C79C8B" w14:textId="1BF9734D" w:rsidR="00230F7F" w:rsidRPr="003F7C39" w:rsidRDefault="00230F7F" w:rsidP="003F7C39">
      <w:pPr>
        <w:pStyle w:val="ListParagraph"/>
        <w:numPr>
          <w:ilvl w:val="0"/>
          <w:numId w:val="1"/>
        </w:numPr>
        <w:rPr>
          <w:szCs w:val="22"/>
        </w:rPr>
      </w:pPr>
      <w:proofErr w:type="gramStart"/>
      <w:r w:rsidRPr="00A66D81">
        <w:rPr>
          <w:szCs w:val="22"/>
        </w:rPr>
        <w:t>the</w:t>
      </w:r>
      <w:proofErr w:type="gramEnd"/>
      <w:r w:rsidRPr="00A66D81">
        <w:rPr>
          <w:szCs w:val="22"/>
        </w:rPr>
        <w:t xml:space="preserve"> Applicant Guidebook </w:t>
      </w:r>
      <w:r w:rsidR="00044242" w:rsidRPr="00A66D81">
        <w:rPr>
          <w:szCs w:val="22"/>
        </w:rPr>
        <w:t xml:space="preserve">(AGB) </w:t>
      </w:r>
      <w:r w:rsidRPr="00A66D81">
        <w:rPr>
          <w:szCs w:val="22"/>
        </w:rPr>
        <w:t xml:space="preserve">states: </w:t>
      </w:r>
      <w:r w:rsidRPr="00A66D81">
        <w:rPr>
          <w:rFonts w:cs="Times New Roman"/>
          <w:szCs w:val="22"/>
        </w:rPr>
        <w:t>Applied-for gTLD strings in ASCII must be composed</w:t>
      </w:r>
      <w:r w:rsidR="00A0148E" w:rsidRPr="00A66D81">
        <w:rPr>
          <w:rFonts w:cs="Times New Roman"/>
          <w:szCs w:val="22"/>
        </w:rPr>
        <w:t xml:space="preserve"> </w:t>
      </w:r>
      <w:r w:rsidRPr="00A66D81">
        <w:rPr>
          <w:rFonts w:cs="Times New Roman"/>
          <w:szCs w:val="22"/>
        </w:rPr>
        <w:t>of three or more visually distinct characters. Two</w:t>
      </w:r>
      <w:r w:rsidR="003F7C39">
        <w:rPr>
          <w:rFonts w:cs="Times New Roman"/>
          <w:szCs w:val="22"/>
        </w:rPr>
        <w:t xml:space="preserve"> </w:t>
      </w:r>
      <w:r w:rsidRPr="00A66D81">
        <w:rPr>
          <w:rFonts w:cs="Times New Roman"/>
          <w:szCs w:val="22"/>
        </w:rPr>
        <w:t>character</w:t>
      </w:r>
      <w:r w:rsidR="00A0148E" w:rsidRPr="00A66D81">
        <w:rPr>
          <w:rFonts w:cs="Times New Roman"/>
          <w:szCs w:val="22"/>
        </w:rPr>
        <w:t xml:space="preserve"> </w:t>
      </w:r>
      <w:r w:rsidRPr="00A66D81">
        <w:rPr>
          <w:rFonts w:cs="Times New Roman"/>
          <w:szCs w:val="22"/>
        </w:rPr>
        <w:t>ASCII strings are not permitted, to avoid</w:t>
      </w:r>
      <w:r w:rsidR="00A0148E" w:rsidRPr="00A66D81">
        <w:rPr>
          <w:rFonts w:cs="Times New Roman"/>
          <w:szCs w:val="22"/>
        </w:rPr>
        <w:t xml:space="preserve"> </w:t>
      </w:r>
      <w:r w:rsidRPr="00A66D81">
        <w:rPr>
          <w:rFonts w:cs="Times New Roman"/>
          <w:szCs w:val="22"/>
        </w:rPr>
        <w:t>conflicting with current and future country codes</w:t>
      </w:r>
      <w:r w:rsidR="003F7C39">
        <w:rPr>
          <w:rFonts w:cs="Times New Roman"/>
          <w:szCs w:val="22"/>
        </w:rPr>
        <w:t xml:space="preserve"> </w:t>
      </w:r>
      <w:r w:rsidRPr="003F7C39">
        <w:rPr>
          <w:rFonts w:cs="Times New Roman"/>
          <w:szCs w:val="22"/>
        </w:rPr>
        <w:t>based on the ISO 3166-1 standard. (p.66)</w:t>
      </w:r>
    </w:p>
    <w:p w14:paraId="0AB333BB" w14:textId="77777777" w:rsidR="00E6108B" w:rsidRDefault="00E6108B" w:rsidP="00E6108B">
      <w:pPr>
        <w:rPr>
          <w:szCs w:val="22"/>
        </w:rPr>
      </w:pPr>
    </w:p>
    <w:p w14:paraId="4666FA6B" w14:textId="77777777" w:rsidR="00E6108B" w:rsidRPr="00A66D81" w:rsidRDefault="00E6108B" w:rsidP="00E6108B">
      <w:pPr>
        <w:rPr>
          <w:b/>
          <w:szCs w:val="22"/>
        </w:rPr>
      </w:pPr>
      <w:r w:rsidRPr="00A66D81">
        <w:rPr>
          <w:b/>
          <w:szCs w:val="22"/>
        </w:rPr>
        <w:t xml:space="preserve">3 letter strings </w:t>
      </w:r>
    </w:p>
    <w:p w14:paraId="77A1AFE9" w14:textId="77777777" w:rsidR="00B66461" w:rsidRPr="00A66D81" w:rsidRDefault="00B66461" w:rsidP="00E6108B">
      <w:pPr>
        <w:rPr>
          <w:szCs w:val="22"/>
        </w:rPr>
      </w:pPr>
    </w:p>
    <w:p w14:paraId="10E68412" w14:textId="5969FBDB" w:rsidR="00E6108B" w:rsidRDefault="00D77772" w:rsidP="00230F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2"/>
        </w:rPr>
      </w:pPr>
      <w:r>
        <w:rPr>
          <w:szCs w:val="22"/>
        </w:rPr>
        <w:t xml:space="preserve">Once again, three-letter country codes are defined by </w:t>
      </w:r>
      <w:r w:rsidR="00B66461" w:rsidRPr="00A66D81">
        <w:rPr>
          <w:szCs w:val="22"/>
        </w:rPr>
        <w:t xml:space="preserve">ISO 3166-1 </w:t>
      </w:r>
      <w:r>
        <w:rPr>
          <w:szCs w:val="22"/>
        </w:rPr>
        <w:t>(</w:t>
      </w:r>
      <w:r w:rsidR="004E306D" w:rsidRPr="00A66D81">
        <w:rPr>
          <w:szCs w:val="22"/>
        </w:rPr>
        <w:t>alpha 3</w:t>
      </w:r>
      <w:r>
        <w:rPr>
          <w:szCs w:val="22"/>
        </w:rPr>
        <w:t>). This is expressly acknowledged in the</w:t>
      </w:r>
      <w:r w:rsidR="004E306D" w:rsidRPr="00A66D81">
        <w:rPr>
          <w:szCs w:val="22"/>
        </w:rPr>
        <w:t xml:space="preserve"> </w:t>
      </w:r>
      <w:r w:rsidR="001622AF" w:rsidRPr="00A66D81">
        <w:rPr>
          <w:szCs w:val="22"/>
        </w:rPr>
        <w:t>Applicant Guidebook</w:t>
      </w:r>
      <w:r w:rsidR="00230F7F" w:rsidRPr="00A66D81">
        <w:rPr>
          <w:szCs w:val="22"/>
        </w:rPr>
        <w:t xml:space="preserve">: </w:t>
      </w:r>
      <w:r w:rsidR="00230F7F" w:rsidRPr="00A66D81">
        <w:rPr>
          <w:rFonts w:cs="Times New Roman"/>
          <w:szCs w:val="22"/>
        </w:rPr>
        <w:t>A string shall be considered to be a c</w:t>
      </w:r>
      <w:r w:rsidR="00A66D81" w:rsidRPr="00A66D81">
        <w:rPr>
          <w:rFonts w:cs="Times New Roman"/>
          <w:szCs w:val="22"/>
        </w:rPr>
        <w:t xml:space="preserve">ountry or territory name* ‘if </w:t>
      </w:r>
      <w:r w:rsidR="00230F7F" w:rsidRPr="00A66D81">
        <w:rPr>
          <w:rFonts w:cs="Times New Roman"/>
          <w:szCs w:val="22"/>
        </w:rPr>
        <w:t>it is an alpha-3 code listed in the ISO 3166-1 standard.</w:t>
      </w:r>
      <w:r w:rsidR="00A66D81" w:rsidRPr="00A66D81">
        <w:rPr>
          <w:rFonts w:cs="Times New Roman"/>
          <w:szCs w:val="22"/>
        </w:rPr>
        <w:t>’</w:t>
      </w:r>
      <w:r w:rsidR="00230F7F" w:rsidRPr="00A66D81">
        <w:rPr>
          <w:rFonts w:cs="Times New Roman"/>
          <w:szCs w:val="22"/>
        </w:rPr>
        <w:t xml:space="preserve"> (p.67)</w:t>
      </w:r>
    </w:p>
    <w:p w14:paraId="312C7A1F" w14:textId="20A58631" w:rsidR="007F2853" w:rsidRPr="00A66D81" w:rsidRDefault="007F2853" w:rsidP="00230F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The alpha 3 </w:t>
      </w:r>
      <w:proofErr w:type="gramStart"/>
      <w:r>
        <w:rPr>
          <w:rFonts w:cs="Times New Roman"/>
          <w:szCs w:val="22"/>
        </w:rPr>
        <w:t>list</w:t>
      </w:r>
      <w:proofErr w:type="gramEnd"/>
      <w:r>
        <w:rPr>
          <w:rFonts w:cs="Times New Roman"/>
          <w:szCs w:val="22"/>
        </w:rPr>
        <w:t xml:space="preserve"> is </w:t>
      </w:r>
      <w:r w:rsidR="00496CED">
        <w:rPr>
          <w:rFonts w:cs="Times New Roman"/>
          <w:szCs w:val="22"/>
        </w:rPr>
        <w:t>also dynamic</w:t>
      </w:r>
      <w:r>
        <w:rPr>
          <w:rFonts w:cs="Times New Roman"/>
          <w:szCs w:val="22"/>
        </w:rPr>
        <w:t xml:space="preserve"> – as it is derived from </w:t>
      </w:r>
      <w:r w:rsidR="00496CED">
        <w:rPr>
          <w:rFonts w:cs="Times New Roman"/>
          <w:szCs w:val="22"/>
        </w:rPr>
        <w:t xml:space="preserve">changes to </w:t>
      </w:r>
      <w:r>
        <w:rPr>
          <w:rFonts w:cs="Times New Roman"/>
          <w:szCs w:val="22"/>
        </w:rPr>
        <w:t>the alpha 2 code list.</w:t>
      </w:r>
    </w:p>
    <w:p w14:paraId="48E738B0" w14:textId="77777777" w:rsidR="007F2853" w:rsidRDefault="007F2853" w:rsidP="00B664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>Historical anomalies exist:</w:t>
      </w:r>
    </w:p>
    <w:p w14:paraId="07727AB0" w14:textId="77777777" w:rsidR="007F2853" w:rsidRDefault="00D77772" w:rsidP="007F285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>.</w:t>
      </w:r>
      <w:r w:rsidR="00230F7F" w:rsidRPr="00A66D81">
        <w:rPr>
          <w:rFonts w:cs="Times New Roman"/>
          <w:szCs w:val="22"/>
        </w:rPr>
        <w:t>com is part</w:t>
      </w:r>
      <w:r w:rsidR="00B66461" w:rsidRPr="00A66D81">
        <w:rPr>
          <w:rFonts w:cs="Times New Roman"/>
          <w:szCs w:val="22"/>
        </w:rPr>
        <w:t xml:space="preserve"> of the alpha 3 list (Comor</w:t>
      </w:r>
      <w:r>
        <w:rPr>
          <w:rFonts w:cs="Times New Roman"/>
          <w:szCs w:val="22"/>
        </w:rPr>
        <w:t>o</w:t>
      </w:r>
      <w:r w:rsidR="00B66461" w:rsidRPr="00A66D81">
        <w:rPr>
          <w:rFonts w:cs="Times New Roman"/>
          <w:szCs w:val="22"/>
        </w:rPr>
        <w:t>s)</w:t>
      </w:r>
    </w:p>
    <w:p w14:paraId="2877A5EC" w14:textId="7EEF73CD" w:rsidR="00A65346" w:rsidRPr="007F2853" w:rsidRDefault="00F11674" w:rsidP="007F285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 New Roman"/>
          <w:szCs w:val="22"/>
        </w:rPr>
      </w:pPr>
      <w:proofErr w:type="gramStart"/>
      <w:r w:rsidRPr="007F2853">
        <w:rPr>
          <w:rFonts w:cs="Times New Roman"/>
          <w:szCs w:val="22"/>
        </w:rPr>
        <w:t>some</w:t>
      </w:r>
      <w:proofErr w:type="gramEnd"/>
      <w:r w:rsidRPr="007F2853">
        <w:rPr>
          <w:rFonts w:cs="Times New Roman"/>
          <w:szCs w:val="22"/>
        </w:rPr>
        <w:t xml:space="preserve"> alpha 3 strings are protected </w:t>
      </w:r>
      <w:r w:rsidR="000403D5" w:rsidRPr="007F2853">
        <w:rPr>
          <w:rFonts w:cs="Times New Roman"/>
          <w:szCs w:val="22"/>
        </w:rPr>
        <w:t xml:space="preserve">in the applicant guidebook for reasons other than their </w:t>
      </w:r>
      <w:bookmarkStart w:id="0" w:name="_GoBack"/>
      <w:bookmarkEnd w:id="0"/>
      <w:r w:rsidR="000403D5" w:rsidRPr="007F2853">
        <w:rPr>
          <w:rFonts w:cs="Times New Roman"/>
          <w:szCs w:val="22"/>
        </w:rPr>
        <w:t>appearance in the ISO list (.</w:t>
      </w:r>
      <w:proofErr w:type="spellStart"/>
      <w:r w:rsidR="00045272">
        <w:rPr>
          <w:rFonts w:cs="Times New Roman"/>
          <w:szCs w:val="22"/>
        </w:rPr>
        <w:t>nic</w:t>
      </w:r>
      <w:proofErr w:type="spellEnd"/>
      <w:r w:rsidR="000403D5" w:rsidRPr="007F2853">
        <w:rPr>
          <w:rFonts w:cs="Times New Roman"/>
          <w:szCs w:val="22"/>
        </w:rPr>
        <w:t>)</w:t>
      </w:r>
    </w:p>
    <w:p w14:paraId="11250D9A" w14:textId="77777777" w:rsidR="00B66461" w:rsidRDefault="00A65346" w:rsidP="00B664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2"/>
        </w:rPr>
      </w:pPr>
      <w:r w:rsidRPr="00A66D81">
        <w:rPr>
          <w:rFonts w:cs="Times New Roman"/>
          <w:szCs w:val="22"/>
        </w:rPr>
        <w:t>there is no consistency between ASCII and IDN three-letter strings</w:t>
      </w:r>
    </w:p>
    <w:p w14:paraId="4C9E06A7" w14:textId="77777777" w:rsidR="00A65346" w:rsidRPr="00A66D81" w:rsidRDefault="00A65346" w:rsidP="000403D5">
      <w:pPr>
        <w:widowControl w:val="0"/>
        <w:autoSpaceDE w:val="0"/>
        <w:autoSpaceDN w:val="0"/>
        <w:adjustRightInd w:val="0"/>
        <w:rPr>
          <w:rFonts w:cs="Times New Roman"/>
          <w:szCs w:val="22"/>
        </w:rPr>
      </w:pPr>
    </w:p>
    <w:p w14:paraId="65721579" w14:textId="77777777" w:rsidR="000403D5" w:rsidRPr="00A66D81" w:rsidRDefault="000403D5" w:rsidP="000403D5">
      <w:pPr>
        <w:widowControl w:val="0"/>
        <w:autoSpaceDE w:val="0"/>
        <w:autoSpaceDN w:val="0"/>
        <w:adjustRightInd w:val="0"/>
        <w:rPr>
          <w:rFonts w:cs="Times New Roman"/>
          <w:b/>
          <w:szCs w:val="22"/>
        </w:rPr>
      </w:pPr>
      <w:r w:rsidRPr="00A66D81">
        <w:rPr>
          <w:rFonts w:cs="Times New Roman"/>
          <w:b/>
          <w:szCs w:val="22"/>
        </w:rPr>
        <w:t>Long and short form names of countries and territories</w:t>
      </w:r>
    </w:p>
    <w:p w14:paraId="64AEB6DF" w14:textId="77777777" w:rsidR="00B66461" w:rsidRPr="00A66D81" w:rsidRDefault="00B66461" w:rsidP="00230F7F">
      <w:pPr>
        <w:rPr>
          <w:rFonts w:cs="Times New Roman"/>
          <w:szCs w:val="22"/>
        </w:rPr>
      </w:pPr>
    </w:p>
    <w:p w14:paraId="1DAA62C7" w14:textId="5543B2F9" w:rsidR="00044242" w:rsidRPr="00A66D81" w:rsidRDefault="00044242" w:rsidP="00044242">
      <w:pPr>
        <w:pStyle w:val="ListParagraph"/>
        <w:numPr>
          <w:ilvl w:val="0"/>
          <w:numId w:val="1"/>
        </w:numPr>
        <w:rPr>
          <w:rFonts w:cs="Times New Roman"/>
          <w:szCs w:val="22"/>
        </w:rPr>
      </w:pPr>
      <w:r w:rsidRPr="00A66D81">
        <w:rPr>
          <w:rFonts w:cs="Times New Roman"/>
          <w:szCs w:val="22"/>
        </w:rPr>
        <w:t xml:space="preserve">Currently the AGB prohibits applications for country/territory names in </w:t>
      </w:r>
      <w:r w:rsidR="00496CED">
        <w:rPr>
          <w:rFonts w:cs="Times New Roman"/>
          <w:szCs w:val="22"/>
        </w:rPr>
        <w:t>“</w:t>
      </w:r>
      <w:r w:rsidRPr="00A66D81">
        <w:rPr>
          <w:rFonts w:cs="Times New Roman"/>
          <w:szCs w:val="22"/>
        </w:rPr>
        <w:t>all languages</w:t>
      </w:r>
      <w:r w:rsidR="00496CED">
        <w:rPr>
          <w:rFonts w:cs="Times New Roman"/>
          <w:szCs w:val="22"/>
        </w:rPr>
        <w:t>”</w:t>
      </w:r>
      <w:r w:rsidRPr="00A66D81">
        <w:rPr>
          <w:rFonts w:cs="Times New Roman"/>
          <w:szCs w:val="22"/>
        </w:rPr>
        <w:t xml:space="preserve">. </w:t>
      </w:r>
    </w:p>
    <w:p w14:paraId="7861885F" w14:textId="77777777" w:rsidR="009242F8" w:rsidRDefault="00496CED" w:rsidP="00044242">
      <w:pPr>
        <w:pStyle w:val="ListParagraph"/>
        <w:numPr>
          <w:ilvl w:val="0"/>
          <w:numId w:val="1"/>
        </w:numPr>
        <w:rPr>
          <w:rFonts w:cs="Times New Roman"/>
          <w:szCs w:val="22"/>
        </w:rPr>
      </w:pPr>
      <w:r>
        <w:rPr>
          <w:rFonts w:cs="Times New Roman"/>
          <w:szCs w:val="22"/>
        </w:rPr>
        <w:t>Although definitions vary, t</w:t>
      </w:r>
      <w:r w:rsidR="00044242" w:rsidRPr="00A66D81">
        <w:rPr>
          <w:rFonts w:cs="Times New Roman"/>
          <w:szCs w:val="22"/>
        </w:rPr>
        <w:t xml:space="preserve">here are </w:t>
      </w:r>
      <w:r>
        <w:rPr>
          <w:rFonts w:cs="Times New Roman"/>
          <w:szCs w:val="22"/>
        </w:rPr>
        <w:t>approximately</w:t>
      </w:r>
      <w:r w:rsidR="00044242" w:rsidRPr="00A66D81">
        <w:rPr>
          <w:rFonts w:cs="Times New Roman"/>
          <w:szCs w:val="22"/>
        </w:rPr>
        <w:t xml:space="preserve"> 7000 languages</w:t>
      </w:r>
      <w:r w:rsidR="00CB5504">
        <w:rPr>
          <w:rFonts w:cs="Times New Roman"/>
          <w:szCs w:val="22"/>
        </w:rPr>
        <w:t xml:space="preserve"> and over 250 </w:t>
      </w:r>
      <w:proofErr w:type="spellStart"/>
      <w:r w:rsidR="00CB5504">
        <w:rPr>
          <w:rFonts w:cs="Times New Roman"/>
          <w:szCs w:val="22"/>
        </w:rPr>
        <w:t>ccTLDs</w:t>
      </w:r>
      <w:proofErr w:type="spellEnd"/>
      <w:r w:rsidR="00CB5504">
        <w:rPr>
          <w:rFonts w:cs="Times New Roman"/>
          <w:szCs w:val="22"/>
        </w:rPr>
        <w:t xml:space="preserve">, </w:t>
      </w:r>
      <w:r w:rsidR="003F7C39">
        <w:rPr>
          <w:rFonts w:cs="Times New Roman"/>
          <w:szCs w:val="22"/>
        </w:rPr>
        <w:t xml:space="preserve">– making </w:t>
      </w:r>
      <w:r w:rsidR="00044242" w:rsidRPr="00A66D81">
        <w:rPr>
          <w:rFonts w:cs="Times New Roman"/>
          <w:szCs w:val="22"/>
        </w:rPr>
        <w:t>this rule</w:t>
      </w:r>
      <w:r w:rsidR="00CB5504">
        <w:rPr>
          <w:rFonts w:cs="Times New Roman"/>
          <w:szCs w:val="22"/>
        </w:rPr>
        <w:t xml:space="preserve"> un-</w:t>
      </w:r>
      <w:r w:rsidR="00044242" w:rsidRPr="00A66D81">
        <w:rPr>
          <w:rFonts w:cs="Times New Roman"/>
          <w:szCs w:val="22"/>
        </w:rPr>
        <w:t>enforceable</w:t>
      </w:r>
      <w:r w:rsidR="00CB5504">
        <w:rPr>
          <w:rFonts w:cs="Times New Roman"/>
          <w:szCs w:val="22"/>
        </w:rPr>
        <w:t xml:space="preserve"> except through </w:t>
      </w:r>
      <w:r w:rsidR="00044242" w:rsidRPr="00A66D81">
        <w:rPr>
          <w:rFonts w:cs="Times New Roman"/>
          <w:szCs w:val="22"/>
        </w:rPr>
        <w:t>case-by-case examination</w:t>
      </w:r>
      <w:r w:rsidR="009242F8">
        <w:rPr>
          <w:rFonts w:cs="Times New Roman"/>
          <w:szCs w:val="22"/>
        </w:rPr>
        <w:t>.</w:t>
      </w:r>
    </w:p>
    <w:p w14:paraId="42CA28E9" w14:textId="77777777" w:rsidR="009242F8" w:rsidRDefault="009242F8" w:rsidP="009242F8">
      <w:pPr>
        <w:pStyle w:val="ListParagraph"/>
        <w:numPr>
          <w:ilvl w:val="0"/>
          <w:numId w:val="1"/>
        </w:numPr>
        <w:rPr>
          <w:rFonts w:cs="Times New Roman"/>
          <w:szCs w:val="22"/>
        </w:rPr>
      </w:pPr>
      <w:r>
        <w:rPr>
          <w:rFonts w:cs="Times New Roman"/>
          <w:szCs w:val="22"/>
        </w:rPr>
        <w:t>Different organizations have different definitions of the world’s country and territories – and therefore maintain different lists. Which one is authoritative?</w:t>
      </w:r>
      <w:r w:rsidRPr="003F7C39">
        <w:rPr>
          <w:rFonts w:cs="Times New Roman"/>
          <w:szCs w:val="22"/>
        </w:rPr>
        <w:t xml:space="preserve"> </w:t>
      </w:r>
    </w:p>
    <w:p w14:paraId="2C9C36FF" w14:textId="60905A58" w:rsidR="00044242" w:rsidRPr="00A66D81" w:rsidRDefault="009242F8" w:rsidP="00044242">
      <w:pPr>
        <w:pStyle w:val="ListParagraph"/>
        <w:numPr>
          <w:ilvl w:val="0"/>
          <w:numId w:val="1"/>
        </w:numPr>
        <w:rPr>
          <w:rFonts w:cs="Times New Roman"/>
          <w:szCs w:val="22"/>
        </w:rPr>
      </w:pPr>
      <w:r>
        <w:rPr>
          <w:rFonts w:cs="Times New Roman"/>
          <w:szCs w:val="22"/>
        </w:rPr>
        <w:t>T</w:t>
      </w:r>
      <w:r w:rsidR="00CB5504">
        <w:rPr>
          <w:rFonts w:cs="Times New Roman"/>
          <w:szCs w:val="22"/>
        </w:rPr>
        <w:t>his results in unpredictability for both applicants and national stakeholders.</w:t>
      </w:r>
      <w:r>
        <w:rPr>
          <w:rFonts w:cs="Times New Roman"/>
          <w:szCs w:val="22"/>
        </w:rPr>
        <w:t xml:space="preserve"> Outcomes are not consistent, depending upon the language and script used, and current limitations of policy and definition.</w:t>
      </w:r>
    </w:p>
    <w:p w14:paraId="367A2DCA" w14:textId="2E28112D" w:rsidR="00230F7F" w:rsidRPr="009242F8" w:rsidRDefault="00044242" w:rsidP="00230F7F">
      <w:pPr>
        <w:pStyle w:val="ListParagraph"/>
        <w:numPr>
          <w:ilvl w:val="0"/>
          <w:numId w:val="1"/>
        </w:numPr>
        <w:rPr>
          <w:rFonts w:cs="Times New Roman"/>
          <w:szCs w:val="22"/>
        </w:rPr>
      </w:pPr>
      <w:r w:rsidRPr="00A66D81">
        <w:rPr>
          <w:rFonts w:cs="Times New Roman"/>
          <w:szCs w:val="22"/>
        </w:rPr>
        <w:t xml:space="preserve">Country short forms and local names add to the overall number and make it difficult to define what makes a country/territory name – e.g. combined Armenia has </w:t>
      </w:r>
      <w:r w:rsidR="009242F8">
        <w:rPr>
          <w:rFonts w:cs="Times New Roman"/>
          <w:szCs w:val="22"/>
        </w:rPr>
        <w:t>10 current and historical names.</w:t>
      </w:r>
    </w:p>
    <w:p w14:paraId="6CA83291" w14:textId="77777777" w:rsidR="003F7C39" w:rsidRDefault="003F7C39" w:rsidP="00230F7F">
      <w:pPr>
        <w:rPr>
          <w:rFonts w:cs="Times New Roman"/>
          <w:szCs w:val="22"/>
        </w:rPr>
      </w:pPr>
    </w:p>
    <w:p w14:paraId="0BA8D11A" w14:textId="77777777" w:rsidR="003F7C39" w:rsidRPr="00A66D81" w:rsidRDefault="003F7C39" w:rsidP="00230F7F">
      <w:pPr>
        <w:rPr>
          <w:rFonts w:cs="Times New Roman"/>
          <w:szCs w:val="22"/>
        </w:rPr>
      </w:pPr>
    </w:p>
    <w:p w14:paraId="666A7FA0" w14:textId="77777777" w:rsidR="00230F7F" w:rsidRPr="00A66D81" w:rsidRDefault="00230F7F" w:rsidP="00A66D81">
      <w:pPr>
        <w:widowControl w:val="0"/>
        <w:autoSpaceDE w:val="0"/>
        <w:autoSpaceDN w:val="0"/>
        <w:adjustRightInd w:val="0"/>
        <w:rPr>
          <w:szCs w:val="22"/>
        </w:rPr>
      </w:pPr>
      <w:r w:rsidRPr="00A66D81">
        <w:rPr>
          <w:rFonts w:cs="Times New Roman"/>
          <w:szCs w:val="22"/>
        </w:rPr>
        <w:t>* Applications for strings that are country or territory names</w:t>
      </w:r>
      <w:r w:rsidR="00A66D81">
        <w:rPr>
          <w:rFonts w:cs="Times New Roman"/>
          <w:szCs w:val="22"/>
        </w:rPr>
        <w:t xml:space="preserve"> </w:t>
      </w:r>
      <w:r w:rsidRPr="00A66D81">
        <w:rPr>
          <w:rFonts w:cs="Times New Roman"/>
          <w:szCs w:val="22"/>
        </w:rPr>
        <w:t>will not be approved, as they are not available under the</w:t>
      </w:r>
      <w:r w:rsidR="00A66D81">
        <w:rPr>
          <w:rFonts w:cs="Times New Roman"/>
          <w:szCs w:val="22"/>
        </w:rPr>
        <w:t xml:space="preserve"> </w:t>
      </w:r>
      <w:proofErr w:type="gramStart"/>
      <w:r w:rsidRPr="00A66D81">
        <w:rPr>
          <w:rFonts w:cs="Times New Roman"/>
          <w:szCs w:val="22"/>
        </w:rPr>
        <w:t>New</w:t>
      </w:r>
      <w:proofErr w:type="gramEnd"/>
      <w:r w:rsidRPr="00A66D81">
        <w:rPr>
          <w:rFonts w:cs="Times New Roman"/>
          <w:szCs w:val="22"/>
        </w:rPr>
        <w:t xml:space="preserve"> gTLD Program in this application round (AGB p. 67)</w:t>
      </w:r>
    </w:p>
    <w:sectPr w:rsidR="00230F7F" w:rsidRPr="00A66D81" w:rsidSect="00605C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1B96"/>
    <w:multiLevelType w:val="hybridMultilevel"/>
    <w:tmpl w:val="DB7841FE"/>
    <w:lvl w:ilvl="0" w:tplc="82EE8A0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8B"/>
    <w:rsid w:val="00006023"/>
    <w:rsid w:val="000403D5"/>
    <w:rsid w:val="00044242"/>
    <w:rsid w:val="00045272"/>
    <w:rsid w:val="000534A4"/>
    <w:rsid w:val="000D1D9C"/>
    <w:rsid w:val="001622AF"/>
    <w:rsid w:val="00230F7F"/>
    <w:rsid w:val="003F7C39"/>
    <w:rsid w:val="00450C5C"/>
    <w:rsid w:val="00477912"/>
    <w:rsid w:val="00480979"/>
    <w:rsid w:val="00496CED"/>
    <w:rsid w:val="004E306D"/>
    <w:rsid w:val="00605C1E"/>
    <w:rsid w:val="007F2853"/>
    <w:rsid w:val="009242F8"/>
    <w:rsid w:val="009B2120"/>
    <w:rsid w:val="009D6ADA"/>
    <w:rsid w:val="00A0148E"/>
    <w:rsid w:val="00A65346"/>
    <w:rsid w:val="00A66D81"/>
    <w:rsid w:val="00B45D53"/>
    <w:rsid w:val="00B66461"/>
    <w:rsid w:val="00CB5504"/>
    <w:rsid w:val="00CF3120"/>
    <w:rsid w:val="00D335D5"/>
    <w:rsid w:val="00D3638A"/>
    <w:rsid w:val="00D77772"/>
    <w:rsid w:val="00E6108B"/>
    <w:rsid w:val="00F11674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03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1A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0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0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5D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1A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0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0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5D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cnso.icann.org/workinggroups/unct-final-08sep12-en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HOFFMANN</dc:creator>
  <cp:lastModifiedBy>Lars HOFFMANN</cp:lastModifiedBy>
  <cp:revision>3</cp:revision>
  <cp:lastPrinted>2015-01-12T01:15:00Z</cp:lastPrinted>
  <dcterms:created xsi:type="dcterms:W3CDTF">2015-01-13T10:45:00Z</dcterms:created>
  <dcterms:modified xsi:type="dcterms:W3CDTF">2015-01-13T10:56:00Z</dcterms:modified>
</cp:coreProperties>
</file>