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1AF2" w14:textId="77777777" w:rsidR="0057034C" w:rsidRPr="007B1520" w:rsidRDefault="0057034C" w:rsidP="0057034C">
      <w:pPr>
        <w:rPr>
          <w:b/>
          <w:sz w:val="26"/>
          <w:szCs w:val="26"/>
        </w:rPr>
      </w:pPr>
      <w:r w:rsidRPr="007B1520">
        <w:rPr>
          <w:b/>
          <w:sz w:val="26"/>
          <w:szCs w:val="26"/>
        </w:rPr>
        <w:t>Cross Community Working Group on the Use of Country and Territory Names as top-level domains</w:t>
      </w:r>
    </w:p>
    <w:p w14:paraId="1EA38138" w14:textId="635E3247" w:rsidR="0057034C" w:rsidRPr="007B1520" w:rsidRDefault="0057034C" w:rsidP="0057034C">
      <w:pPr>
        <w:rPr>
          <w:sz w:val="24"/>
        </w:rPr>
      </w:pPr>
      <w:r w:rsidRPr="007B1520">
        <w:rPr>
          <w:sz w:val="24"/>
        </w:rPr>
        <w:t xml:space="preserve">Overview of Responses on 3-character codes – Question </w:t>
      </w:r>
      <w:r>
        <w:rPr>
          <w:sz w:val="24"/>
        </w:rPr>
        <w:t xml:space="preserve">5-7 (as of 12 November </w:t>
      </w:r>
      <w:bookmarkStart w:id="0" w:name="_GoBack"/>
      <w:bookmarkEnd w:id="0"/>
      <w:r w:rsidRPr="007B1520">
        <w:rPr>
          <w:sz w:val="24"/>
        </w:rPr>
        <w:t>2015)</w:t>
      </w:r>
    </w:p>
    <w:p w14:paraId="2E749E7E" w14:textId="77777777" w:rsidR="0057034C" w:rsidRDefault="0057034C"/>
    <w:tbl>
      <w:tblPr>
        <w:tblStyle w:val="TableGrid"/>
        <w:tblW w:w="14176" w:type="dxa"/>
        <w:tblLook w:val="04A0" w:firstRow="1" w:lastRow="0" w:firstColumn="1" w:lastColumn="0" w:noHBand="0" w:noVBand="1"/>
      </w:tblPr>
      <w:tblGrid>
        <w:gridCol w:w="3303"/>
        <w:gridCol w:w="3649"/>
        <w:gridCol w:w="3649"/>
        <w:gridCol w:w="3575"/>
      </w:tblGrid>
      <w:tr w:rsidR="00017540" w:rsidRPr="00DB066C" w14:paraId="74EF54D1" w14:textId="77777777" w:rsidTr="00017540">
        <w:trPr>
          <w:trHeight w:val="269"/>
        </w:trPr>
        <w:tc>
          <w:tcPr>
            <w:tcW w:w="3303" w:type="dxa"/>
          </w:tcPr>
          <w:p w14:paraId="72E552F9" w14:textId="77777777" w:rsidR="00017540" w:rsidRPr="00DB066C" w:rsidRDefault="00017540" w:rsidP="0086473A">
            <w:pPr>
              <w:rPr>
                <w:rFonts w:ascii="Source Sans Pro" w:hAnsi="Source Sans Pro"/>
                <w:i/>
                <w:sz w:val="21"/>
                <w:szCs w:val="21"/>
              </w:rPr>
            </w:pPr>
          </w:p>
        </w:tc>
        <w:tc>
          <w:tcPr>
            <w:tcW w:w="3649" w:type="dxa"/>
          </w:tcPr>
          <w:p w14:paraId="62AD1B68" w14:textId="789A6C8D" w:rsidR="00017540" w:rsidRPr="00DB066C" w:rsidRDefault="00884F81" w:rsidP="0086473A">
            <w:pPr>
              <w:widowControl w:val="0"/>
              <w:autoSpaceDE w:val="0"/>
              <w:autoSpaceDN w:val="0"/>
              <w:adjustRightInd w:val="0"/>
              <w:rPr>
                <w:rFonts w:ascii="Source Sans Pro" w:hAnsi="Source Sans Pro" w:cs="Cambria"/>
                <w:i/>
                <w:sz w:val="21"/>
                <w:szCs w:val="21"/>
              </w:rPr>
            </w:pPr>
            <w:r w:rsidRPr="00DB066C">
              <w:rPr>
                <w:rFonts w:ascii="Source Sans Pro" w:hAnsi="Source Sans Pro" w:cs="Arial"/>
                <w:i/>
                <w:sz w:val="21"/>
                <w:szCs w:val="21"/>
              </w:rPr>
              <w:t xml:space="preserve">5. </w:t>
            </w:r>
            <w:r w:rsidR="00017540" w:rsidRPr="00DB066C">
              <w:rPr>
                <w:rFonts w:ascii="Source Sans Pro" w:hAnsi="Source Sans Pro" w:cs="Arial"/>
                <w:i/>
                <w:sz w:val="21"/>
                <w:szCs w:val="21"/>
              </w:rPr>
              <w:t>In future, should all IDN three-character strings be reserved exclusively as ccTLDs and be ineligible as IDN gTLDs? What would be the advantage or disadvantage of such a policy?</w:t>
            </w:r>
          </w:p>
        </w:tc>
        <w:tc>
          <w:tcPr>
            <w:tcW w:w="3649" w:type="dxa"/>
          </w:tcPr>
          <w:p w14:paraId="260155DA" w14:textId="57436644"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6. </w:t>
            </w:r>
            <w:r w:rsidR="00017540" w:rsidRPr="00DB066C">
              <w:rPr>
                <w:rFonts w:ascii="Source Sans Pro" w:hAnsi="Source Sans Pro" w:cs="Arial"/>
                <w:i/>
                <w:sz w:val="21"/>
                <w:szCs w:val="21"/>
              </w:rPr>
              <w:t>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1C474358" w14:textId="4FB72115" w:rsidR="00017540" w:rsidRPr="00DB066C" w:rsidRDefault="00884F81" w:rsidP="0086473A">
            <w:pPr>
              <w:rPr>
                <w:rFonts w:ascii="Source Sans Pro" w:hAnsi="Source Sans Pro"/>
                <w:i/>
                <w:sz w:val="21"/>
                <w:szCs w:val="21"/>
              </w:rPr>
            </w:pPr>
            <w:r w:rsidRPr="00DB066C">
              <w:rPr>
                <w:rFonts w:ascii="Source Sans Pro" w:hAnsi="Source Sans Pro" w:cs="Arial"/>
                <w:i/>
                <w:sz w:val="21"/>
                <w:szCs w:val="21"/>
              </w:rPr>
              <w:t xml:space="preserve">7. </w:t>
            </w:r>
            <w:r w:rsidR="00017540" w:rsidRPr="00DB066C">
              <w:rPr>
                <w:rFonts w:ascii="Source Sans Pro" w:hAnsi="Source Sans Pro" w:cs="Arial"/>
                <w:i/>
                <w:sz w:val="21"/>
                <w:szCs w:val="21"/>
              </w:rPr>
              <w:t>Do you have any additional comments that may help the CWG-UCTN in its discussion on three-character strings as top-level domains?</w:t>
            </w:r>
          </w:p>
        </w:tc>
      </w:tr>
      <w:tr w:rsidR="00017540" w:rsidRPr="00DB066C" w14:paraId="0C716805" w14:textId="77777777" w:rsidTr="00017540">
        <w:trPr>
          <w:trHeight w:val="269"/>
        </w:trPr>
        <w:tc>
          <w:tcPr>
            <w:tcW w:w="3303" w:type="dxa"/>
          </w:tcPr>
          <w:p w14:paraId="1C95CB91"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Registry Stakeholder Group</w:t>
            </w:r>
          </w:p>
        </w:tc>
        <w:tc>
          <w:tcPr>
            <w:tcW w:w="3649" w:type="dxa"/>
          </w:tcPr>
          <w:p w14:paraId="39AF340C"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116C76F2"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Yes. This would provide greater choice of available strings, encouraging the expansion of IDN gTLDs.</w:t>
            </w:r>
          </w:p>
        </w:tc>
        <w:tc>
          <w:tcPr>
            <w:tcW w:w="3575" w:type="dxa"/>
          </w:tcPr>
          <w:p w14:paraId="091BD971" w14:textId="77777777" w:rsidR="00017540" w:rsidRPr="00DB066C" w:rsidRDefault="00F417E3" w:rsidP="0086473A">
            <w:pPr>
              <w:rPr>
                <w:rFonts w:ascii="Source Sans Pro" w:hAnsi="Source Sans Pro"/>
                <w:sz w:val="21"/>
                <w:szCs w:val="21"/>
              </w:rPr>
            </w:pPr>
            <w:r w:rsidRPr="00DB066C">
              <w:rPr>
                <w:rFonts w:ascii="Source Sans Pro" w:hAnsi="Source Sans Pro"/>
                <w:sz w:val="21"/>
                <w:szCs w:val="21"/>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017540" w:rsidRPr="00DB066C" w14:paraId="0CCD7B23" w14:textId="77777777" w:rsidTr="00017540">
        <w:trPr>
          <w:trHeight w:val="269"/>
        </w:trPr>
        <w:tc>
          <w:tcPr>
            <w:tcW w:w="3303" w:type="dxa"/>
          </w:tcPr>
          <w:p w14:paraId="75B0427B" w14:textId="77777777" w:rsidR="00017540" w:rsidRPr="00DB066C" w:rsidRDefault="00017540" w:rsidP="0086473A">
            <w:pPr>
              <w:rPr>
                <w:rFonts w:ascii="Source Sans Pro" w:hAnsi="Source Sans Pro"/>
                <w:b/>
                <w:sz w:val="21"/>
                <w:szCs w:val="21"/>
              </w:rPr>
            </w:pPr>
            <w:r w:rsidRPr="00DB066C">
              <w:rPr>
                <w:rFonts w:ascii="Source Sans Pro" w:hAnsi="Source Sans Pro"/>
                <w:b/>
                <w:sz w:val="21"/>
                <w:szCs w:val="21"/>
              </w:rPr>
              <w:t xml:space="preserve">GAC – Afghanistan </w:t>
            </w:r>
          </w:p>
        </w:tc>
        <w:tc>
          <w:tcPr>
            <w:tcW w:w="3649" w:type="dxa"/>
          </w:tcPr>
          <w:p w14:paraId="1D7E4890" w14:textId="77777777" w:rsidR="00275BD5" w:rsidRPr="00DB066C" w:rsidRDefault="00275BD5" w:rsidP="00275BD5">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It should be reserved only for ccTLDs.</w:t>
            </w:r>
          </w:p>
          <w:p w14:paraId="05F37182" w14:textId="77777777" w:rsidR="00017540" w:rsidRPr="00DB066C" w:rsidRDefault="00017540" w:rsidP="0086473A">
            <w:pPr>
              <w:rPr>
                <w:rFonts w:ascii="Source Sans Pro" w:hAnsi="Source Sans Pro"/>
                <w:sz w:val="21"/>
                <w:szCs w:val="21"/>
              </w:rPr>
            </w:pPr>
          </w:p>
        </w:tc>
        <w:tc>
          <w:tcPr>
            <w:tcW w:w="3649" w:type="dxa"/>
          </w:tcPr>
          <w:p w14:paraId="67562F69" w14:textId="487BEEB4" w:rsidR="00017540" w:rsidRPr="00DB066C" w:rsidRDefault="00275BD5" w:rsidP="006D778A">
            <w:pPr>
              <w:widowControl w:val="0"/>
              <w:autoSpaceDE w:val="0"/>
              <w:autoSpaceDN w:val="0"/>
              <w:adjustRightInd w:val="0"/>
              <w:rPr>
                <w:rFonts w:ascii="Source Sans Pro" w:hAnsi="Source Sans Pro" w:cs="Cambria"/>
                <w:sz w:val="21"/>
                <w:szCs w:val="21"/>
              </w:rPr>
            </w:pPr>
            <w:r w:rsidRPr="00DB066C">
              <w:rPr>
                <w:rFonts w:ascii="Source Sans Pro" w:hAnsi="Source Sans Pro" w:cs="Tahoma"/>
                <w:sz w:val="21"/>
                <w:szCs w:val="21"/>
              </w:rPr>
              <w:t>As long as it is not in conflict with existing alpha 3 codes from ISO 3166-1 list, they are good to proceed.</w:t>
            </w:r>
            <w:r w:rsidR="006D778A" w:rsidRPr="00DB066C">
              <w:rPr>
                <w:rFonts w:ascii="Source Sans Pro" w:hAnsi="Source Sans Pro" w:cs="Cambria"/>
                <w:sz w:val="21"/>
                <w:szCs w:val="21"/>
              </w:rPr>
              <w:t xml:space="preserve"> </w:t>
            </w:r>
            <w:r w:rsidRPr="00DB066C">
              <w:rPr>
                <w:rFonts w:ascii="Source Sans Pro" w:hAnsi="Source Sans Pro" w:cs="Tahoma"/>
                <w:sz w:val="21"/>
                <w:szCs w:val="21"/>
              </w:rPr>
              <w:t>The only advantage is that there will be more business opportunities for brands to register their names, but it should go through no objection process from governments and other authorities.</w:t>
            </w:r>
            <w:r w:rsidR="0079322E" w:rsidRPr="00DB066C">
              <w:rPr>
                <w:rFonts w:ascii="Source Sans Pro" w:hAnsi="Source Sans Pro" w:cs="Cambria"/>
                <w:sz w:val="21"/>
                <w:szCs w:val="21"/>
              </w:rPr>
              <w:t xml:space="preserve"> </w:t>
            </w:r>
            <w:r w:rsidRPr="00DB066C">
              <w:rPr>
                <w:rFonts w:ascii="Source Sans Pro" w:hAnsi="Source Sans Pro" w:cs="Tahoma"/>
                <w:sz w:val="21"/>
                <w:szCs w:val="21"/>
              </w:rPr>
              <w:t>Disadvantage would be the same (Confusion for users)</w:t>
            </w:r>
          </w:p>
        </w:tc>
        <w:tc>
          <w:tcPr>
            <w:tcW w:w="3575" w:type="dxa"/>
          </w:tcPr>
          <w:p w14:paraId="7065CF45" w14:textId="6BCAA2BF" w:rsidR="00017540" w:rsidRPr="00DB066C" w:rsidRDefault="00275BD5" w:rsidP="0086473A">
            <w:pPr>
              <w:rPr>
                <w:rFonts w:ascii="Source Sans Pro" w:hAnsi="Source Sans Pro"/>
                <w:sz w:val="21"/>
                <w:szCs w:val="21"/>
              </w:rPr>
            </w:pPr>
            <w:r w:rsidRPr="00DB066C">
              <w:rPr>
                <w:rFonts w:ascii="Source Sans Pro" w:hAnsi="Source Sans Pro"/>
                <w:sz w:val="21"/>
                <w:szCs w:val="21"/>
              </w:rPr>
              <w:t>No</w:t>
            </w:r>
          </w:p>
        </w:tc>
      </w:tr>
      <w:tr w:rsidR="002B1E2F" w:rsidRPr="00DB066C" w14:paraId="4E6960D1" w14:textId="77777777" w:rsidTr="0086473A">
        <w:trPr>
          <w:trHeight w:val="269"/>
        </w:trPr>
        <w:tc>
          <w:tcPr>
            <w:tcW w:w="3303" w:type="dxa"/>
          </w:tcPr>
          <w:p w14:paraId="36BDD100" w14:textId="77777777" w:rsidR="002B1E2F" w:rsidRPr="00DB066C" w:rsidRDefault="002B1E2F" w:rsidP="0086473A">
            <w:pPr>
              <w:rPr>
                <w:rFonts w:ascii="Source Sans Pro" w:hAnsi="Source Sans Pro"/>
                <w:b/>
                <w:sz w:val="21"/>
                <w:szCs w:val="21"/>
              </w:rPr>
            </w:pPr>
            <w:r w:rsidRPr="00DB066C">
              <w:rPr>
                <w:rFonts w:ascii="Source Sans Pro" w:hAnsi="Source Sans Pro"/>
                <w:b/>
                <w:sz w:val="21"/>
                <w:szCs w:val="21"/>
              </w:rPr>
              <w:t xml:space="preserve">GAC – Norway </w:t>
            </w:r>
          </w:p>
        </w:tc>
        <w:tc>
          <w:tcPr>
            <w:tcW w:w="3649" w:type="dxa"/>
          </w:tcPr>
          <w:p w14:paraId="2B07ACC4"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t xml:space="preserve">No. Existing 3-letter gTLDs should be eligible for an exact match of an equivalent IDN 3-letter code. Also new IDN ccTLD should also be eligible for a </w:t>
            </w:r>
            <w:r w:rsidRPr="00DB066C">
              <w:rPr>
                <w:rFonts w:ascii="Source Sans Pro" w:hAnsi="Source Sans Pro" w:cs="Arial"/>
                <w:sz w:val="21"/>
                <w:szCs w:val="21"/>
              </w:rPr>
              <w:lastRenderedPageBreak/>
              <w:t>IDN 3-letter code</w:t>
            </w:r>
          </w:p>
        </w:tc>
        <w:tc>
          <w:tcPr>
            <w:tcW w:w="3649" w:type="dxa"/>
          </w:tcPr>
          <w:p w14:paraId="607BA4C8" w14:textId="77777777" w:rsidR="002B1E2F" w:rsidRPr="00DB066C" w:rsidRDefault="002B1E2F" w:rsidP="0086473A">
            <w:pPr>
              <w:widowControl w:val="0"/>
              <w:autoSpaceDE w:val="0"/>
              <w:autoSpaceDN w:val="0"/>
              <w:adjustRightInd w:val="0"/>
              <w:rPr>
                <w:rFonts w:ascii="Source Sans Pro" w:hAnsi="Source Sans Pro" w:cs="Cambria"/>
                <w:sz w:val="21"/>
                <w:szCs w:val="21"/>
              </w:rPr>
            </w:pPr>
            <w:r w:rsidRPr="00DB066C">
              <w:rPr>
                <w:rFonts w:ascii="Source Sans Pro" w:hAnsi="Source Sans Pro" w:cs="Arial"/>
                <w:sz w:val="21"/>
                <w:szCs w:val="21"/>
              </w:rPr>
              <w:lastRenderedPageBreak/>
              <w:t>No. Same as previous answer. The should be very limited use of IDN 3-letter codes as suggest in the answer to Q5.</w:t>
            </w:r>
          </w:p>
          <w:p w14:paraId="026D74BC" w14:textId="77777777" w:rsidR="002B1E2F" w:rsidRPr="00DB066C" w:rsidRDefault="002B1E2F" w:rsidP="0086473A">
            <w:pPr>
              <w:rPr>
                <w:rFonts w:ascii="Source Sans Pro" w:hAnsi="Source Sans Pro"/>
                <w:sz w:val="21"/>
                <w:szCs w:val="21"/>
              </w:rPr>
            </w:pPr>
          </w:p>
        </w:tc>
        <w:tc>
          <w:tcPr>
            <w:tcW w:w="3575" w:type="dxa"/>
          </w:tcPr>
          <w:p w14:paraId="3C240F3D" w14:textId="77777777" w:rsidR="002B1E2F" w:rsidRPr="00DB066C" w:rsidRDefault="002B1E2F" w:rsidP="0086473A">
            <w:pPr>
              <w:rPr>
                <w:rFonts w:ascii="Source Sans Pro" w:hAnsi="Source Sans Pro"/>
                <w:sz w:val="21"/>
                <w:szCs w:val="21"/>
              </w:rPr>
            </w:pPr>
            <w:r w:rsidRPr="00DB066C">
              <w:rPr>
                <w:rFonts w:ascii="Source Sans Pro" w:hAnsi="Source Sans Pro" w:cs="Arial"/>
                <w:sz w:val="21"/>
                <w:szCs w:val="21"/>
              </w:rPr>
              <w:lastRenderedPageBreak/>
              <w:t xml:space="preserve">In our view there are so many other available strings that could be used for a new top level domain and you should therefore not pick those that </w:t>
            </w:r>
            <w:r w:rsidRPr="00DB066C">
              <w:rPr>
                <w:rFonts w:ascii="Source Sans Pro" w:hAnsi="Source Sans Pro" w:cs="Arial"/>
                <w:sz w:val="21"/>
                <w:szCs w:val="21"/>
              </w:rPr>
              <w:lastRenderedPageBreak/>
              <w:t>will most certainly cause end user confusion and also are likely to create conflicts between national law and ICANN policy</w:t>
            </w:r>
          </w:p>
        </w:tc>
      </w:tr>
      <w:tr w:rsidR="002B1E2F" w:rsidRPr="00DB066C" w14:paraId="2168C08A" w14:textId="77777777" w:rsidTr="0086473A">
        <w:trPr>
          <w:trHeight w:val="269"/>
        </w:trPr>
        <w:tc>
          <w:tcPr>
            <w:tcW w:w="3303" w:type="dxa"/>
          </w:tcPr>
          <w:p w14:paraId="2E0F2C29" w14:textId="44773716" w:rsidR="002B1E2F" w:rsidRPr="00DB066C" w:rsidRDefault="002B1E2F" w:rsidP="0086473A">
            <w:pPr>
              <w:rPr>
                <w:rFonts w:ascii="Source Sans Pro" w:hAnsi="Source Sans Pro"/>
                <w:b/>
                <w:sz w:val="21"/>
                <w:szCs w:val="21"/>
              </w:rPr>
            </w:pPr>
            <w:r w:rsidRPr="00DB066C">
              <w:rPr>
                <w:rFonts w:ascii="Source Sans Pro" w:hAnsi="Source Sans Pro"/>
                <w:b/>
                <w:sz w:val="21"/>
                <w:szCs w:val="21"/>
              </w:rPr>
              <w:lastRenderedPageBreak/>
              <w:t>Intellectual Property Constituency</w:t>
            </w:r>
          </w:p>
        </w:tc>
        <w:tc>
          <w:tcPr>
            <w:tcW w:w="3649" w:type="dxa"/>
          </w:tcPr>
          <w:p w14:paraId="1D95CF51"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The IPC does not support the reservation of IDN 3-character strings for exclusive use as ccTLDs</w:t>
            </w:r>
            <w:r w:rsidRPr="00DB066C">
              <w:rPr>
                <w:rFonts w:ascii="Source Sans Pro" w:hAnsi="Source Sans Pro"/>
                <w:sz w:val="21"/>
                <w:szCs w:val="21"/>
              </w:rPr>
              <w:t xml:space="preserve">. While restrictions on 3-character ASCII strings effectively results in the exclusion of over 17,000 potential new gTLDs from the DNS, restriction of all IDN 3-character strings would exclude hundreds of thousands of potential new gTLDs from language communities that have already suffered decades of exclusion from the DNS. The IPC can see no basis or reason for such a disruptive exclusionary policy, which would not serve ICANN’s mission to internationalize the DNS. </w:t>
            </w:r>
          </w:p>
          <w:p w14:paraId="171DFA70" w14:textId="491DF6E7" w:rsidR="002B1E2F" w:rsidRPr="00DB066C" w:rsidRDefault="002B1E2F" w:rsidP="0086473A">
            <w:pPr>
              <w:rPr>
                <w:rFonts w:ascii="Source Sans Pro" w:hAnsi="Source Sans Pro" w:cs="Arial"/>
                <w:sz w:val="21"/>
                <w:szCs w:val="21"/>
              </w:rPr>
            </w:pPr>
          </w:p>
        </w:tc>
        <w:tc>
          <w:tcPr>
            <w:tcW w:w="3649" w:type="dxa"/>
          </w:tcPr>
          <w:p w14:paraId="12AE4BC6" w14:textId="77777777" w:rsidR="002B1E2F" w:rsidRPr="00DB066C" w:rsidRDefault="002B1E2F" w:rsidP="002B1E2F">
            <w:pPr>
              <w:rPr>
                <w:rFonts w:ascii="Source Sans Pro" w:hAnsi="Source Sans Pro"/>
                <w:sz w:val="21"/>
                <w:szCs w:val="21"/>
              </w:rPr>
            </w:pPr>
            <w:r w:rsidRPr="00DB066C">
              <w:rPr>
                <w:rFonts w:ascii="Source Sans Pro" w:hAnsi="Source Sans Pro"/>
                <w:b/>
                <w:bCs/>
                <w:sz w:val="21"/>
                <w:szCs w:val="21"/>
              </w:rPr>
              <w:t xml:space="preserve">There should be unrestricted use of IDN three-character strings if they are not in conflict with any applicable string similarity rules. The IPC needs more information on what constitutes “conflict with an existing TLD.” </w:t>
            </w:r>
            <w:r w:rsidRPr="00DB066C">
              <w:rPr>
                <w:rFonts w:ascii="Source Sans Pro" w:hAnsi="Source Sans Pro"/>
                <w:sz w:val="21"/>
                <w:szCs w:val="21"/>
              </w:rPr>
              <w:t>Domain name allocation policy must facilitate, not impede, the need of billions of people to join the internet community. A core goal of the New gTLD Program is to bring new participants into the DNS. The view of 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741D507C" w14:textId="77777777" w:rsidR="002B1E2F" w:rsidRPr="00DB066C" w:rsidRDefault="002B1E2F" w:rsidP="0086473A">
            <w:pPr>
              <w:widowControl w:val="0"/>
              <w:autoSpaceDE w:val="0"/>
              <w:autoSpaceDN w:val="0"/>
              <w:adjustRightInd w:val="0"/>
              <w:rPr>
                <w:rFonts w:ascii="Source Sans Pro" w:hAnsi="Source Sans Pro" w:cs="Arial"/>
                <w:sz w:val="21"/>
                <w:szCs w:val="21"/>
              </w:rPr>
            </w:pPr>
          </w:p>
        </w:tc>
        <w:tc>
          <w:tcPr>
            <w:tcW w:w="3575" w:type="dxa"/>
          </w:tcPr>
          <w:p w14:paraId="23A58EEC" w14:textId="583CF563" w:rsidR="002B1E2F" w:rsidRPr="00DB066C" w:rsidRDefault="008C0CED" w:rsidP="0086473A">
            <w:pPr>
              <w:rPr>
                <w:rFonts w:ascii="Source Sans Pro" w:hAnsi="Source Sans Pro"/>
                <w:sz w:val="21"/>
                <w:szCs w:val="21"/>
              </w:rPr>
            </w:pPr>
            <w:r w:rsidRPr="00DB066C">
              <w:rPr>
                <w:rFonts w:ascii="Source Sans Pro" w:hAnsi="Source Sans Pro"/>
                <w:sz w:val="21"/>
                <w:szCs w:val="21"/>
              </w:rPr>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tension exists between legally recognized private rights on the one hand and government interests on 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geographical indicators and enhance the creditability of the DNS’.”3 The adoption of exclusionary policy without clear and credible legal basis creates a danger of appropriating or impinging upon existing rights, to the detriment of the global community’s interaction with the DNS. </w:t>
            </w:r>
          </w:p>
        </w:tc>
      </w:tr>
      <w:tr w:rsidR="002B1E2F" w:rsidRPr="00DB066C" w14:paraId="19C2C074" w14:textId="77777777" w:rsidTr="0086473A">
        <w:trPr>
          <w:trHeight w:val="269"/>
        </w:trPr>
        <w:tc>
          <w:tcPr>
            <w:tcW w:w="3303" w:type="dxa"/>
          </w:tcPr>
          <w:p w14:paraId="4AAF2894" w14:textId="5A1F9556" w:rsidR="002B1E2F" w:rsidRPr="00DB066C" w:rsidRDefault="00A121C2" w:rsidP="0086473A">
            <w:pPr>
              <w:rPr>
                <w:rFonts w:ascii="Source Sans Pro" w:hAnsi="Source Sans Pro"/>
                <w:b/>
                <w:sz w:val="21"/>
                <w:szCs w:val="21"/>
              </w:rPr>
            </w:pPr>
            <w:r w:rsidRPr="00DB066C">
              <w:rPr>
                <w:rFonts w:ascii="Source Sans Pro" w:hAnsi="Source Sans Pro"/>
                <w:b/>
                <w:sz w:val="21"/>
                <w:szCs w:val="21"/>
              </w:rPr>
              <w:t>.pl Registry Operator</w:t>
            </w:r>
          </w:p>
        </w:tc>
        <w:tc>
          <w:tcPr>
            <w:tcW w:w="3649" w:type="dxa"/>
          </w:tcPr>
          <w:p w14:paraId="3CB48351" w14:textId="25D40906"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 as our today’s knowledge is not sufficient enough..?). In general, the rules applied should be as presented above.  </w:t>
            </w:r>
          </w:p>
        </w:tc>
        <w:tc>
          <w:tcPr>
            <w:tcW w:w="3649" w:type="dxa"/>
          </w:tcPr>
          <w:p w14:paraId="741E9430" w14:textId="6BF4C1C8" w:rsidR="002B1E2F" w:rsidRPr="00DB066C" w:rsidRDefault="00A121C2"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As above, it would be good to have the unrestricted use, however the definition of the meaning  of “unrestricted” in this context has to be set first. </w:t>
            </w:r>
          </w:p>
        </w:tc>
        <w:tc>
          <w:tcPr>
            <w:tcW w:w="3575" w:type="dxa"/>
          </w:tcPr>
          <w:p w14:paraId="5427E681" w14:textId="4F2B6BB4" w:rsidR="002B1E2F" w:rsidRPr="00DB066C" w:rsidRDefault="00A121C2" w:rsidP="0086473A">
            <w:pPr>
              <w:rPr>
                <w:rFonts w:ascii="Source Sans Pro" w:hAnsi="Source Sans Pro" w:cs="Arial"/>
                <w:sz w:val="21"/>
                <w:szCs w:val="21"/>
              </w:rPr>
            </w:pPr>
            <w:r w:rsidRPr="00DB066C">
              <w:rPr>
                <w:rFonts w:ascii="Source Sans Pro" w:hAnsi="Source Sans Pro" w:cs="Calibri"/>
                <w:sz w:val="21"/>
                <w:szCs w:val="21"/>
              </w:rPr>
              <w:t>In general, we should do our best and avoid of creating the artificial barriers driven by unjustified reasons and curb Internet development, however I think that the planning process in projects should follow the set polices and ISO rules first;  I do think, that we  have not got a legitimate position to change the UN policy and maintain any new one. Doing differently, I think that  simply sooner or later the projects will fail, and the team will be busy with huge load  and unproductive work.  The known rule first come first served in this context is note the one we should focus on first.</w:t>
            </w:r>
          </w:p>
        </w:tc>
      </w:tr>
      <w:tr w:rsidR="002B1E2F" w:rsidRPr="00DB066C" w14:paraId="5389E8F7" w14:textId="77777777" w:rsidTr="0086473A">
        <w:trPr>
          <w:trHeight w:val="269"/>
        </w:trPr>
        <w:tc>
          <w:tcPr>
            <w:tcW w:w="3303" w:type="dxa"/>
          </w:tcPr>
          <w:p w14:paraId="5F5DD098" w14:textId="14627C95" w:rsidR="002B1E2F" w:rsidRPr="00DB066C" w:rsidRDefault="00A10493" w:rsidP="0086473A">
            <w:pPr>
              <w:rPr>
                <w:rFonts w:ascii="Source Sans Pro" w:hAnsi="Source Sans Pro"/>
                <w:b/>
                <w:sz w:val="21"/>
                <w:szCs w:val="21"/>
              </w:rPr>
            </w:pPr>
            <w:r w:rsidRPr="00DB066C">
              <w:rPr>
                <w:rFonts w:ascii="Source Sans Pro" w:hAnsi="Source Sans Pro"/>
                <w:b/>
                <w:sz w:val="21"/>
                <w:szCs w:val="21"/>
              </w:rPr>
              <w:t>.hk Registry Operator</w:t>
            </w:r>
          </w:p>
        </w:tc>
        <w:tc>
          <w:tcPr>
            <w:tcW w:w="3649" w:type="dxa"/>
          </w:tcPr>
          <w:p w14:paraId="2D1848BD" w14:textId="21520AC4" w:rsidR="002B1E2F" w:rsidRPr="00DB066C" w:rsidRDefault="00A10493" w:rsidP="0086473A">
            <w:pPr>
              <w:rPr>
                <w:rFonts w:ascii="Source Sans Pro" w:hAnsi="Source Sans Pro" w:cs="Arial"/>
                <w:sz w:val="21"/>
                <w:szCs w:val="21"/>
              </w:rPr>
            </w:pPr>
            <w:r w:rsidRPr="00DB066C">
              <w:rPr>
                <w:rFonts w:ascii="Source Sans Pro" w:hAnsi="Source Sans Pro" w:cs="Calibri"/>
                <w:sz w:val="21"/>
                <w:szCs w:val="21"/>
              </w:rPr>
              <w:t>All IDNs which are official names or commonly known names of countries or territories, irrespective of their length (number of IDN characters) should be reserved exclusively as ccTLDs.</w:t>
            </w:r>
          </w:p>
        </w:tc>
        <w:tc>
          <w:tcPr>
            <w:tcW w:w="3649" w:type="dxa"/>
          </w:tcPr>
          <w:p w14:paraId="17AB3542" w14:textId="6AEF9179" w:rsidR="002B1E2F" w:rsidRPr="00DB066C" w:rsidRDefault="00A10493"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alibri"/>
                <w:sz w:val="21"/>
                <w:szCs w:val="21"/>
              </w:rPr>
              <w:t>This is not sufficient. See answer to Q6 above.</w:t>
            </w:r>
          </w:p>
        </w:tc>
        <w:tc>
          <w:tcPr>
            <w:tcW w:w="3575" w:type="dxa"/>
          </w:tcPr>
          <w:p w14:paraId="1E26DA1A" w14:textId="03ACBDB4" w:rsidR="002B1E2F" w:rsidRPr="00DB066C" w:rsidRDefault="00A10493" w:rsidP="0086473A">
            <w:pPr>
              <w:rPr>
                <w:rFonts w:ascii="Source Sans Pro" w:hAnsi="Source Sans Pro" w:cs="Arial"/>
                <w:sz w:val="21"/>
                <w:szCs w:val="21"/>
              </w:rPr>
            </w:pPr>
            <w:r w:rsidRPr="00DB066C">
              <w:rPr>
                <w:rFonts w:ascii="Source Sans Pro" w:hAnsi="Source Sans Pro" w:cs="Arial"/>
                <w:sz w:val="21"/>
                <w:szCs w:val="21"/>
              </w:rPr>
              <w:t>N/a</w:t>
            </w:r>
          </w:p>
        </w:tc>
      </w:tr>
      <w:tr w:rsidR="00DB066C" w:rsidRPr="00DB066C" w14:paraId="0215C2C2" w14:textId="77777777" w:rsidTr="0086473A">
        <w:trPr>
          <w:trHeight w:val="269"/>
        </w:trPr>
        <w:tc>
          <w:tcPr>
            <w:tcW w:w="3303" w:type="dxa"/>
          </w:tcPr>
          <w:p w14:paraId="6CBB3D8B" w14:textId="34845B14" w:rsidR="00DB066C" w:rsidRPr="00DB066C" w:rsidRDefault="00DB066C" w:rsidP="0086473A">
            <w:pPr>
              <w:rPr>
                <w:rFonts w:ascii="Source Sans Pro" w:hAnsi="Source Sans Pro"/>
                <w:b/>
                <w:sz w:val="21"/>
                <w:szCs w:val="21"/>
              </w:rPr>
            </w:pPr>
            <w:r w:rsidRPr="00DB066C">
              <w:rPr>
                <w:rFonts w:ascii="Source Sans Pro" w:hAnsi="Source Sans Pro" w:cs="Calibri"/>
                <w:b/>
                <w:sz w:val="21"/>
                <w:szCs w:val="21"/>
              </w:rPr>
              <w:t>Partridge and Garcia PC</w:t>
            </w:r>
          </w:p>
        </w:tc>
        <w:tc>
          <w:tcPr>
            <w:tcW w:w="3649" w:type="dxa"/>
          </w:tcPr>
          <w:p w14:paraId="31EBDBED" w14:textId="77777777" w:rsidR="00DB066C" w:rsidRPr="00DB066C" w:rsidRDefault="00DB066C" w:rsidP="00B4011B">
            <w:pPr>
              <w:rPr>
                <w:rFonts w:ascii="Source Sans Pro" w:hAnsi="Source Sans Pro" w:cstheme="majorHAnsi"/>
                <w:sz w:val="21"/>
                <w:szCs w:val="21"/>
              </w:rPr>
            </w:pPr>
            <w:r w:rsidRPr="00DB066C">
              <w:rPr>
                <w:rFonts w:ascii="Source Sans Pro" w:hAnsi="Source Sans Pro" w:cstheme="majorHAnsi"/>
                <w:sz w:val="21"/>
                <w:szCs w:val="21"/>
              </w:rPr>
              <w:t>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gTLDs that would unnecessarily be impinged upon should this proposed policy be adopted (see table in original submission )</w:t>
            </w:r>
          </w:p>
          <w:p w14:paraId="6634FA53" w14:textId="0471D38E" w:rsidR="00DB066C" w:rsidRPr="00DB066C" w:rsidRDefault="00DB066C" w:rsidP="0086473A">
            <w:pPr>
              <w:rPr>
                <w:rFonts w:ascii="Source Sans Pro" w:hAnsi="Source Sans Pro" w:cs="Arial"/>
                <w:sz w:val="21"/>
                <w:szCs w:val="21"/>
              </w:rPr>
            </w:pPr>
          </w:p>
        </w:tc>
        <w:tc>
          <w:tcPr>
            <w:tcW w:w="3649" w:type="dxa"/>
          </w:tcPr>
          <w:p w14:paraId="3F13945E" w14:textId="77777777" w:rsidR="00DB066C" w:rsidRPr="00DB066C" w:rsidRDefault="00DB066C" w:rsidP="00B4011B">
            <w:pPr>
              <w:rPr>
                <w:rFonts w:ascii="Source Sans Pro" w:hAnsi="Source Sans Pro" w:cstheme="majorHAnsi"/>
                <w:sz w:val="21"/>
                <w:szCs w:val="21"/>
              </w:rPr>
            </w:pPr>
            <w:r w:rsidRPr="00DB066C">
              <w:rPr>
                <w:rFonts w:ascii="Source Sans Pro" w:hAnsi="Source Sans Pro" w:cstheme="majorHAnsi"/>
                <w:sz w:val="21"/>
                <w:szCs w:val="21"/>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p>
          <w:p w14:paraId="197433AC" w14:textId="6ACB15E5"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9EF0815" w14:textId="76DC2040" w:rsidR="00DB066C" w:rsidRPr="00DB066C" w:rsidRDefault="00DB066C" w:rsidP="0086473A">
            <w:pPr>
              <w:rPr>
                <w:rFonts w:ascii="Source Sans Pro" w:hAnsi="Source Sans Pro" w:cs="Arial"/>
                <w:sz w:val="21"/>
                <w:szCs w:val="21"/>
              </w:rPr>
            </w:pPr>
            <w:r w:rsidRPr="00DB066C">
              <w:rPr>
                <w:rFonts w:ascii="Source Sans Pro" w:hAnsi="Source Sans Pro" w:cstheme="majorHAnsi"/>
                <w:sz w:val="21"/>
                <w:szCs w:val="21"/>
              </w:rPr>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DB066C">
              <w:rPr>
                <w:rFonts w:ascii="Source Sans Pro" w:hAnsi="Source Sans Pro" w:cstheme="majorHAnsi"/>
                <w:i/>
                <w:sz w:val="21"/>
                <w:szCs w:val="21"/>
              </w:rPr>
              <w:t xml:space="preserve">SE Registry SA BV, v. Internet Marketing Solutions , Limited </w:t>
            </w:r>
            <w:r w:rsidRPr="00DB066C">
              <w:rPr>
                <w:rFonts w:ascii="Source Sans Pro" w:hAnsi="Source Sans Pro" w:cstheme="majorHAnsi"/>
                <w:sz w:val="21"/>
                <w:szCs w:val="21"/>
              </w:rPr>
              <w:t>(Case No. 50-504 T00304 13) (Independent arbitrator found .SX and .SEX were not confusingly similar).</w:t>
            </w:r>
          </w:p>
        </w:tc>
      </w:tr>
      <w:tr w:rsidR="00DB066C" w:rsidRPr="00DB066C" w14:paraId="57E44B60" w14:textId="77777777" w:rsidTr="0086473A">
        <w:trPr>
          <w:trHeight w:val="269"/>
        </w:trPr>
        <w:tc>
          <w:tcPr>
            <w:tcW w:w="3303" w:type="dxa"/>
          </w:tcPr>
          <w:p w14:paraId="17DD37A3" w14:textId="71AA380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GAC Finland</w:t>
            </w:r>
          </w:p>
        </w:tc>
        <w:tc>
          <w:tcPr>
            <w:tcW w:w="3649" w:type="dxa"/>
          </w:tcPr>
          <w:p w14:paraId="1CAC33AC" w14:textId="1DCDADD4" w:rsidR="00DB066C" w:rsidRPr="00DB066C" w:rsidRDefault="00DB066C" w:rsidP="0086473A">
            <w:pPr>
              <w:rPr>
                <w:rFonts w:ascii="Source Sans Pro" w:hAnsi="Source Sans Pro" w:cs="Arial"/>
                <w:sz w:val="21"/>
                <w:szCs w:val="21"/>
              </w:rPr>
            </w:pPr>
            <w:r w:rsidRPr="00DB066C">
              <w:rPr>
                <w:rFonts w:ascii="Source Sans Pro" w:hAnsi="Source Sans Pro" w:cs="Consolas"/>
                <w:sz w:val="21"/>
                <w:szCs w:val="21"/>
              </w:rPr>
              <w:t>See the answer in question 1. Shouldn't be changed at this point anymore. Creates confusion, because many IND three-character strings already exists.</w:t>
            </w:r>
          </w:p>
        </w:tc>
        <w:tc>
          <w:tcPr>
            <w:tcW w:w="3649" w:type="dxa"/>
          </w:tcPr>
          <w:p w14:paraId="15471498" w14:textId="0C13E270" w:rsidR="00DB066C" w:rsidRPr="00DB066C" w:rsidRDefault="00DB066C" w:rsidP="0086473A">
            <w:pPr>
              <w:widowControl w:val="0"/>
              <w:autoSpaceDE w:val="0"/>
              <w:autoSpaceDN w:val="0"/>
              <w:adjustRightInd w:val="0"/>
              <w:rPr>
                <w:rFonts w:ascii="Source Sans Pro" w:hAnsi="Source Sans Pro" w:cs="Arial"/>
                <w:sz w:val="21"/>
                <w:szCs w:val="21"/>
              </w:rPr>
            </w:pPr>
            <w:r w:rsidRPr="00DB066C">
              <w:rPr>
                <w:rFonts w:ascii="Source Sans Pro" w:hAnsi="Source Sans Pro" w:cs="Consolas"/>
                <w:sz w:val="21"/>
                <w:szCs w:val="21"/>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62EDCD27" w14:textId="7D0F04B4" w:rsidR="00DB066C" w:rsidRPr="00DB066C" w:rsidRDefault="00DB066C" w:rsidP="0086473A">
            <w:pPr>
              <w:rPr>
                <w:rFonts w:ascii="Source Sans Pro" w:hAnsi="Source Sans Pro" w:cs="Arial"/>
                <w:sz w:val="21"/>
                <w:szCs w:val="21"/>
              </w:rPr>
            </w:pPr>
            <w:r w:rsidRPr="00DB066C">
              <w:rPr>
                <w:rFonts w:ascii="Source Sans Pro" w:hAnsi="Source Sans Pro" w:cs="Arial"/>
                <w:sz w:val="21"/>
                <w:szCs w:val="21"/>
              </w:rPr>
              <w:t>N/A</w:t>
            </w:r>
          </w:p>
        </w:tc>
      </w:tr>
      <w:tr w:rsidR="00984967" w:rsidRPr="00DB066C" w14:paraId="2360A656" w14:textId="77777777" w:rsidTr="0056663C">
        <w:trPr>
          <w:trHeight w:val="269"/>
        </w:trPr>
        <w:tc>
          <w:tcPr>
            <w:tcW w:w="3303" w:type="dxa"/>
          </w:tcPr>
          <w:p w14:paraId="6C2C8587" w14:textId="221C7A6F" w:rsidR="00984967" w:rsidRPr="00DB066C" w:rsidRDefault="00984967" w:rsidP="0086473A">
            <w:pPr>
              <w:rPr>
                <w:rFonts w:ascii="Source Sans Pro" w:hAnsi="Source Sans Pro"/>
                <w:b/>
                <w:sz w:val="21"/>
                <w:szCs w:val="21"/>
              </w:rPr>
            </w:pPr>
            <w:r w:rsidRPr="00DB066C">
              <w:rPr>
                <w:rFonts w:ascii="Source Sans Pro" w:hAnsi="Source Sans Pro"/>
                <w:b/>
                <w:sz w:val="21"/>
                <w:szCs w:val="21"/>
              </w:rPr>
              <w:t>GAC Switzerland</w:t>
            </w:r>
            <w:r w:rsidRPr="00DB066C">
              <w:rPr>
                <w:rStyle w:val="FootnoteReference"/>
                <w:rFonts w:ascii="Source Sans Pro" w:hAnsi="Source Sans Pro"/>
                <w:b/>
                <w:sz w:val="21"/>
                <w:szCs w:val="21"/>
              </w:rPr>
              <w:footnoteReference w:id="1"/>
            </w:r>
          </w:p>
        </w:tc>
        <w:tc>
          <w:tcPr>
            <w:tcW w:w="10873" w:type="dxa"/>
            <w:gridSpan w:val="3"/>
          </w:tcPr>
          <w:p w14:paraId="17DB7822" w14:textId="6221317E" w:rsidR="0057034C" w:rsidRPr="007B1520" w:rsidRDefault="00984967" w:rsidP="0057034C">
            <w:pPr>
              <w:rPr>
                <w:b/>
                <w:sz w:val="26"/>
                <w:szCs w:val="26"/>
              </w:rPr>
            </w:pPr>
            <w:r>
              <w:rPr>
                <w:rFonts w:ascii="Source Sans Pro" w:hAnsi="Source Sans Pro" w:cs="Arial"/>
                <w:sz w:val="21"/>
                <w:szCs w:val="21"/>
              </w:rPr>
              <w:t>See Overview Questions 1-4</w:t>
            </w:r>
            <w:r w:rsidR="0057034C" w:rsidRPr="007B1520">
              <w:rPr>
                <w:b/>
                <w:sz w:val="26"/>
                <w:szCs w:val="26"/>
              </w:rPr>
              <w:t xml:space="preserve"> </w:t>
            </w:r>
            <w:r w:rsidR="0057034C" w:rsidRPr="007B1520">
              <w:rPr>
                <w:b/>
                <w:sz w:val="26"/>
                <w:szCs w:val="26"/>
              </w:rPr>
              <w:t>Cross Community Working Group on the Use of Country and Territory Names as top-level domains</w:t>
            </w:r>
          </w:p>
          <w:p w14:paraId="599C7429" w14:textId="77777777" w:rsidR="0057034C" w:rsidRPr="007B1520" w:rsidRDefault="0057034C" w:rsidP="0057034C">
            <w:pPr>
              <w:rPr>
                <w:sz w:val="24"/>
              </w:rPr>
            </w:pPr>
            <w:r w:rsidRPr="007B1520">
              <w:rPr>
                <w:sz w:val="24"/>
              </w:rPr>
              <w:t>Overview of Responses on 3-character codes – Question 1-4 (as of 19 October 2015)</w:t>
            </w:r>
          </w:p>
          <w:p w14:paraId="6F97889B" w14:textId="21802810" w:rsidR="00984967" w:rsidRPr="00DB066C" w:rsidRDefault="00984967" w:rsidP="0086473A">
            <w:pPr>
              <w:rPr>
                <w:rFonts w:ascii="Source Sans Pro" w:hAnsi="Source Sans Pro" w:cs="Arial"/>
                <w:sz w:val="21"/>
                <w:szCs w:val="21"/>
              </w:rPr>
            </w:pPr>
          </w:p>
        </w:tc>
      </w:tr>
      <w:tr w:rsidR="00DB066C" w:rsidRPr="00DB066C" w14:paraId="46D59F40" w14:textId="77777777" w:rsidTr="0086473A">
        <w:trPr>
          <w:trHeight w:val="269"/>
        </w:trPr>
        <w:tc>
          <w:tcPr>
            <w:tcW w:w="3303" w:type="dxa"/>
          </w:tcPr>
          <w:p w14:paraId="4DD9E6D1" w14:textId="25A130FE" w:rsidR="00DB066C" w:rsidRPr="00DB066C" w:rsidRDefault="00DB066C" w:rsidP="0086473A">
            <w:pPr>
              <w:rPr>
                <w:rFonts w:ascii="Source Sans Pro" w:hAnsi="Source Sans Pro"/>
                <w:b/>
                <w:sz w:val="21"/>
                <w:szCs w:val="21"/>
              </w:rPr>
            </w:pPr>
            <w:r w:rsidRPr="00DB066C">
              <w:rPr>
                <w:rFonts w:ascii="Source Sans Pro" w:hAnsi="Source Sans Pro"/>
                <w:b/>
                <w:sz w:val="21"/>
                <w:szCs w:val="21"/>
              </w:rPr>
              <w:t>ALAC</w:t>
            </w:r>
          </w:p>
        </w:tc>
        <w:tc>
          <w:tcPr>
            <w:tcW w:w="3649" w:type="dxa"/>
          </w:tcPr>
          <w:p w14:paraId="3B78B4E5" w14:textId="77777777" w:rsidR="00DB066C" w:rsidRPr="00DB066C" w:rsidRDefault="00DB066C" w:rsidP="0086473A">
            <w:pPr>
              <w:rPr>
                <w:rFonts w:ascii="Source Sans Pro" w:hAnsi="Source Sans Pro" w:cs="Arial"/>
                <w:sz w:val="21"/>
                <w:szCs w:val="21"/>
              </w:rPr>
            </w:pPr>
          </w:p>
        </w:tc>
        <w:tc>
          <w:tcPr>
            <w:tcW w:w="3649" w:type="dxa"/>
          </w:tcPr>
          <w:p w14:paraId="20C08E49" w14:textId="77777777"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161F38E0" w14:textId="77777777" w:rsidR="00DB066C" w:rsidRPr="00DB066C" w:rsidRDefault="00DB066C" w:rsidP="0086473A">
            <w:pPr>
              <w:rPr>
                <w:rFonts w:ascii="Source Sans Pro" w:hAnsi="Source Sans Pro" w:cs="Arial"/>
                <w:sz w:val="21"/>
                <w:szCs w:val="21"/>
              </w:rPr>
            </w:pPr>
          </w:p>
        </w:tc>
      </w:tr>
      <w:tr w:rsidR="00DB066C" w:rsidRPr="00DB066C" w14:paraId="53429FD5" w14:textId="77777777" w:rsidTr="0086473A">
        <w:trPr>
          <w:trHeight w:val="269"/>
        </w:trPr>
        <w:tc>
          <w:tcPr>
            <w:tcW w:w="3303" w:type="dxa"/>
          </w:tcPr>
          <w:p w14:paraId="0C4B24BB" w14:textId="77777777" w:rsidR="00DB066C" w:rsidRPr="00DB066C" w:rsidRDefault="00DB066C" w:rsidP="0086473A">
            <w:pPr>
              <w:rPr>
                <w:rFonts w:ascii="Source Sans Pro" w:hAnsi="Source Sans Pro"/>
                <w:b/>
                <w:sz w:val="21"/>
                <w:szCs w:val="21"/>
              </w:rPr>
            </w:pPr>
          </w:p>
        </w:tc>
        <w:tc>
          <w:tcPr>
            <w:tcW w:w="3649" w:type="dxa"/>
          </w:tcPr>
          <w:p w14:paraId="39CCE28A" w14:textId="77777777" w:rsidR="00DB066C" w:rsidRPr="00DB066C" w:rsidRDefault="00DB066C" w:rsidP="0086473A">
            <w:pPr>
              <w:rPr>
                <w:rFonts w:ascii="Source Sans Pro" w:hAnsi="Source Sans Pro" w:cs="Arial"/>
                <w:sz w:val="21"/>
                <w:szCs w:val="21"/>
              </w:rPr>
            </w:pPr>
          </w:p>
        </w:tc>
        <w:tc>
          <w:tcPr>
            <w:tcW w:w="3649" w:type="dxa"/>
          </w:tcPr>
          <w:p w14:paraId="041BA25A" w14:textId="77777777"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332FFE7C" w14:textId="77777777" w:rsidR="00DB066C" w:rsidRPr="00DB066C" w:rsidRDefault="00DB066C" w:rsidP="0086473A">
            <w:pPr>
              <w:rPr>
                <w:rFonts w:ascii="Source Sans Pro" w:hAnsi="Source Sans Pro" w:cs="Arial"/>
                <w:sz w:val="21"/>
                <w:szCs w:val="21"/>
              </w:rPr>
            </w:pPr>
          </w:p>
        </w:tc>
      </w:tr>
      <w:tr w:rsidR="00DB066C" w:rsidRPr="00DB066C" w14:paraId="0BFEAE73" w14:textId="77777777" w:rsidTr="0086473A">
        <w:trPr>
          <w:trHeight w:val="269"/>
        </w:trPr>
        <w:tc>
          <w:tcPr>
            <w:tcW w:w="3303" w:type="dxa"/>
          </w:tcPr>
          <w:p w14:paraId="3DFA7E7A" w14:textId="77777777" w:rsidR="00DB066C" w:rsidRPr="00DB066C" w:rsidRDefault="00DB066C" w:rsidP="0086473A">
            <w:pPr>
              <w:rPr>
                <w:rFonts w:ascii="Source Sans Pro" w:hAnsi="Source Sans Pro"/>
                <w:b/>
                <w:sz w:val="21"/>
                <w:szCs w:val="21"/>
              </w:rPr>
            </w:pPr>
          </w:p>
        </w:tc>
        <w:tc>
          <w:tcPr>
            <w:tcW w:w="3649" w:type="dxa"/>
          </w:tcPr>
          <w:p w14:paraId="4DD2EED4" w14:textId="77777777" w:rsidR="00DB066C" w:rsidRPr="00DB066C" w:rsidRDefault="00DB066C" w:rsidP="0086473A">
            <w:pPr>
              <w:rPr>
                <w:rFonts w:ascii="Source Sans Pro" w:hAnsi="Source Sans Pro" w:cs="Arial"/>
                <w:sz w:val="21"/>
                <w:szCs w:val="21"/>
              </w:rPr>
            </w:pPr>
          </w:p>
        </w:tc>
        <w:tc>
          <w:tcPr>
            <w:tcW w:w="3649" w:type="dxa"/>
          </w:tcPr>
          <w:p w14:paraId="3021130F" w14:textId="77777777" w:rsidR="00DB066C" w:rsidRPr="00DB066C" w:rsidRDefault="00DB066C" w:rsidP="0086473A">
            <w:pPr>
              <w:widowControl w:val="0"/>
              <w:autoSpaceDE w:val="0"/>
              <w:autoSpaceDN w:val="0"/>
              <w:adjustRightInd w:val="0"/>
              <w:rPr>
                <w:rFonts w:ascii="Source Sans Pro" w:hAnsi="Source Sans Pro" w:cs="Arial"/>
                <w:sz w:val="21"/>
                <w:szCs w:val="21"/>
              </w:rPr>
            </w:pPr>
          </w:p>
        </w:tc>
        <w:tc>
          <w:tcPr>
            <w:tcW w:w="3575" w:type="dxa"/>
          </w:tcPr>
          <w:p w14:paraId="7FE4EA55" w14:textId="77777777" w:rsidR="00DB066C" w:rsidRPr="00DB066C" w:rsidRDefault="00DB066C" w:rsidP="0086473A">
            <w:pPr>
              <w:rPr>
                <w:rFonts w:ascii="Source Sans Pro" w:hAnsi="Source Sans Pro" w:cs="Arial"/>
                <w:sz w:val="21"/>
                <w:szCs w:val="21"/>
              </w:rPr>
            </w:pPr>
          </w:p>
        </w:tc>
      </w:tr>
      <w:tr w:rsidR="00DB066C" w:rsidRPr="00DB066C" w14:paraId="3E622C6E" w14:textId="77777777" w:rsidTr="00017540">
        <w:trPr>
          <w:trHeight w:val="269"/>
        </w:trPr>
        <w:tc>
          <w:tcPr>
            <w:tcW w:w="3303" w:type="dxa"/>
          </w:tcPr>
          <w:p w14:paraId="5DA28AEA" w14:textId="77777777" w:rsidR="00DB066C" w:rsidRPr="00DB066C" w:rsidRDefault="00DB066C" w:rsidP="0086473A">
            <w:pPr>
              <w:rPr>
                <w:rFonts w:ascii="Source Sans Pro" w:hAnsi="Source Sans Pro"/>
                <w:b/>
                <w:sz w:val="21"/>
                <w:szCs w:val="21"/>
              </w:rPr>
            </w:pPr>
          </w:p>
        </w:tc>
        <w:tc>
          <w:tcPr>
            <w:tcW w:w="3649" w:type="dxa"/>
          </w:tcPr>
          <w:p w14:paraId="3FB827AC" w14:textId="77777777" w:rsidR="00DB066C" w:rsidRPr="00DB066C" w:rsidRDefault="00DB066C" w:rsidP="0086473A">
            <w:pPr>
              <w:rPr>
                <w:rFonts w:ascii="Source Sans Pro" w:hAnsi="Source Sans Pro" w:cs="Arial"/>
                <w:sz w:val="21"/>
                <w:szCs w:val="21"/>
              </w:rPr>
            </w:pPr>
          </w:p>
        </w:tc>
        <w:tc>
          <w:tcPr>
            <w:tcW w:w="3649" w:type="dxa"/>
          </w:tcPr>
          <w:p w14:paraId="16D6C435" w14:textId="77777777" w:rsidR="00DB066C" w:rsidRPr="00DB066C" w:rsidRDefault="00DB066C" w:rsidP="00F7354C">
            <w:pPr>
              <w:widowControl w:val="0"/>
              <w:autoSpaceDE w:val="0"/>
              <w:autoSpaceDN w:val="0"/>
              <w:adjustRightInd w:val="0"/>
              <w:rPr>
                <w:rFonts w:ascii="Source Sans Pro" w:hAnsi="Source Sans Pro" w:cs="Arial"/>
                <w:sz w:val="21"/>
                <w:szCs w:val="21"/>
              </w:rPr>
            </w:pPr>
          </w:p>
        </w:tc>
        <w:tc>
          <w:tcPr>
            <w:tcW w:w="3575" w:type="dxa"/>
          </w:tcPr>
          <w:p w14:paraId="4831ED1C" w14:textId="77777777" w:rsidR="00DB066C" w:rsidRPr="00DB066C" w:rsidRDefault="00DB066C" w:rsidP="0086473A">
            <w:pPr>
              <w:rPr>
                <w:rFonts w:ascii="Source Sans Pro" w:hAnsi="Source Sans Pro" w:cs="Arial"/>
                <w:sz w:val="21"/>
                <w:szCs w:val="21"/>
              </w:rPr>
            </w:pPr>
          </w:p>
        </w:tc>
      </w:tr>
    </w:tbl>
    <w:p w14:paraId="681D3CC3" w14:textId="77777777" w:rsidR="00605C1E" w:rsidRPr="00DB066C" w:rsidRDefault="00605C1E">
      <w:pPr>
        <w:rPr>
          <w:rFonts w:ascii="Source Sans Pro" w:hAnsi="Source Sans Pro"/>
          <w:sz w:val="21"/>
          <w:szCs w:val="21"/>
        </w:rPr>
      </w:pPr>
    </w:p>
    <w:sectPr w:rsidR="00605C1E" w:rsidRPr="00DB066C" w:rsidSect="006D778A">
      <w:footerReference w:type="even" r:id="rId7"/>
      <w:footerReference w:type="default" r:id="rId8"/>
      <w:pgSz w:w="16817"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6734" w14:textId="77777777" w:rsidR="00422B1F" w:rsidRDefault="00422B1F" w:rsidP="00A33BC1">
      <w:r>
        <w:separator/>
      </w:r>
    </w:p>
  </w:endnote>
  <w:endnote w:type="continuationSeparator" w:id="0">
    <w:p w14:paraId="03494101" w14:textId="77777777" w:rsidR="00422B1F" w:rsidRDefault="00422B1F" w:rsidP="00A3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DDA7" w14:textId="77777777" w:rsidR="00422B1F" w:rsidRDefault="00422B1F"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C7F2E" w14:textId="77777777" w:rsidR="00422B1F" w:rsidRDefault="00422B1F" w:rsidP="00A33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80D0" w14:textId="77777777" w:rsidR="00422B1F" w:rsidRDefault="00422B1F" w:rsidP="0086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34C">
      <w:rPr>
        <w:rStyle w:val="PageNumber"/>
        <w:noProof/>
      </w:rPr>
      <w:t>1</w:t>
    </w:r>
    <w:r>
      <w:rPr>
        <w:rStyle w:val="PageNumber"/>
      </w:rPr>
      <w:fldChar w:fldCharType="end"/>
    </w:r>
  </w:p>
  <w:p w14:paraId="4FEF3B44" w14:textId="77777777" w:rsidR="00422B1F" w:rsidRDefault="00422B1F" w:rsidP="00A33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4525" w14:textId="77777777" w:rsidR="00422B1F" w:rsidRDefault="00422B1F" w:rsidP="00A33BC1">
      <w:r>
        <w:separator/>
      </w:r>
    </w:p>
  </w:footnote>
  <w:footnote w:type="continuationSeparator" w:id="0">
    <w:p w14:paraId="38F70648" w14:textId="77777777" w:rsidR="00422B1F" w:rsidRDefault="00422B1F" w:rsidP="00A33BC1">
      <w:r>
        <w:continuationSeparator/>
      </w:r>
    </w:p>
  </w:footnote>
  <w:footnote w:id="1">
    <w:p w14:paraId="3991AE52" w14:textId="4A03EC3F" w:rsidR="00984967" w:rsidRDefault="00984967">
      <w:pPr>
        <w:pStyle w:val="FootnoteText"/>
      </w:pPr>
      <w:r>
        <w:rPr>
          <w:rStyle w:val="FootnoteReference"/>
        </w:rPr>
        <w:footnoteRef/>
      </w:r>
      <w:r>
        <w:t xml:space="preserve"> </w:t>
      </w:r>
      <w:r>
        <w:rPr>
          <w:rFonts w:cs="Calibri"/>
          <w:color w:val="18376A"/>
          <w:sz w:val="30"/>
          <w:szCs w:val="3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0"/>
    <w:rsid w:val="00017540"/>
    <w:rsid w:val="000B74E6"/>
    <w:rsid w:val="00275BD5"/>
    <w:rsid w:val="002B1E2F"/>
    <w:rsid w:val="00422B1F"/>
    <w:rsid w:val="0057034C"/>
    <w:rsid w:val="005A3802"/>
    <w:rsid w:val="00605C1E"/>
    <w:rsid w:val="006D778A"/>
    <w:rsid w:val="0079322E"/>
    <w:rsid w:val="0086473A"/>
    <w:rsid w:val="00884F81"/>
    <w:rsid w:val="008C0CED"/>
    <w:rsid w:val="00984967"/>
    <w:rsid w:val="00A10493"/>
    <w:rsid w:val="00A121C2"/>
    <w:rsid w:val="00A33BC1"/>
    <w:rsid w:val="00DB066C"/>
    <w:rsid w:val="00F417E3"/>
    <w:rsid w:val="00F7354C"/>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EB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0"/>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017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33BC1"/>
    <w:pPr>
      <w:tabs>
        <w:tab w:val="center" w:pos="4320"/>
        <w:tab w:val="right" w:pos="8640"/>
      </w:tabs>
    </w:pPr>
  </w:style>
  <w:style w:type="character" w:customStyle="1" w:styleId="FooterChar">
    <w:name w:val="Footer Char"/>
    <w:basedOn w:val="DefaultParagraphFont"/>
    <w:link w:val="Footer"/>
    <w:uiPriority w:val="99"/>
    <w:rsid w:val="00A33BC1"/>
    <w:rPr>
      <w:rFonts w:ascii="Calibri" w:hAnsi="Calibri"/>
      <w:sz w:val="22"/>
    </w:rPr>
  </w:style>
  <w:style w:type="character" w:styleId="PageNumber">
    <w:name w:val="page number"/>
    <w:basedOn w:val="DefaultParagraphFont"/>
    <w:uiPriority w:val="99"/>
    <w:semiHidden/>
    <w:unhideWhenUsed/>
    <w:rsid w:val="00A33BC1"/>
  </w:style>
  <w:style w:type="paragraph" w:styleId="Header">
    <w:name w:val="header"/>
    <w:basedOn w:val="Normal"/>
    <w:link w:val="HeaderChar"/>
    <w:uiPriority w:val="99"/>
    <w:unhideWhenUsed/>
    <w:rsid w:val="00A33BC1"/>
    <w:pPr>
      <w:tabs>
        <w:tab w:val="center" w:pos="4320"/>
        <w:tab w:val="right" w:pos="8640"/>
      </w:tabs>
    </w:pPr>
  </w:style>
  <w:style w:type="character" w:customStyle="1" w:styleId="HeaderChar">
    <w:name w:val="Header Char"/>
    <w:basedOn w:val="DefaultParagraphFont"/>
    <w:link w:val="Header"/>
    <w:uiPriority w:val="99"/>
    <w:rsid w:val="00A33BC1"/>
    <w:rPr>
      <w:rFonts w:ascii="Calibri" w:hAnsi="Calibri"/>
      <w:sz w:val="22"/>
    </w:rPr>
  </w:style>
  <w:style w:type="paragraph" w:styleId="FootnoteText">
    <w:name w:val="footnote text"/>
    <w:basedOn w:val="Normal"/>
    <w:link w:val="FootnoteTextChar"/>
    <w:uiPriority w:val="99"/>
    <w:unhideWhenUsed/>
    <w:rsid w:val="00422B1F"/>
    <w:rPr>
      <w:sz w:val="24"/>
    </w:rPr>
  </w:style>
  <w:style w:type="character" w:customStyle="1" w:styleId="FootnoteTextChar">
    <w:name w:val="Footnote Text Char"/>
    <w:basedOn w:val="DefaultParagraphFont"/>
    <w:link w:val="FootnoteText"/>
    <w:uiPriority w:val="99"/>
    <w:rsid w:val="00422B1F"/>
    <w:rPr>
      <w:rFonts w:ascii="Calibri" w:hAnsi="Calibri"/>
    </w:rPr>
  </w:style>
  <w:style w:type="character" w:styleId="FootnoteReference">
    <w:name w:val="footnote reference"/>
    <w:basedOn w:val="DefaultParagraphFont"/>
    <w:uiPriority w:val="99"/>
    <w:unhideWhenUsed/>
    <w:rsid w:val="0042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1599</Words>
  <Characters>9115</Characters>
  <Application>Microsoft Macintosh Word</Application>
  <DocSecurity>0</DocSecurity>
  <Lines>75</Lines>
  <Paragraphs>21</Paragraphs>
  <ScaleCrop>false</ScaleCrop>
  <Company>ICANN</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17</cp:revision>
  <dcterms:created xsi:type="dcterms:W3CDTF">2015-10-16T15:43:00Z</dcterms:created>
  <dcterms:modified xsi:type="dcterms:W3CDTF">2015-11-12T23:43:00Z</dcterms:modified>
</cp:coreProperties>
</file>