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CWG CLIENT COMMITTEE/SIDLEY AUSTIN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PROPOSED WORKING METHODS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rFonts w:cs="Times New Roman" w:hAnsi="Times New Roman" w:eastAsia="Times New Roman" w:ascii="Times New Roman"/>
          <w:b w:val="0"/>
          <w:sz w:val="24"/>
          <w:u w:val="none"/>
        </w:rPr>
      </w:pPr>
      <w:r w:rsidRPr="00000000" w:rsidR="00000000" w:rsidDel="00000000">
        <w:rPr>
          <w:rFonts w:cs="Times New Roman" w:hAnsi="Times New Roman" w:eastAsia="Times New Roman" w:ascii="Times New Roman"/>
          <w:b w:val="0"/>
          <w:sz w:val="24"/>
          <w:u w:val="single"/>
          <w:rtl w:val="0"/>
        </w:rPr>
        <w:t xml:space="preserve">Principles</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Useful, timely advice</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Transparency and accountability</w:t>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sz w:val="24"/>
          <w:u w:val="none"/>
        </w:rPr>
      </w:pPr>
      <w:r w:rsidRPr="00000000" w:rsidR="00000000" w:rsidDel="00000000">
        <w:rPr>
          <w:rFonts w:cs="Times New Roman" w:hAnsi="Times New Roman" w:eastAsia="Times New Roman" w:ascii="Times New Roman"/>
          <w:b w:val="0"/>
          <w:sz w:val="24"/>
          <w:u w:val="single"/>
          <w:rtl w:val="0"/>
        </w:rPr>
        <w:t xml:space="preserve">Emails</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Client Committee email list has been created</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The email list should be used for all emails:</w:t>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members of the Client Committee</w:t>
      </w:r>
      <w:r w:rsidRPr="00000000" w:rsidR="00000000" w:rsidDel="00000000">
        <w:rPr>
          <w:rFonts w:cs="Times New Roman" w:hAnsi="Times New Roman" w:eastAsia="Times New Roman" w:ascii="Times New Roman"/>
          <w:b w:val="0"/>
          <w:sz w:val="24"/>
          <w:vertAlign w:val="superscript"/>
        </w:rPr>
        <w:footnoteReference w:id="0" w:customMarkFollows="0"/>
      </w:r>
      <w:r w:rsidRPr="00000000" w:rsidR="00000000" w:rsidDel="00000000">
        <w:rPr>
          <w:rtl w:val="0"/>
        </w:rPr>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members of the Client Committee and Sidley Austin</w:t>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members of the Client Committee and ICANN Legal</w:t>
      </w:r>
      <w:r w:rsidRPr="00000000" w:rsidR="00000000" w:rsidDel="00000000">
        <w:rPr>
          <w:rFonts w:cs="Times New Roman" w:hAnsi="Times New Roman" w:eastAsia="Times New Roman" w:ascii="Times New Roman"/>
          <w:b w:val="0"/>
          <w:sz w:val="24"/>
          <w:vertAlign w:val="superscript"/>
        </w:rPr>
        <w:footnoteReference w:id="1" w:customMarkFollows="0"/>
      </w:r>
      <w:r w:rsidRPr="00000000" w:rsidR="00000000" w:rsidDel="00000000">
        <w:rPr>
          <w:rtl w:val="0"/>
        </w:rPr>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Sidley Austin and ICANN Legal</w:t>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the Client Committee, Sidley Austin and ICANN Legal</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The email list need not be used for internal emails:</w:t>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Sidley Austin attorneys not sent to the Client Committee and/or ICANN Legal</w:t>
      </w:r>
    </w:p>
    <w:p w:rsidP="00000000" w:rsidRPr="00000000" w:rsidR="00000000" w:rsidDel="00000000" w:rsidRDefault="00000000">
      <w:pPr>
        <w:numPr>
          <w:ilvl w:val="2"/>
          <w:numId w:val="2"/>
        </w:numPr>
        <w:spacing w:lineRule="auto" w:after="0" w:line="276" w:before="0"/>
        <w:ind w:left="2160" w:hanging="17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Between ICANN Legal team members not sent to the Client Committee and/or Sidley Austin</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The list is publicly archived</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[Should all emails be copied to the main list, as per John Poole’s suggestion?]</w:t>
      </w:r>
    </w:p>
    <w:p w:rsidP="00000000" w:rsidRPr="00000000" w:rsidR="00000000" w:rsidDel="00000000" w:rsidRDefault="00000000">
      <w:pPr>
        <w:numPr>
          <w:ilvl w:val="0"/>
          <w:numId w:val="2"/>
        </w:numPr>
        <w:spacing w:lineRule="auto" w:after="0" w:line="276"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sz w:val="24"/>
          <w:u w:val="single"/>
          <w:rtl w:val="0"/>
        </w:rPr>
        <w:t xml:space="preserve">Conference Calls and T</w:t>
      </w:r>
      <w:r w:rsidRPr="00000000" w:rsidR="00000000" w:rsidDel="00000000">
        <w:rPr>
          <w:rFonts w:cs="Times New Roman" w:hAnsi="Times New Roman" w:eastAsia="Times New Roman" w:ascii="Times New Roman"/>
          <w:b w:val="0"/>
          <w:sz w:val="24"/>
          <w:u w:val="single"/>
          <w:rtl w:val="0"/>
        </w:rPr>
        <w:t xml:space="preserve">elephone Calls</w:t>
      </w:r>
      <w:r w:rsidRPr="00000000" w:rsidR="00000000" w:rsidDel="00000000">
        <w:rPr>
          <w:rtl w:val="0"/>
        </w:rPr>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There should be regularly scheduled calls between the Client Committee and Sidley Austin</w:t>
      </w:r>
    </w:p>
    <w:p w:rsidP="00000000" w:rsidRPr="00000000" w:rsidR="00000000" w:rsidDel="00000000" w:rsidRDefault="00000000">
      <w:pPr>
        <w:numPr>
          <w:ilvl w:val="1"/>
          <w:numId w:val="2"/>
        </w:numPr>
        <w:spacing w:lineRule="auto" w:after="0" w:line="276" w:before="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0"/>
          <w:sz w:val="24"/>
          <w:rtl w:val="0"/>
        </w:rPr>
        <w:t xml:space="preserve">All such regularly scheduled calls should use the Adobe Connect system</w:t>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rPr>
      </w:pPr>
      <w:bookmarkStart w:id="0" w:colFirst="0" w:name="h.64pqfci743y5" w:colLast="0"/>
      <w:bookmarkEnd w:id="0"/>
      <w:r w:rsidRPr="00000000" w:rsidR="00000000" w:rsidDel="00000000">
        <w:rPr>
          <w:rFonts w:cs="Times New Roman" w:hAnsi="Times New Roman" w:eastAsia="Times New Roman" w:ascii="Times New Roman"/>
          <w:b w:val="0"/>
          <w:sz w:val="24"/>
          <w:rtl w:val="0"/>
        </w:rPr>
        <w:t xml:space="preserve">Ad hoc conference calls should use the Adobe Connect system where possible. </w:t>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u w:val="none"/>
        </w:rPr>
      </w:pPr>
      <w:bookmarkStart w:id="1" w:colFirst="0" w:name="h.1uq0ui1ozh9p" w:colLast="0"/>
      <w:bookmarkEnd w:id="1"/>
      <w:r w:rsidRPr="00000000" w:rsidR="00000000" w:rsidDel="00000000">
        <w:rPr>
          <w:rFonts w:cs="Times New Roman" w:hAnsi="Times New Roman" w:eastAsia="Times New Roman" w:ascii="Times New Roman"/>
          <w:sz w:val="24"/>
          <w:rtl w:val="0"/>
        </w:rPr>
        <w:t xml:space="preserve">Where Adobe Connect is not available for ad hoc conference calls, notes should be taken, and distributed and archived on a timely basis.</w:t>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u w:val="none"/>
        </w:rPr>
      </w:pPr>
      <w:bookmarkStart w:id="2" w:colFirst="0" w:name="h.df6q09ub33ft" w:colLast="0"/>
      <w:bookmarkEnd w:id="2"/>
      <w:r w:rsidRPr="00000000" w:rsidR="00000000" w:rsidDel="00000000">
        <w:rPr>
          <w:rFonts w:cs="Times New Roman" w:hAnsi="Times New Roman" w:eastAsia="Times New Roman" w:ascii="Times New Roman"/>
          <w:sz w:val="24"/>
          <w:rtl w:val="0"/>
        </w:rPr>
        <w:t xml:space="preserve">Calls between individual members of the Client Committee and Sidley Austin teams need not use Adobe Connect[, but a summary email should be sent to the list regarding the substance of the call.]</w:t>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u w:val="none"/>
        </w:rPr>
      </w:pPr>
      <w:bookmarkStart w:id="3" w:colFirst="0" w:name="h.c63hley2xbym" w:colLast="0"/>
      <w:bookmarkEnd w:id="3"/>
      <w:r w:rsidRPr="00000000" w:rsidR="00000000" w:rsidDel="00000000">
        <w:rPr>
          <w:rFonts w:cs="Times New Roman" w:hAnsi="Times New Roman" w:eastAsia="Times New Roman" w:ascii="Times New Roman"/>
          <w:sz w:val="24"/>
          <w:rtl w:val="0"/>
        </w:rPr>
        <w:t xml:space="preserve">All calls between Sidley Austin and ICANN Legal must include at least one member of the Client Committee.</w:t>
      </w:r>
    </w:p>
    <w:p w:rsidP="00000000" w:rsidRPr="00000000" w:rsidR="00000000" w:rsidDel="00000000" w:rsidRDefault="00000000">
      <w:pPr>
        <w:numPr>
          <w:ilvl w:val="0"/>
          <w:numId w:val="2"/>
        </w:numPr>
        <w:spacing w:lineRule="auto" w:after="200" w:line="276" w:before="0"/>
        <w:ind w:left="720" w:hanging="359"/>
        <w:contextualSpacing w:val="1"/>
        <w:rPr>
          <w:rFonts w:cs="Times New Roman" w:hAnsi="Times New Roman" w:eastAsia="Times New Roman" w:ascii="Times New Roman"/>
          <w:sz w:val="24"/>
        </w:rPr>
      </w:pPr>
      <w:bookmarkStart w:id="4" w:colFirst="0" w:name="h.2qkyzmeqf0a3" w:colLast="0"/>
      <w:bookmarkEnd w:id="4"/>
      <w:r w:rsidRPr="00000000" w:rsidR="00000000" w:rsidDel="00000000">
        <w:rPr>
          <w:rFonts w:cs="Times New Roman" w:hAnsi="Times New Roman" w:eastAsia="Times New Roman" w:ascii="Times New Roman"/>
          <w:sz w:val="24"/>
          <w:u w:val="single"/>
          <w:rtl w:val="0"/>
        </w:rPr>
        <w:t xml:space="preserve">Memoranda and Other Deliverables</w:t>
      </w:r>
      <w:r w:rsidRPr="00000000" w:rsidR="00000000" w:rsidDel="00000000">
        <w:rPr>
          <w:rtl w:val="0"/>
        </w:rPr>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u w:val="none"/>
        </w:rPr>
      </w:pPr>
      <w:bookmarkStart w:id="5" w:colFirst="0" w:name="h.7fwnvdl3kd3" w:colLast="0"/>
      <w:bookmarkEnd w:id="5"/>
      <w:r w:rsidRPr="00000000" w:rsidR="00000000" w:rsidDel="00000000">
        <w:rPr>
          <w:rFonts w:cs="Times New Roman" w:hAnsi="Times New Roman" w:eastAsia="Times New Roman" w:ascii="Times New Roman"/>
          <w:sz w:val="24"/>
          <w:rtl w:val="0"/>
        </w:rPr>
        <w:t xml:space="preserve">All memoranda and other deliverables prepared by Sidley Austin must be prepared with the understanding that they will be shared with the CWG; either on the Client Committee mailing list or by being sent to the CWG mailing list.</w:t>
      </w:r>
    </w:p>
    <w:p w:rsidP="00000000" w:rsidRPr="00000000" w:rsidR="00000000" w:rsidDel="00000000" w:rsidRDefault="00000000">
      <w:pPr>
        <w:numPr>
          <w:ilvl w:val="1"/>
          <w:numId w:val="2"/>
        </w:numPr>
        <w:spacing w:lineRule="auto" w:after="200" w:line="276" w:before="0"/>
        <w:ind w:left="1440" w:hanging="359"/>
        <w:contextualSpacing w:val="1"/>
        <w:rPr>
          <w:rFonts w:cs="Times New Roman" w:hAnsi="Times New Roman" w:eastAsia="Times New Roman" w:ascii="Times New Roman"/>
          <w:sz w:val="24"/>
          <w:u w:val="none"/>
        </w:rPr>
      </w:pPr>
      <w:bookmarkStart w:id="6" w:colFirst="0" w:name="h.ybtaob8i3rsz" w:colLast="0"/>
      <w:bookmarkEnd w:id="6"/>
      <w:r w:rsidRPr="00000000" w:rsidR="00000000" w:rsidDel="00000000">
        <w:rPr>
          <w:rFonts w:cs="Times New Roman" w:hAnsi="Times New Roman" w:eastAsia="Times New Roman" w:ascii="Times New Roman"/>
          <w:sz w:val="24"/>
          <w:rtl w:val="0"/>
        </w:rPr>
        <w:t xml:space="preserve">Final versions of all documents must be sent to the CWG mailing list. </w:t>
      </w:r>
    </w:p>
    <w:sectPr>
      <w:head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b w:val="0"/>
          <w:sz w:val="20"/>
          <w:rtl w:val="0"/>
        </w:rPr>
        <w:t xml:space="preserve"> </w:t>
      </w:r>
      <w:r w:rsidRPr="00000000" w:rsidR="00000000" w:rsidDel="00000000">
        <w:rPr>
          <w:rFonts w:cs="Times New Roman" w:hAnsi="Times New Roman" w:eastAsia="Times New Roman" w:ascii="Times New Roman"/>
          <w:b w:val="0"/>
          <w:sz w:val="20"/>
          <w:rtl w:val="0"/>
        </w:rPr>
        <w:t xml:space="preserve">Members of the Client Committee are also participating in other aspects of the work of the CWG.  Emails relating to those other aspects, and not to the work of the Client Committee should not be sent on the Client Committee email list.</w:t>
      </w:r>
    </w:p>
  </w:footnote>
  <w:footnote w:id="1">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Calibri" w:hAnsi="Calibri" w:eastAsia="Calibri" w:ascii="Calibri"/>
          <w:b w:val="0"/>
          <w:sz w:val="20"/>
          <w:rtl w:val="0"/>
        </w:rPr>
        <w:t xml:space="preserve"> </w:t>
      </w:r>
      <w:r w:rsidRPr="00000000" w:rsidR="00000000" w:rsidDel="00000000">
        <w:rPr>
          <w:rFonts w:cs="Times New Roman" w:hAnsi="Times New Roman" w:eastAsia="Times New Roman" w:ascii="Times New Roman"/>
          <w:b w:val="0"/>
          <w:sz w:val="20"/>
          <w:rtl w:val="0"/>
        </w:rPr>
        <w:t xml:space="preserve">“ICANN legal” includes Kevin Espinola and other Jones Day attorneys</w:t>
      </w:r>
      <w:r w:rsidRPr="00000000" w:rsidR="00000000" w:rsidDel="00000000">
        <w:rPr>
          <w:rFonts w:cs="Calibri" w:hAnsi="Calibri" w:eastAsia="Calibri" w:ascii="Calibri"/>
          <w:b w:val="0"/>
          <w:sz w:val="20"/>
          <w:rtl w:val="0"/>
        </w:rPr>
        <w:t xml:space="preserve">.</w:t>
      </w:r>
      <w:r w:rsidRPr="00000000" w:rsidR="00000000" w:rsidDel="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720"/>
      <w:contextualSpacing w:val="0"/>
      <w:jc w:val="right"/>
    </w:pPr>
    <w:r w:rsidRPr="00000000" w:rsidR="00000000" w:rsidDel="00000000">
      <w:rPr>
        <w:rFonts w:cs="Times New Roman" w:hAnsi="Times New Roman" w:eastAsia="Times New Roman" w:ascii="Times New Roman"/>
        <w:b w:val="1"/>
        <w:sz w:val="24"/>
        <w:rtl w:val="0"/>
      </w:rPr>
      <w:t xml:space="preserve">DISCUSSION DRAFT 8 MARCH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s>
</file>