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smallCaps/>
          <w:u w:val="single"/>
        </w:rPr>
      </w:pPr>
      <w:r>
        <w:rPr>
          <w:smallCaps/>
          <w:u w:val="single"/>
        </w:rPr>
        <w:t xml:space="preserve">Services Agreement </w:t>
      </w:r>
    </w:p>
    <w:p>
      <w:pPr>
        <w:pStyle w:val="BodyFirstLine5"/>
      </w:pPr>
      <w:r>
        <w:t>This Services Agreement (this “</w:t>
      </w:r>
      <w:r>
        <w:rPr>
          <w:b/>
        </w:rPr>
        <w:t>Agreement</w:t>
      </w:r>
      <w:r>
        <w:t>”) is dated as of [</w:t>
      </w:r>
      <w:r>
        <w:sym w:font="Webdings" w:char="F03D"/>
      </w:r>
      <w:r>
        <w:t>] 2016 and is entered into by and between Internet Corporation for Assigned Names and Numbers, a California nonprofit public benefit corporation (“</w:t>
      </w:r>
      <w:r>
        <w:rPr>
          <w:b/>
        </w:rPr>
        <w:t>ICANN</w:t>
      </w:r>
      <w:r>
        <w:t>”) and [PTI], a California nonprofit public benefit corporation (the “</w:t>
      </w:r>
      <w:r>
        <w:rPr>
          <w:b/>
        </w:rPr>
        <w:t>PTI</w:t>
      </w:r>
      <w:r>
        <w:t xml:space="preserve">”), and shall be effective as of the last date on which each of the conditions set forth in </w:t>
      </w:r>
      <w:r>
        <w:rPr>
          <w:u w:val="single"/>
        </w:rPr>
        <w:t>Section 1</w:t>
      </w:r>
      <w:r>
        <w:t xml:space="preserve"> have been satisfied (the “</w:t>
      </w:r>
      <w:r>
        <w:rPr>
          <w:b/>
        </w:rPr>
        <w:t>Effective Date</w:t>
      </w:r>
      <w:r>
        <w:t>”).  ICANN and PTI may each be referred to individually as a “</w:t>
      </w:r>
      <w:r>
        <w:rPr>
          <w:b/>
        </w:rPr>
        <w:t>Party</w:t>
      </w:r>
      <w:r>
        <w:t>” and collectively as the “</w:t>
      </w:r>
      <w:r>
        <w:rPr>
          <w:b/>
        </w:rPr>
        <w:t>Parties</w:t>
      </w:r>
      <w:r>
        <w:t xml:space="preserve">.”  </w:t>
      </w:r>
    </w:p>
    <w:p>
      <w:pPr>
        <w:pStyle w:val="BodyFirstLine5"/>
      </w:pPr>
      <w:r>
        <w:t>WHEREAS, on 14 March 2014, the National Telecommunications and Information Administration (“</w:t>
      </w:r>
      <w:r>
        <w:rPr>
          <w:b/>
        </w:rPr>
        <w:t>NTIA</w:t>
      </w:r>
      <w:r>
        <w:t>”) announced the transition of NTIA’s stewardship role of key Internet domain name functions to the global multi-stakeholder community (the “</w:t>
      </w:r>
      <w:r>
        <w:rPr>
          <w:b/>
        </w:rPr>
        <w:t>IANA Stewardship Transition</w:t>
      </w:r>
      <w:r>
        <w:t xml:space="preserve">”); </w:t>
      </w:r>
    </w:p>
    <w:p>
      <w:pPr>
        <w:pStyle w:val="BodyFirstLine5"/>
      </w:pPr>
      <w:r>
        <w:t xml:space="preserve">WHEREAS, following the IANA Stewardship Transition, PTI will perform the IANA functions on behalf of ICANN; and </w:t>
      </w:r>
    </w:p>
    <w:p>
      <w:pPr>
        <w:pStyle w:val="BodyFirstLine5"/>
      </w:pPr>
      <w:r>
        <w:t xml:space="preserve">WHEREAS, ICANN and PTI desire to enter into this Agreement pursuant to which ICANN will provide the services set forth herein to facilitate PTI’s performance of the IANA functions.  </w:t>
      </w:r>
    </w:p>
    <w:p>
      <w:pPr>
        <w:pStyle w:val="BodyFirstLine5"/>
      </w:pPr>
      <w:r>
        <w:t xml:space="preserve">NOW, THEREFORE, for good and valuable consideration, the sufficiency of which is hereby acknowledged, the Parties agree as follows:  </w:t>
      </w:r>
    </w:p>
    <w:p>
      <w:pPr>
        <w:pStyle w:val="Heading1"/>
      </w:pPr>
      <w:r>
        <w:t xml:space="preserve">CONDITION PRECEDENT </w:t>
      </w:r>
    </w:p>
    <w:p>
      <w:pPr>
        <w:pStyle w:val="Heading2"/>
        <w:rPr>
          <w:vanish/>
          <w:color w:val="FF0000"/>
          <w:specVanish/>
        </w:rPr>
      </w:pPr>
      <w:r>
        <w:t>Condition Precedent</w:t>
      </w:r>
    </w:p>
    <w:p>
      <w:pPr>
        <w:pStyle w:val="HeadingBody2"/>
      </w:pPr>
      <w:r>
        <w:t>.  This Agreement shall be effective as of the last date on which the following conditions have been satisfied: (i) ICANN is released from its obligations to coordinate root zone management as currently performed by the National Telecommunications and Information Administration, United States Department of Commerce (“</w:t>
      </w:r>
      <w:r>
        <w:rPr>
          <w:b/>
        </w:rPr>
        <w:t>DOC</w:t>
      </w:r>
      <w:r>
        <w:t>”), as may be added to or modified by the DOC and ICANN, pursuant to its contract with the DOC, effective as of 01 October 2012 (including any extension thereof) and (ii) ICANN has accepted the responsibility to perform any of the IANA functions.</w:t>
      </w:r>
      <w:r>
        <w:rPr>
          <w:rStyle w:val="FootnoteReference"/>
        </w:rPr>
        <w:footnoteReference w:id="1"/>
      </w:r>
      <w:r>
        <w:t xml:space="preserve">  </w:t>
      </w:r>
    </w:p>
    <w:p>
      <w:pPr>
        <w:pStyle w:val="Heading1"/>
      </w:pPr>
      <w:r>
        <w:t xml:space="preserve">REPRESENTATIONS AND WARRANTIES </w:t>
      </w:r>
    </w:p>
    <w:p>
      <w:pPr>
        <w:pStyle w:val="Heading2"/>
        <w:rPr>
          <w:vanish/>
          <w:color w:val="FF0000"/>
          <w:specVanish/>
        </w:rPr>
      </w:pPr>
      <w:r>
        <w:t>ICANN’s Warranties</w:t>
      </w:r>
    </w:p>
    <w:p>
      <w:pPr>
        <w:pStyle w:val="HeadingBody2"/>
      </w:pPr>
      <w:r>
        <w:t xml:space="preserve">.  ICANN represents and warrants that (i) it has all necessary rights and powers to enter into and perform its obligations under this Agreement, and (ii) the </w:t>
      </w:r>
      <w:r>
        <w:lastRenderedPageBreak/>
        <w:t>execution, delivery and performance of this Agreement by ICANN has been duly authorized by all necessary corporate action.</w:t>
      </w:r>
      <w:r>
        <w:rPr>
          <w:rStyle w:val="FootnoteReference"/>
        </w:rPr>
        <w:footnoteReference w:id="2"/>
      </w:r>
      <w:r>
        <w:t xml:space="preserve">  </w:t>
      </w:r>
    </w:p>
    <w:p>
      <w:pPr>
        <w:pStyle w:val="Heading2"/>
        <w:rPr>
          <w:vanish/>
          <w:color w:val="FF0000"/>
          <w:specVanish/>
        </w:rPr>
      </w:pPr>
      <w:r>
        <w:t>PTI Warranties</w:t>
      </w:r>
    </w:p>
    <w:p>
      <w:pPr>
        <w:pStyle w:val="HeadingBody2"/>
      </w:pPr>
      <w:r>
        <w:t>.  PTI represents and warrants that (i) it has all necessary rights and powers to enter into and perform its obligations under this Agreement; and (ii) the execution, delivery and performance of this Agreement by PTI has been duly authorized by all necessary corporate action.</w:t>
      </w:r>
    </w:p>
    <w:p>
      <w:pPr>
        <w:pStyle w:val="Heading1"/>
      </w:pPr>
      <w:r>
        <w:t>SERVICES</w:t>
      </w:r>
    </w:p>
    <w:p>
      <w:pPr>
        <w:pStyle w:val="Heading2"/>
        <w:rPr>
          <w:vanish/>
          <w:color w:val="FF0000"/>
          <w:specVanish/>
        </w:rPr>
      </w:pPr>
      <w:r>
        <w:t>Services</w:t>
      </w:r>
    </w:p>
    <w:p>
      <w:pPr>
        <w:pStyle w:val="HeadingBody2"/>
      </w:pPr>
      <w:r>
        <w:t>.</w:t>
      </w:r>
    </w:p>
    <w:p>
      <w:pPr>
        <w:pStyle w:val="Heading2"/>
        <w:rPr>
          <w:vanish/>
          <w:color w:val="FF0000"/>
          <w:specVanish/>
        </w:rPr>
      </w:pPr>
      <w:r>
        <w:t>Deliverables</w:t>
      </w:r>
    </w:p>
    <w:p>
      <w:pPr>
        <w:pStyle w:val="HeadingBody2"/>
      </w:pPr>
      <w:r>
        <w:t>.</w:t>
      </w:r>
    </w:p>
    <w:p>
      <w:pPr>
        <w:pStyle w:val="Heading2"/>
        <w:rPr>
          <w:vanish/>
          <w:color w:val="FF0000"/>
          <w:specVanish/>
        </w:rPr>
      </w:pPr>
      <w:r>
        <w:t>Additional Services</w:t>
      </w:r>
    </w:p>
    <w:p>
      <w:pPr>
        <w:pStyle w:val="HeadingBody2"/>
      </w:pPr>
      <w:r>
        <w:t>.</w:t>
      </w:r>
    </w:p>
    <w:p>
      <w:pPr>
        <w:pStyle w:val="Heading2"/>
        <w:rPr>
          <w:vanish/>
          <w:color w:val="FF0000"/>
          <w:specVanish/>
        </w:rPr>
      </w:pPr>
      <w:r>
        <w:t>Performance Standards</w:t>
      </w:r>
    </w:p>
    <w:p>
      <w:pPr>
        <w:pStyle w:val="HeadingBody2"/>
      </w:pPr>
      <w:r>
        <w:t>.</w:t>
      </w:r>
    </w:p>
    <w:p>
      <w:pPr>
        <w:pStyle w:val="Heading2"/>
        <w:rPr>
          <w:vanish/>
          <w:color w:val="FF0000"/>
          <w:specVanish/>
        </w:rPr>
      </w:pPr>
      <w:r>
        <w:t>Review of Services; Inspection and Acceptance</w:t>
      </w:r>
    </w:p>
    <w:p>
      <w:pPr>
        <w:pStyle w:val="HeadingBody2"/>
      </w:pPr>
      <w:r>
        <w:t>.</w:t>
      </w:r>
    </w:p>
    <w:p>
      <w:pPr>
        <w:pStyle w:val="Heading2"/>
        <w:rPr>
          <w:vanish/>
          <w:color w:val="FF0000"/>
          <w:specVanish/>
        </w:rPr>
      </w:pPr>
      <w:r>
        <w:t>Modifications in Scope of Services</w:t>
      </w:r>
    </w:p>
    <w:p>
      <w:pPr>
        <w:pStyle w:val="HeadingBody2"/>
      </w:pPr>
      <w:r>
        <w:t>.</w:t>
      </w:r>
    </w:p>
    <w:p>
      <w:pPr>
        <w:pStyle w:val="Heading2"/>
        <w:rPr>
          <w:vanish/>
          <w:color w:val="FF0000"/>
          <w:specVanish/>
        </w:rPr>
      </w:pPr>
      <w:r>
        <w:t>Termination of a Service</w:t>
      </w:r>
    </w:p>
    <w:p>
      <w:pPr>
        <w:pStyle w:val="HeadingBody2"/>
      </w:pPr>
      <w:r>
        <w:t>.</w:t>
      </w:r>
    </w:p>
    <w:p>
      <w:pPr>
        <w:pStyle w:val="Heading1"/>
      </w:pPr>
      <w:r>
        <w:t>PREMISES</w:t>
      </w:r>
    </w:p>
    <w:p>
      <w:pPr>
        <w:pStyle w:val="Heading2"/>
        <w:rPr>
          <w:vanish/>
          <w:color w:val="FF0000"/>
          <w:specVanish/>
        </w:rPr>
      </w:pPr>
      <w:r>
        <w:t>Sublease</w:t>
      </w:r>
    </w:p>
    <w:p>
      <w:pPr>
        <w:pStyle w:val="HeadingBody2"/>
      </w:pPr>
      <w:r>
        <w:t>.</w:t>
      </w:r>
    </w:p>
    <w:p>
      <w:pPr>
        <w:pStyle w:val="Heading2"/>
        <w:rPr>
          <w:vanish/>
          <w:color w:val="FF0000"/>
          <w:specVanish/>
        </w:rPr>
      </w:pPr>
      <w:r>
        <w:t>Work Rules and Regulations</w:t>
      </w:r>
    </w:p>
    <w:p>
      <w:pPr>
        <w:pStyle w:val="HeadingBody2"/>
      </w:pPr>
      <w:r>
        <w:t xml:space="preserve">.  </w:t>
      </w:r>
    </w:p>
    <w:p>
      <w:pPr>
        <w:pStyle w:val="Heading2"/>
        <w:rPr>
          <w:vanish/>
          <w:color w:val="FF0000"/>
          <w:specVanish/>
        </w:rPr>
      </w:pPr>
      <w:r>
        <w:t>Parking Spaces</w:t>
      </w:r>
    </w:p>
    <w:p>
      <w:pPr>
        <w:pStyle w:val="HeadingBody2"/>
      </w:pPr>
      <w:r>
        <w:t>.</w:t>
      </w:r>
    </w:p>
    <w:p>
      <w:pPr>
        <w:pStyle w:val="Heading2"/>
        <w:rPr>
          <w:vanish/>
          <w:color w:val="FF0000"/>
          <w:specVanish/>
        </w:rPr>
      </w:pPr>
      <w:r>
        <w:t>Vacating of Premises</w:t>
      </w:r>
    </w:p>
    <w:p>
      <w:pPr>
        <w:pStyle w:val="HeadingBody2"/>
      </w:pPr>
      <w:r>
        <w:t>.</w:t>
      </w:r>
    </w:p>
    <w:p>
      <w:pPr>
        <w:pStyle w:val="Heading1"/>
      </w:pPr>
      <w:r>
        <w:t>FEES AND EXPENSES</w:t>
      </w:r>
    </w:p>
    <w:p>
      <w:pPr>
        <w:pStyle w:val="Heading2"/>
        <w:rPr>
          <w:vanish/>
          <w:color w:val="FF0000"/>
          <w:specVanish/>
        </w:rPr>
      </w:pPr>
      <w:r>
        <w:t>Fees</w:t>
      </w:r>
    </w:p>
    <w:p>
      <w:pPr>
        <w:pStyle w:val="HeadingBody2"/>
      </w:pPr>
      <w:r>
        <w:t>.</w:t>
      </w:r>
    </w:p>
    <w:p>
      <w:pPr>
        <w:pStyle w:val="Heading2"/>
        <w:rPr>
          <w:vanish/>
          <w:color w:val="FF0000"/>
          <w:specVanish/>
        </w:rPr>
      </w:pPr>
      <w:r>
        <w:t>Employee Expenses</w:t>
      </w:r>
    </w:p>
    <w:p>
      <w:pPr>
        <w:pStyle w:val="HeadingBody2"/>
      </w:pPr>
      <w:r>
        <w:t>.</w:t>
      </w:r>
    </w:p>
    <w:p>
      <w:pPr>
        <w:pStyle w:val="Heading2"/>
        <w:rPr>
          <w:vanish/>
          <w:color w:val="FF0000"/>
          <w:specVanish/>
        </w:rPr>
      </w:pPr>
      <w:r>
        <w:t>No Profit or Loss</w:t>
      </w:r>
    </w:p>
    <w:p>
      <w:pPr>
        <w:pStyle w:val="HeadingBody2"/>
      </w:pPr>
      <w:r>
        <w:t>.</w:t>
      </w:r>
    </w:p>
    <w:p>
      <w:pPr>
        <w:pStyle w:val="Heading2"/>
        <w:rPr>
          <w:vanish/>
          <w:color w:val="FF0000"/>
          <w:specVanish/>
        </w:rPr>
      </w:pPr>
      <w:r>
        <w:t>Invoices and Payment Processes</w:t>
      </w:r>
    </w:p>
    <w:p>
      <w:pPr>
        <w:pStyle w:val="HeadingBody2"/>
      </w:pPr>
      <w:r>
        <w:t>.</w:t>
      </w:r>
    </w:p>
    <w:p>
      <w:pPr>
        <w:pStyle w:val="Heading2"/>
        <w:rPr>
          <w:vanish/>
          <w:color w:val="FF0000"/>
          <w:specVanish/>
        </w:rPr>
      </w:pPr>
      <w:r>
        <w:lastRenderedPageBreak/>
        <w:t>Maintenance of Books</w:t>
      </w:r>
    </w:p>
    <w:p>
      <w:pPr>
        <w:pStyle w:val="HeadingBody2"/>
      </w:pPr>
      <w:r>
        <w:t>.</w:t>
      </w:r>
    </w:p>
    <w:p>
      <w:pPr>
        <w:pStyle w:val="Heading1"/>
      </w:pPr>
      <w:r>
        <w:t xml:space="preserve">DISCLAIMER OF WARRANTIES AND LIMITATION OF LIABILITY </w:t>
      </w:r>
    </w:p>
    <w:p>
      <w:pPr>
        <w:pStyle w:val="Heading2"/>
        <w:rPr>
          <w:vanish/>
          <w:color w:val="FF0000"/>
          <w:specVanish/>
        </w:rPr>
      </w:pPr>
      <w:r>
        <w:t>Disclaimer of Warranties</w:t>
      </w:r>
    </w:p>
    <w:p>
      <w:pPr>
        <w:pStyle w:val="HeadingBody2"/>
      </w:pPr>
      <w:r>
        <w:t>.</w:t>
      </w:r>
    </w:p>
    <w:p>
      <w:pPr>
        <w:pStyle w:val="Heading2"/>
        <w:rPr>
          <w:vanish/>
          <w:color w:val="FF0000"/>
          <w:specVanish/>
        </w:rPr>
      </w:pPr>
      <w:r>
        <w:t>Limitation of Liability</w:t>
      </w:r>
    </w:p>
    <w:p>
      <w:pPr>
        <w:pStyle w:val="HeadingBody2"/>
      </w:pPr>
      <w:r>
        <w:t>.</w:t>
      </w:r>
    </w:p>
    <w:p>
      <w:pPr>
        <w:pStyle w:val="Heading1"/>
      </w:pPr>
      <w:r>
        <w:t>PERSONNEL MATTERS</w:t>
      </w:r>
      <w:r>
        <w:rPr>
          <w:rStyle w:val="FootnoteReference"/>
        </w:rPr>
        <w:footnoteReference w:id="3"/>
      </w:r>
    </w:p>
    <w:p>
      <w:pPr>
        <w:pStyle w:val="Heading2"/>
        <w:rPr>
          <w:vanish/>
          <w:color w:val="FF0000"/>
          <w:specVanish/>
        </w:rPr>
      </w:pPr>
      <w:r>
        <w:t>Personnel</w:t>
      </w:r>
    </w:p>
    <w:p>
      <w:pPr>
        <w:pStyle w:val="HeadingBody2"/>
      </w:pPr>
      <w:r>
        <w:t>.</w:t>
      </w:r>
    </w:p>
    <w:p>
      <w:pPr>
        <w:pStyle w:val="Heading2"/>
        <w:rPr>
          <w:vanish/>
          <w:color w:val="FF0000"/>
          <w:specVanish/>
        </w:rPr>
      </w:pPr>
      <w:r>
        <w:t>Employee Benefit Plans</w:t>
      </w:r>
    </w:p>
    <w:p>
      <w:pPr>
        <w:pStyle w:val="HeadingBody2"/>
      </w:pPr>
      <w:r>
        <w:t>.</w:t>
      </w:r>
    </w:p>
    <w:p>
      <w:pPr>
        <w:pStyle w:val="Heading2"/>
        <w:rPr>
          <w:vanish/>
          <w:color w:val="FF0000"/>
          <w:specVanish/>
        </w:rPr>
      </w:pPr>
      <w:r>
        <w:t>Insurance, Health and Welfare Plans</w:t>
      </w:r>
    </w:p>
    <w:p>
      <w:pPr>
        <w:pStyle w:val="HeadingBody2"/>
      </w:pPr>
      <w:r>
        <w:t>.</w:t>
      </w:r>
    </w:p>
    <w:p>
      <w:pPr>
        <w:pStyle w:val="Heading1"/>
      </w:pPr>
      <w:r>
        <w:t>TAX</w:t>
      </w:r>
    </w:p>
    <w:p>
      <w:pPr>
        <w:pStyle w:val="Heading2"/>
        <w:rPr>
          <w:vanish/>
          <w:color w:val="FF0000"/>
          <w:specVanish/>
        </w:rPr>
      </w:pPr>
      <w:r>
        <w:t>Arm’s Length Pricing</w:t>
      </w:r>
    </w:p>
    <w:p>
      <w:pPr>
        <w:pStyle w:val="HeadingBody2"/>
      </w:pPr>
      <w:r>
        <w:t>.</w:t>
      </w:r>
    </w:p>
    <w:p>
      <w:pPr>
        <w:pStyle w:val="Heading2"/>
        <w:rPr>
          <w:vanish/>
          <w:color w:val="FF0000"/>
          <w:specVanish/>
        </w:rPr>
      </w:pPr>
      <w:r>
        <w:t>[To come]</w:t>
      </w:r>
    </w:p>
    <w:p>
      <w:pPr>
        <w:pStyle w:val="HeadingBody2"/>
      </w:pPr>
      <w:r>
        <w:t>.</w:t>
      </w:r>
    </w:p>
    <w:p>
      <w:pPr>
        <w:pStyle w:val="Heading1"/>
      </w:pPr>
      <w:r>
        <w:t>RECORDS AND INFORMATION; AUDIT RIGHTS</w:t>
      </w:r>
    </w:p>
    <w:p>
      <w:pPr>
        <w:pStyle w:val="Heading2"/>
        <w:rPr>
          <w:vanish/>
          <w:color w:val="FF0000"/>
          <w:specVanish/>
        </w:rPr>
      </w:pPr>
      <w:r>
        <w:t>Ownership and Custody of Records</w:t>
      </w:r>
    </w:p>
    <w:p>
      <w:pPr>
        <w:pStyle w:val="HeadingBody2"/>
      </w:pPr>
      <w:r>
        <w:t>.</w:t>
      </w:r>
    </w:p>
    <w:p>
      <w:pPr>
        <w:pStyle w:val="Heading2"/>
        <w:rPr>
          <w:vanish/>
          <w:color w:val="FF0000"/>
          <w:specVanish/>
        </w:rPr>
      </w:pPr>
      <w:r>
        <w:t>Assistance</w:t>
      </w:r>
    </w:p>
    <w:p>
      <w:pPr>
        <w:pStyle w:val="HeadingBody2"/>
      </w:pPr>
      <w:r>
        <w:t>.</w:t>
      </w:r>
    </w:p>
    <w:p>
      <w:pPr>
        <w:pStyle w:val="Heading2"/>
        <w:rPr>
          <w:vanish/>
          <w:color w:val="FF0000"/>
          <w:specVanish/>
        </w:rPr>
      </w:pPr>
      <w:r>
        <w:t>Audit Rights</w:t>
      </w:r>
    </w:p>
    <w:p>
      <w:pPr>
        <w:pStyle w:val="HeadingBody2"/>
      </w:pPr>
      <w:r>
        <w:t>.</w:t>
      </w:r>
    </w:p>
    <w:p>
      <w:pPr>
        <w:pStyle w:val="Heading1"/>
      </w:pPr>
      <w:r>
        <w:t>OWNERSHIP AND RIGHTS TO DELIVERABLES AND SERVICES</w:t>
      </w:r>
    </w:p>
    <w:p>
      <w:pPr>
        <w:pStyle w:val="Heading1"/>
      </w:pPr>
      <w:r>
        <w:t>CONFIDENTIALITY, NON-DISCLOSURE, SECURITY AND DATA PROTECTION</w:t>
      </w:r>
    </w:p>
    <w:p>
      <w:pPr>
        <w:pStyle w:val="Heading2"/>
        <w:rPr>
          <w:vanish/>
          <w:color w:val="FF0000"/>
          <w:specVanish/>
        </w:rPr>
      </w:pPr>
      <w:r>
        <w:t>Confidentiality</w:t>
      </w:r>
    </w:p>
    <w:p>
      <w:pPr>
        <w:pStyle w:val="HeadingBody2"/>
      </w:pPr>
      <w:r>
        <w:t>.</w:t>
      </w:r>
    </w:p>
    <w:p>
      <w:pPr>
        <w:pStyle w:val="Heading2"/>
        <w:rPr>
          <w:vanish/>
          <w:color w:val="FF0000"/>
          <w:specVanish/>
        </w:rPr>
      </w:pPr>
      <w:r>
        <w:t>Confidentiality Exceptions</w:t>
      </w:r>
    </w:p>
    <w:p>
      <w:pPr>
        <w:pStyle w:val="HeadingBody2"/>
      </w:pPr>
      <w:r>
        <w:t>.</w:t>
      </w:r>
    </w:p>
    <w:p>
      <w:pPr>
        <w:pStyle w:val="Heading2"/>
        <w:rPr>
          <w:vanish/>
          <w:color w:val="FF0000"/>
          <w:specVanish/>
        </w:rPr>
      </w:pPr>
      <w:r>
        <w:t>Injunctive Relief</w:t>
      </w:r>
    </w:p>
    <w:p>
      <w:pPr>
        <w:pStyle w:val="HeadingBody2"/>
      </w:pPr>
      <w:r>
        <w:t>.</w:t>
      </w:r>
    </w:p>
    <w:p>
      <w:pPr>
        <w:pStyle w:val="Heading2"/>
        <w:rPr>
          <w:vanish/>
          <w:color w:val="FF0000"/>
          <w:specVanish/>
        </w:rPr>
      </w:pPr>
      <w:r>
        <w:t>Disposition of Confidential Information on Termination or Expiration</w:t>
      </w:r>
    </w:p>
    <w:p>
      <w:pPr>
        <w:pStyle w:val="HeadingBody2"/>
      </w:pPr>
      <w:r>
        <w:t>.</w:t>
      </w:r>
    </w:p>
    <w:p>
      <w:pPr>
        <w:pStyle w:val="Heading2"/>
        <w:rPr>
          <w:vanish/>
          <w:color w:val="FF0000"/>
          <w:specVanish/>
        </w:rPr>
      </w:pPr>
      <w:r>
        <w:t>Security and Data Protection</w:t>
      </w:r>
    </w:p>
    <w:p>
      <w:pPr>
        <w:pStyle w:val="HeadingBody2"/>
      </w:pPr>
      <w:r>
        <w:t>.</w:t>
      </w:r>
    </w:p>
    <w:p>
      <w:pPr>
        <w:pStyle w:val="Heading1"/>
      </w:pPr>
      <w:r>
        <w:t>INDEMNIFICATION</w:t>
      </w:r>
    </w:p>
    <w:p>
      <w:pPr>
        <w:pStyle w:val="Heading1"/>
      </w:pPr>
      <w:r>
        <w:lastRenderedPageBreak/>
        <w:t>TERM; RENEWAL; TRANSITION AND TERMINATION</w:t>
      </w:r>
    </w:p>
    <w:p>
      <w:pPr>
        <w:pStyle w:val="Heading2"/>
        <w:rPr>
          <w:vanish/>
          <w:color w:val="FF0000"/>
          <w:specVanish/>
        </w:rPr>
      </w:pPr>
      <w:r>
        <w:t>Term</w:t>
      </w:r>
    </w:p>
    <w:p>
      <w:pPr>
        <w:pStyle w:val="HeadingBody2"/>
      </w:pPr>
      <w:r>
        <w:t>.</w:t>
      </w:r>
    </w:p>
    <w:p>
      <w:pPr>
        <w:pStyle w:val="Heading2"/>
        <w:rPr>
          <w:vanish/>
          <w:color w:val="FF0000"/>
          <w:specVanish/>
        </w:rPr>
      </w:pPr>
      <w:r>
        <w:t>Termination</w:t>
      </w:r>
    </w:p>
    <w:p>
      <w:pPr>
        <w:pStyle w:val="HeadingBody2"/>
      </w:pPr>
      <w:r>
        <w:t>.</w:t>
      </w:r>
    </w:p>
    <w:p>
      <w:pPr>
        <w:pStyle w:val="Heading2"/>
        <w:rPr>
          <w:vanish/>
          <w:color w:val="FF0000"/>
          <w:specVanish/>
        </w:rPr>
      </w:pPr>
      <w:r>
        <w:t>Survival</w:t>
      </w:r>
    </w:p>
    <w:p>
      <w:pPr>
        <w:pStyle w:val="HeadingBody2"/>
      </w:pPr>
      <w:r>
        <w:t>.</w:t>
      </w:r>
    </w:p>
    <w:p>
      <w:pPr>
        <w:pStyle w:val="Heading1"/>
      </w:pPr>
      <w:r>
        <w:t>MISCELLANEOUS</w:t>
      </w:r>
    </w:p>
    <w:p>
      <w:pPr>
        <w:pStyle w:val="Heading2"/>
        <w:rPr>
          <w:vanish/>
          <w:color w:val="FF0000"/>
          <w:specVanish/>
        </w:rPr>
      </w:pPr>
      <w:r>
        <w:t>Interpretation</w:t>
      </w:r>
    </w:p>
    <w:p>
      <w:pPr>
        <w:pStyle w:val="HeadingBody2"/>
      </w:pPr>
      <w:r>
        <w:t>.</w:t>
      </w:r>
    </w:p>
    <w:p>
      <w:pPr>
        <w:pStyle w:val="Heading2"/>
        <w:rPr>
          <w:vanish/>
          <w:color w:val="FF0000"/>
          <w:specVanish/>
        </w:rPr>
      </w:pPr>
      <w:r>
        <w:t>Notices</w:t>
      </w:r>
    </w:p>
    <w:p>
      <w:pPr>
        <w:pStyle w:val="HeadingBody2"/>
      </w:pPr>
      <w:r>
        <w:t>.</w:t>
      </w:r>
    </w:p>
    <w:p>
      <w:pPr>
        <w:pStyle w:val="Heading2"/>
        <w:rPr>
          <w:vanish/>
          <w:color w:val="FF0000"/>
          <w:specVanish/>
        </w:rPr>
      </w:pPr>
      <w:r>
        <w:t>Amendments and Waiver</w:t>
      </w:r>
    </w:p>
    <w:p>
      <w:pPr>
        <w:pStyle w:val="HeadingBody2"/>
      </w:pPr>
      <w:r>
        <w:t>.</w:t>
      </w:r>
    </w:p>
    <w:p>
      <w:pPr>
        <w:pStyle w:val="Heading2"/>
        <w:rPr>
          <w:vanish/>
          <w:color w:val="FF0000"/>
          <w:specVanish/>
        </w:rPr>
      </w:pPr>
      <w:r>
        <w:t>Severability</w:t>
      </w:r>
    </w:p>
    <w:p>
      <w:pPr>
        <w:pStyle w:val="HeadingBody2"/>
      </w:pPr>
      <w:r>
        <w:t>.</w:t>
      </w:r>
    </w:p>
    <w:p>
      <w:pPr>
        <w:pStyle w:val="Heading2"/>
        <w:rPr>
          <w:vanish/>
          <w:color w:val="FF0000"/>
          <w:specVanish/>
        </w:rPr>
      </w:pPr>
      <w:r>
        <w:t>Assignment and Subcontracting</w:t>
      </w:r>
    </w:p>
    <w:p>
      <w:pPr>
        <w:pStyle w:val="HeadingBody2"/>
      </w:pPr>
      <w:r>
        <w:t>.</w:t>
      </w:r>
    </w:p>
    <w:p>
      <w:pPr>
        <w:pStyle w:val="Heading2"/>
        <w:rPr>
          <w:vanish/>
          <w:color w:val="FF0000"/>
          <w:specVanish/>
        </w:rPr>
      </w:pPr>
      <w:r>
        <w:t>Relationship of the Parties</w:t>
      </w:r>
    </w:p>
    <w:p>
      <w:pPr>
        <w:pStyle w:val="HeadingBody2"/>
      </w:pPr>
      <w:r>
        <w:t>.</w:t>
      </w:r>
    </w:p>
    <w:p>
      <w:pPr>
        <w:pStyle w:val="Heading2"/>
        <w:rPr>
          <w:vanish/>
          <w:color w:val="FF0000"/>
          <w:specVanish/>
        </w:rPr>
      </w:pPr>
      <w:r>
        <w:t>Governing Law</w:t>
      </w:r>
    </w:p>
    <w:p>
      <w:pPr>
        <w:pStyle w:val="HeadingBody2"/>
      </w:pPr>
      <w:r>
        <w:t>.</w:t>
      </w:r>
    </w:p>
    <w:p>
      <w:pPr>
        <w:pStyle w:val="Heading2"/>
        <w:rPr>
          <w:vanish/>
          <w:color w:val="FF0000"/>
          <w:specVanish/>
        </w:rPr>
      </w:pPr>
      <w:r>
        <w:t>Dispute Resolution and Remedies</w:t>
      </w:r>
    </w:p>
    <w:p>
      <w:pPr>
        <w:pStyle w:val="HeadingBody2"/>
      </w:pPr>
      <w:r>
        <w:t>.</w:t>
      </w:r>
    </w:p>
    <w:p>
      <w:pPr>
        <w:pStyle w:val="Heading2"/>
        <w:rPr>
          <w:vanish/>
          <w:color w:val="FF0000"/>
          <w:specVanish/>
        </w:rPr>
      </w:pPr>
      <w:r>
        <w:t>Third-Party Beneficiaries</w:t>
      </w:r>
    </w:p>
    <w:p>
      <w:pPr>
        <w:pStyle w:val="HeadingBody2"/>
      </w:pPr>
      <w:r>
        <w:t>.</w:t>
      </w:r>
    </w:p>
    <w:p>
      <w:pPr>
        <w:pStyle w:val="Heading2"/>
        <w:rPr>
          <w:vanish/>
          <w:color w:val="FF0000"/>
          <w:specVanish/>
        </w:rPr>
      </w:pPr>
      <w:r>
        <w:t>Force Majeure</w:t>
      </w:r>
    </w:p>
    <w:p>
      <w:pPr>
        <w:pStyle w:val="HeadingBody2"/>
      </w:pPr>
      <w:r>
        <w:t>.</w:t>
      </w:r>
    </w:p>
    <w:p>
      <w:pPr>
        <w:pStyle w:val="Heading2"/>
        <w:rPr>
          <w:vanish/>
          <w:color w:val="FF0000"/>
          <w:specVanish/>
        </w:rPr>
      </w:pPr>
      <w:r>
        <w:t>English Version</w:t>
      </w:r>
    </w:p>
    <w:p>
      <w:pPr>
        <w:pStyle w:val="HeadingBody2"/>
      </w:pPr>
      <w:r>
        <w:t>.</w:t>
      </w:r>
    </w:p>
    <w:p>
      <w:pPr>
        <w:pStyle w:val="Heading2"/>
        <w:rPr>
          <w:vanish/>
          <w:color w:val="FF0000"/>
          <w:specVanish/>
        </w:rPr>
      </w:pPr>
      <w:r>
        <w:t>Savings Clause</w:t>
      </w:r>
    </w:p>
    <w:p>
      <w:pPr>
        <w:pStyle w:val="HeadingBody2"/>
      </w:pPr>
      <w:r>
        <w:t>.</w:t>
      </w:r>
    </w:p>
    <w:p>
      <w:pPr>
        <w:pStyle w:val="Heading2"/>
        <w:rPr>
          <w:vanish/>
          <w:color w:val="FF0000"/>
          <w:specVanish/>
        </w:rPr>
      </w:pPr>
      <w:r>
        <w:t>Further Assurances</w:t>
      </w:r>
    </w:p>
    <w:p>
      <w:pPr>
        <w:pStyle w:val="HeadingBody2"/>
      </w:pPr>
      <w:r>
        <w:t>.</w:t>
      </w:r>
    </w:p>
    <w:p>
      <w:pPr>
        <w:pStyle w:val="Heading2"/>
        <w:rPr>
          <w:vanish/>
          <w:color w:val="FF0000"/>
          <w:specVanish/>
        </w:rPr>
      </w:pPr>
      <w:r>
        <w:t>Cumulative Remedies</w:t>
      </w:r>
    </w:p>
    <w:p>
      <w:pPr>
        <w:pStyle w:val="HeadingBody2"/>
      </w:pPr>
      <w:r>
        <w:t>.</w:t>
      </w:r>
    </w:p>
    <w:p>
      <w:pPr>
        <w:pStyle w:val="Heading2"/>
        <w:rPr>
          <w:vanish/>
          <w:color w:val="FF0000"/>
          <w:specVanish/>
        </w:rPr>
      </w:pPr>
      <w:r>
        <w:t>Counterparts</w:t>
      </w:r>
    </w:p>
    <w:p>
      <w:pPr>
        <w:pStyle w:val="HeadingBody2"/>
      </w:pPr>
      <w:r>
        <w:t>.</w:t>
      </w:r>
    </w:p>
    <w:p>
      <w:pPr>
        <w:pStyle w:val="Heading2"/>
        <w:rPr>
          <w:vanish/>
          <w:color w:val="FF0000"/>
          <w:specVanish/>
        </w:rPr>
      </w:pPr>
      <w:r>
        <w:t>Headings</w:t>
      </w:r>
    </w:p>
    <w:p>
      <w:pPr>
        <w:pStyle w:val="HeadingBody2"/>
      </w:pPr>
      <w:r>
        <w:t>.</w:t>
      </w:r>
    </w:p>
    <w:p>
      <w:pPr>
        <w:pStyle w:val="Heading2"/>
        <w:rPr>
          <w:vanish/>
          <w:color w:val="FF0000"/>
          <w:specVanish/>
        </w:rPr>
      </w:pPr>
      <w:r>
        <w:t>Entire Agreement</w:t>
      </w:r>
    </w:p>
    <w:p>
      <w:pPr>
        <w:pStyle w:val="HeadingBody2"/>
      </w:pPr>
      <w:r>
        <w:t>.</w:t>
      </w:r>
    </w:p>
    <w:p>
      <w:pPr>
        <w:pStyle w:val="Center"/>
      </w:pPr>
      <w:r>
        <w:t>[Signature Page Follows]</w:t>
      </w:r>
    </w:p>
    <w:p>
      <w:pPr>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pPr>
        <w:pStyle w:val="BodyFirstLine5"/>
      </w:pPr>
      <w:r>
        <w:lastRenderedPageBreak/>
        <w:t>IN WITNESS WHEREOF, the Parties have caused this Agreement to be duly executed as of the date set forth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tc>
          <w:tcPr>
            <w:tcW w:w="4788" w:type="dxa"/>
          </w:tcPr>
          <w:p>
            <w:pPr>
              <w:spacing w:after="720"/>
              <w:rPr>
                <w:b/>
              </w:rPr>
            </w:pPr>
            <w:r>
              <w:rPr>
                <w:b/>
              </w:rPr>
              <w:t>INTERNET CORPORATION FOR ASSIGNED NAMES AND NUMBERS</w:t>
            </w:r>
          </w:p>
        </w:tc>
        <w:tc>
          <w:tcPr>
            <w:tcW w:w="4788" w:type="dxa"/>
          </w:tcPr>
          <w:p>
            <w:pPr>
              <w:spacing w:after="720"/>
              <w:rPr>
                <w:b/>
              </w:rPr>
            </w:pPr>
            <w:r>
              <w:rPr>
                <w:b/>
              </w:rPr>
              <w:t>[PTI]</w:t>
            </w:r>
          </w:p>
        </w:tc>
      </w:tr>
      <w:tr>
        <w:tc>
          <w:tcPr>
            <w:tcW w:w="4788" w:type="dxa"/>
          </w:tcPr>
          <w:p>
            <w:pPr>
              <w:tabs>
                <w:tab w:val="right" w:leader="underscore" w:pos="4558"/>
              </w:tabs>
            </w:pPr>
            <w:r>
              <w:t>By:</w:t>
            </w:r>
            <w:r>
              <w:tab/>
            </w:r>
          </w:p>
        </w:tc>
        <w:tc>
          <w:tcPr>
            <w:tcW w:w="4788" w:type="dxa"/>
          </w:tcPr>
          <w:p>
            <w:pPr>
              <w:tabs>
                <w:tab w:val="right" w:leader="underscore" w:pos="4558"/>
              </w:tabs>
            </w:pPr>
            <w:r>
              <w:t>By:</w:t>
            </w:r>
            <w:r>
              <w:tab/>
            </w:r>
          </w:p>
        </w:tc>
      </w:tr>
      <w:tr>
        <w:tc>
          <w:tcPr>
            <w:tcW w:w="4788" w:type="dxa"/>
          </w:tcPr>
          <w:p>
            <w:pPr>
              <w:jc w:val="center"/>
            </w:pPr>
            <w:r>
              <w:t>(Signature)</w:t>
            </w:r>
          </w:p>
        </w:tc>
        <w:tc>
          <w:tcPr>
            <w:tcW w:w="4788" w:type="dxa"/>
          </w:tcPr>
          <w:p>
            <w:pPr>
              <w:jc w:val="center"/>
            </w:pPr>
            <w:r>
              <w:t>(Signature)</w:t>
            </w:r>
          </w:p>
        </w:tc>
      </w:tr>
      <w:tr>
        <w:tc>
          <w:tcPr>
            <w:tcW w:w="4788" w:type="dxa"/>
          </w:tcPr>
          <w:p>
            <w:pPr>
              <w:tabs>
                <w:tab w:val="right" w:leader="underscore" w:pos="4558"/>
              </w:tabs>
              <w:ind w:left="-180"/>
            </w:pPr>
            <w:r>
              <w:tab/>
            </w:r>
          </w:p>
        </w:tc>
        <w:tc>
          <w:tcPr>
            <w:tcW w:w="4788" w:type="dxa"/>
          </w:tcPr>
          <w:p>
            <w:pPr>
              <w:tabs>
                <w:tab w:val="right" w:leader="underscore" w:pos="4558"/>
              </w:tabs>
              <w:ind w:left="-108"/>
            </w:pPr>
            <w:r>
              <w:tab/>
            </w:r>
          </w:p>
        </w:tc>
      </w:tr>
      <w:tr>
        <w:tc>
          <w:tcPr>
            <w:tcW w:w="4788" w:type="dxa"/>
          </w:tcPr>
          <w:p>
            <w:r>
              <w:t>Name (print)</w:t>
            </w:r>
          </w:p>
        </w:tc>
        <w:tc>
          <w:tcPr>
            <w:tcW w:w="4788" w:type="dxa"/>
          </w:tcPr>
          <w:p>
            <w:r>
              <w:t>Name (print)</w:t>
            </w:r>
          </w:p>
        </w:tc>
      </w:tr>
      <w:tr>
        <w:tc>
          <w:tcPr>
            <w:tcW w:w="4788" w:type="dxa"/>
          </w:tcPr>
          <w:p>
            <w:pPr>
              <w:tabs>
                <w:tab w:val="right" w:leader="underscore" w:pos="4558"/>
              </w:tabs>
              <w:ind w:left="-180"/>
            </w:pPr>
            <w:r>
              <w:tab/>
            </w:r>
          </w:p>
        </w:tc>
        <w:tc>
          <w:tcPr>
            <w:tcW w:w="4788" w:type="dxa"/>
          </w:tcPr>
          <w:p>
            <w:pPr>
              <w:tabs>
                <w:tab w:val="right" w:leader="underscore" w:pos="4558"/>
              </w:tabs>
              <w:ind w:left="-108"/>
            </w:pPr>
            <w:r>
              <w:tab/>
            </w:r>
          </w:p>
        </w:tc>
      </w:tr>
      <w:tr>
        <w:tc>
          <w:tcPr>
            <w:tcW w:w="4788" w:type="dxa"/>
          </w:tcPr>
          <w:p>
            <w:r>
              <w:t>Title</w:t>
            </w:r>
          </w:p>
        </w:tc>
        <w:tc>
          <w:tcPr>
            <w:tcW w:w="4788" w:type="dxa"/>
          </w:tcPr>
          <w:p>
            <w:r>
              <w:t>Title</w:t>
            </w:r>
          </w:p>
        </w:tc>
      </w:tr>
    </w:tbl>
    <w:p/>
    <w:p>
      <w:pPr>
        <w:sectPr>
          <w:pgSz w:w="12240" w:h="15840" w:code="1"/>
          <w:pgMar w:top="1440" w:right="1440" w:bottom="1440" w:left="1440" w:header="720" w:footer="720" w:gutter="0"/>
          <w:cols w:space="720"/>
          <w:titlePg/>
          <w:docGrid w:linePitch="360"/>
        </w:sectPr>
      </w:pPr>
    </w:p>
    <w:p>
      <w:pPr>
        <w:pStyle w:val="CenterBoldUnderline"/>
      </w:pPr>
      <w:r>
        <w:lastRenderedPageBreak/>
        <w:t>Schedule A</w:t>
      </w:r>
    </w:p>
    <w:p>
      <w:pPr>
        <w:pStyle w:val="CenterBold"/>
      </w:pPr>
      <w:r>
        <w:t>Schedule of Services</w:t>
      </w:r>
    </w:p>
    <w:p>
      <w:pPr>
        <w:pStyle w:val="BodyFirstLine5"/>
      </w:pPr>
    </w:p>
    <w:p>
      <w:pPr>
        <w:sectPr>
          <w:pgSz w:w="12240" w:h="15840" w:code="1"/>
          <w:pgMar w:top="1440" w:right="1440" w:bottom="1440" w:left="1440" w:header="720" w:footer="720" w:gutter="0"/>
          <w:cols w:space="720"/>
          <w:titlePg/>
          <w:docGrid w:linePitch="360"/>
        </w:sectPr>
      </w:pPr>
    </w:p>
    <w:p>
      <w:pPr>
        <w:pStyle w:val="CenterBoldUnderline"/>
      </w:pPr>
      <w:r>
        <w:lastRenderedPageBreak/>
        <w:t>Schedule B</w:t>
      </w:r>
    </w:p>
    <w:p>
      <w:pPr>
        <w:pStyle w:val="CenterBold"/>
      </w:pPr>
      <w:r>
        <w:t>Premises</w:t>
      </w:r>
    </w:p>
    <w:p>
      <w:pPr>
        <w:pStyle w:val="BodyFirstLine5"/>
      </w:pPr>
    </w:p>
    <w:p/>
    <w:sectPr>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w:t>
      </w:r>
      <w:r>
        <w:rPr>
          <w:b/>
        </w:rPr>
        <w:t>Note to ICANN:</w:t>
      </w:r>
      <w:r>
        <w:t xml:space="preserve">  Consider adding a second step between clauses (i) and (ii) above to make it clear that stewardship has transferred from DOC to the multi-stakeholder community.  Otherwise, the plain language is somewhat confusing because ICANN is released from the IANA Naming Function responsibilities in clause (i), and then accepts responsibility for the IANA functions in clause (ii).</w:t>
      </w:r>
    </w:p>
  </w:footnote>
  <w:footnote w:id="2">
    <w:p>
      <w:pPr>
        <w:pStyle w:val="FootnoteText"/>
      </w:pPr>
      <w:r>
        <w:rPr>
          <w:rStyle w:val="FootnoteReference"/>
        </w:rPr>
        <w:footnoteRef/>
      </w:r>
      <w:r>
        <w:t xml:space="preserve"> </w:t>
      </w:r>
      <w:r>
        <w:rPr>
          <w:b/>
        </w:rPr>
        <w:t>Note to ICANN:</w:t>
      </w:r>
      <w:r>
        <w:t xml:space="preserve">  Adding a heading to make clear that ICANN has obtained all other third party approvals, and consents to enter into this Agreement, and that entering into this Agreement will not trigger a breach or acceleration of rights in favor of a third party. Basically a “Consents” and “No Breach” clause.</w:t>
      </w:r>
    </w:p>
  </w:footnote>
  <w:footnote w:id="3">
    <w:p>
      <w:pPr>
        <w:pStyle w:val="FootnoteText"/>
      </w:pPr>
      <w:r>
        <w:rPr>
          <w:rStyle w:val="FootnoteReference"/>
        </w:rPr>
        <w:footnoteRef/>
      </w:r>
      <w:r>
        <w:t xml:space="preserve"> Note to draft:  Entire section pending review by labor and employment counsel.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Sidley Comments as of 23 July 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Sidley Comments as of 23 July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F07ADC"/>
    <w:lvl w:ilvl="0">
      <w:start w:val="1"/>
      <w:numFmt w:val="decimal"/>
      <w:lvlText w:val="%1."/>
      <w:lvlJc w:val="left"/>
      <w:pPr>
        <w:tabs>
          <w:tab w:val="num" w:pos="1800"/>
        </w:tabs>
        <w:ind w:left="1800" w:hanging="360"/>
      </w:pPr>
    </w:lvl>
  </w:abstractNum>
  <w:abstractNum w:abstractNumId="1">
    <w:nsid w:val="FFFFFF7D"/>
    <w:multiLevelType w:val="singleLevel"/>
    <w:tmpl w:val="3AFC305A"/>
    <w:lvl w:ilvl="0">
      <w:start w:val="1"/>
      <w:numFmt w:val="decimal"/>
      <w:lvlText w:val="%1."/>
      <w:lvlJc w:val="left"/>
      <w:pPr>
        <w:tabs>
          <w:tab w:val="num" w:pos="1440"/>
        </w:tabs>
        <w:ind w:left="1440" w:hanging="360"/>
      </w:pPr>
    </w:lvl>
  </w:abstractNum>
  <w:abstractNum w:abstractNumId="2">
    <w:nsid w:val="FFFFFF7E"/>
    <w:multiLevelType w:val="singleLevel"/>
    <w:tmpl w:val="325C7BC2"/>
    <w:lvl w:ilvl="0">
      <w:start w:val="1"/>
      <w:numFmt w:val="decimal"/>
      <w:lvlText w:val="%1."/>
      <w:lvlJc w:val="left"/>
      <w:pPr>
        <w:tabs>
          <w:tab w:val="num" w:pos="1080"/>
        </w:tabs>
        <w:ind w:left="1080" w:hanging="360"/>
      </w:pPr>
    </w:lvl>
  </w:abstractNum>
  <w:abstractNum w:abstractNumId="3">
    <w:nsid w:val="FFFFFF7F"/>
    <w:multiLevelType w:val="singleLevel"/>
    <w:tmpl w:val="8BD259A8"/>
    <w:lvl w:ilvl="0">
      <w:start w:val="1"/>
      <w:numFmt w:val="decimal"/>
      <w:lvlText w:val="%1."/>
      <w:lvlJc w:val="left"/>
      <w:pPr>
        <w:tabs>
          <w:tab w:val="num" w:pos="720"/>
        </w:tabs>
        <w:ind w:left="720" w:hanging="360"/>
      </w:pPr>
    </w:lvl>
  </w:abstractNum>
  <w:abstractNum w:abstractNumId="4">
    <w:nsid w:val="FFFFFF80"/>
    <w:multiLevelType w:val="singleLevel"/>
    <w:tmpl w:val="A70CFC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349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547C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02B3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9E45AE"/>
    <w:lvl w:ilvl="0">
      <w:start w:val="1"/>
      <w:numFmt w:val="decimal"/>
      <w:lvlText w:val="%1."/>
      <w:lvlJc w:val="left"/>
      <w:pPr>
        <w:tabs>
          <w:tab w:val="num" w:pos="360"/>
        </w:tabs>
        <w:ind w:left="360" w:hanging="360"/>
      </w:pPr>
    </w:lvl>
  </w:abstractNum>
  <w:abstractNum w:abstractNumId="9">
    <w:nsid w:val="FFFFFF89"/>
    <w:multiLevelType w:val="singleLevel"/>
    <w:tmpl w:val="99EA2D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D2B55F7"/>
    <w:multiLevelType w:val="multilevel"/>
    <w:tmpl w:val="C32AAACE"/>
    <w:name w:val="DC Transactional - option 3"/>
    <w:lvl w:ilvl="0">
      <w:start w:val="1"/>
      <w:numFmt w:val="upperRoman"/>
      <w:pStyle w:val="Heading1"/>
      <w:suff w:val="nothing"/>
      <w:lvlText w:val="ARTICLE %1:  "/>
      <w:lvlJc w:val="left"/>
      <w:pPr>
        <w:ind w:left="0" w:firstLine="0"/>
      </w:pPr>
      <w:rPr>
        <w:rFonts w:hint="default"/>
        <w:b/>
        <w:i w:val="0"/>
        <w:caps w:val="0"/>
        <w:color w:val="010000"/>
        <w:u w:val="none"/>
      </w:rPr>
    </w:lvl>
    <w:lvl w:ilvl="1">
      <w:start w:val="1"/>
      <w:numFmt w:val="decimal"/>
      <w:pStyle w:val="Heading2"/>
      <w:isLgl/>
      <w:lvlText w:val="Section %1.%2"/>
      <w:lvlJc w:val="left"/>
      <w:pPr>
        <w:tabs>
          <w:tab w:val="num" w:pos="1440"/>
        </w:tabs>
        <w:ind w:left="0" w:firstLine="0"/>
      </w:pPr>
      <w:rPr>
        <w:rFonts w:hint="default"/>
        <w:b w:val="0"/>
        <w:i w:val="0"/>
        <w:caps w:val="0"/>
        <w:color w:val="010000"/>
        <w:u w:val="none"/>
      </w:rPr>
    </w:lvl>
    <w:lvl w:ilvl="2">
      <w:start w:val="1"/>
      <w:numFmt w:val="decimal"/>
      <w:pStyle w:val="Heading3"/>
      <w:isLgl/>
      <w:lvlText w:val="Section %1.%2.%3"/>
      <w:lvlJc w:val="left"/>
      <w:pPr>
        <w:tabs>
          <w:tab w:val="num" w:pos="2160"/>
        </w:tabs>
        <w:ind w:left="720" w:firstLine="0"/>
      </w:pPr>
      <w:rPr>
        <w:rFonts w:hint="default"/>
        <w:caps w:val="0"/>
        <w:color w:val="010000"/>
        <w:u w:val="none"/>
      </w:rPr>
    </w:lvl>
    <w:lvl w:ilvl="3">
      <w:start w:val="1"/>
      <w:numFmt w:val="decimal"/>
      <w:pStyle w:val="Heading4"/>
      <w:lvlText w:val="(%4)"/>
      <w:lvlJc w:val="left"/>
      <w:pPr>
        <w:tabs>
          <w:tab w:val="num" w:pos="2880"/>
        </w:tabs>
        <w:ind w:left="0" w:firstLine="2160"/>
      </w:pPr>
      <w:rPr>
        <w:rFonts w:hint="default"/>
        <w:caps w:val="0"/>
        <w:color w:val="010000"/>
        <w:u w:val="none"/>
      </w:rPr>
    </w:lvl>
    <w:lvl w:ilvl="4">
      <w:start w:val="1"/>
      <w:numFmt w:val="lowerLetter"/>
      <w:pStyle w:val="Heading5"/>
      <w:lvlText w:val="(%5)"/>
      <w:lvlJc w:val="left"/>
      <w:pPr>
        <w:tabs>
          <w:tab w:val="num" w:pos="2880"/>
        </w:tabs>
        <w:ind w:left="0" w:firstLine="2160"/>
      </w:pPr>
      <w:rPr>
        <w:rFonts w:hint="default"/>
        <w:caps w:val="0"/>
        <w:color w:val="010000"/>
        <w:u w:val="none"/>
      </w:rPr>
    </w:lvl>
    <w:lvl w:ilvl="5">
      <w:start w:val="1"/>
      <w:numFmt w:val="upperLetter"/>
      <w:pStyle w:val="Heading6"/>
      <w:lvlText w:val="%6."/>
      <w:lvlJc w:val="left"/>
      <w:pPr>
        <w:tabs>
          <w:tab w:val="num" w:pos="720"/>
        </w:tabs>
        <w:ind w:left="720" w:hanging="720"/>
      </w:pPr>
      <w:rPr>
        <w:rFonts w:hint="default"/>
        <w:caps w:val="0"/>
        <w:color w:val="010000"/>
        <w:u w:val="none"/>
      </w:rPr>
    </w:lvl>
    <w:lvl w:ilvl="6">
      <w:start w:val="1"/>
      <w:numFmt w:val="decimal"/>
      <w:pStyle w:val="Heading7"/>
      <w:lvlText w:val="%7."/>
      <w:lvlJc w:val="left"/>
      <w:pPr>
        <w:tabs>
          <w:tab w:val="num" w:pos="1440"/>
        </w:tabs>
        <w:ind w:left="1440" w:hanging="720"/>
      </w:pPr>
      <w:rPr>
        <w:rFonts w:hint="default"/>
        <w:caps w:val="0"/>
        <w:color w:val="010000"/>
        <w:u w:val="none"/>
      </w:rPr>
    </w:lvl>
    <w:lvl w:ilvl="7">
      <w:start w:val="1"/>
      <w:numFmt w:val="lowerLetter"/>
      <w:pStyle w:val="Heading8"/>
      <w:lvlText w:val="%8."/>
      <w:lvlJc w:val="left"/>
      <w:pPr>
        <w:tabs>
          <w:tab w:val="num" w:pos="2160"/>
        </w:tabs>
        <w:ind w:left="2160" w:hanging="720"/>
      </w:pPr>
      <w:rPr>
        <w:rFonts w:hint="default"/>
        <w:caps w:val="0"/>
        <w:color w:val="010000"/>
        <w:u w:val="none"/>
      </w:rPr>
    </w:lvl>
    <w:lvl w:ilvl="8">
      <w:start w:val="1"/>
      <w:numFmt w:val="decimal"/>
      <w:pStyle w:val="Heading9"/>
      <w:lvlText w:val="%9."/>
      <w:lvlJc w:val="left"/>
      <w:pPr>
        <w:tabs>
          <w:tab w:val="num" w:pos="2880"/>
        </w:tabs>
        <w:ind w:left="2880" w:hanging="720"/>
      </w:pPr>
      <w:rPr>
        <w:rFonts w:hint="default"/>
        <w:caps w:val="0"/>
        <w:color w:val="010000"/>
        <w:u w:val="none"/>
      </w:rPr>
    </w:lvl>
  </w:abstractNum>
  <w:abstractNum w:abstractNumId="11">
    <w:nsid w:val="44F22E51"/>
    <w:multiLevelType w:val="multilevel"/>
    <w:tmpl w:val="2FB6B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3"/>
  </w:num>
  <w:num w:numId="5">
    <w:abstractNumId w:val="2"/>
  </w:num>
  <w:num w:numId="6">
    <w:abstractNumId w:val="1"/>
  </w:num>
  <w:num w:numId="7">
    <w:abstractNumId w:val="0"/>
  </w:num>
  <w:num w:numId="8">
    <w:abstractNumId w:val="11"/>
  </w:num>
  <w:num w:numId="9">
    <w:abstractNumId w:val="9"/>
  </w:num>
  <w:num w:numId="10">
    <w:abstractNumId w:val="7"/>
  </w:num>
  <w:num w:numId="11">
    <w:abstractNumId w:val="7"/>
  </w:num>
  <w:num w:numId="12">
    <w:abstractNumId w:val="6"/>
  </w:num>
  <w:num w:numId="13">
    <w:abstractNumId w:val="6"/>
  </w:num>
  <w:num w:numId="14">
    <w:abstractNumId w:val="5"/>
  </w:num>
  <w:num w:numId="15">
    <w:abstractNumId w:val="5"/>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stylePaneSortMethod w:val="0000"/>
  <w:defaultTabStop w:val="720"/>
  <w:drawingGridHorizontalSpacing w:val="12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docVars>
    <w:docVar w:name="AddLineBreakFollowingCenteredHeading 1" w:val="False"/>
    <w:docVar w:name="AddLineBreakFollowingCenteredHeadings" w:val="False"/>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DC Transactional - option 3"/>
    <w:docVar w:name="LastSchemeUniqueID" w:val="134"/>
    <w:docVar w:name="LegacyDocIDRemoved" w:val="True"/>
    <w:docVar w:name="Option0True" w:val="False"/>
    <w:docVar w:name="Option1True" w:val="False"/>
    <w:docVar w:name="Option2True" w:val="False"/>
    <w:docVar w:name="Option3True" w:val="True"/>
    <w:docVar w:name="StyleSeparatorCheck" w:val="Tru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endnote text" w:uiPriority="0"/>
    <w:lsdException w:name="List Bullet 2"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numPr>
        <w:numId w:val="17"/>
      </w:numPr>
      <w:spacing w:after="240"/>
      <w:jc w:val="center"/>
      <w:outlineLvl w:val="0"/>
    </w:pPr>
    <w:rPr>
      <w:rFonts w:eastAsia="PMingLiU"/>
      <w:b/>
      <w:bCs/>
      <w:szCs w:val="28"/>
    </w:rPr>
  </w:style>
  <w:style w:type="paragraph" w:styleId="Heading2">
    <w:name w:val="heading 2"/>
    <w:basedOn w:val="Normal"/>
    <w:next w:val="Normal"/>
    <w:link w:val="Heading2Char"/>
    <w:uiPriority w:val="9"/>
    <w:unhideWhenUsed/>
    <w:qFormat/>
    <w:pPr>
      <w:numPr>
        <w:ilvl w:val="1"/>
        <w:numId w:val="17"/>
      </w:numPr>
      <w:spacing w:after="240"/>
      <w:jc w:val="both"/>
      <w:outlineLvl w:val="1"/>
    </w:pPr>
    <w:rPr>
      <w:u w:val="single"/>
    </w:rPr>
  </w:style>
  <w:style w:type="paragraph" w:styleId="Heading3">
    <w:name w:val="heading 3"/>
    <w:basedOn w:val="Normal"/>
    <w:next w:val="Normal"/>
    <w:link w:val="Heading3Char"/>
    <w:uiPriority w:val="9"/>
    <w:unhideWhenUsed/>
    <w:qFormat/>
    <w:pPr>
      <w:numPr>
        <w:ilvl w:val="2"/>
        <w:numId w:val="17"/>
      </w:numPr>
      <w:tabs>
        <w:tab w:val="clear" w:pos="2160"/>
        <w:tab w:val="num" w:pos="2880"/>
      </w:tabs>
      <w:spacing w:after="240"/>
      <w:ind w:left="1440"/>
      <w:jc w:val="both"/>
      <w:outlineLvl w:val="2"/>
    </w:pPr>
    <w:rPr>
      <w:rFonts w:eastAsia="PMingLiU"/>
      <w:bCs/>
      <w:u w:val="single"/>
    </w:rPr>
  </w:style>
  <w:style w:type="paragraph" w:styleId="Heading4">
    <w:name w:val="heading 4"/>
    <w:basedOn w:val="Normal"/>
    <w:next w:val="Normal"/>
    <w:link w:val="Heading4Char"/>
    <w:uiPriority w:val="9"/>
    <w:unhideWhenUsed/>
    <w:qFormat/>
    <w:pPr>
      <w:numPr>
        <w:ilvl w:val="3"/>
        <w:numId w:val="17"/>
      </w:numPr>
      <w:spacing w:after="240"/>
      <w:jc w:val="both"/>
      <w:outlineLvl w:val="3"/>
    </w:pPr>
    <w:rPr>
      <w:rFonts w:eastAsia="PMingLiU"/>
      <w:bCs/>
      <w:iCs/>
    </w:rPr>
  </w:style>
  <w:style w:type="paragraph" w:styleId="Heading5">
    <w:name w:val="heading 5"/>
    <w:basedOn w:val="Normal"/>
    <w:next w:val="Normal"/>
    <w:link w:val="Heading5Char"/>
    <w:uiPriority w:val="9"/>
    <w:unhideWhenUsed/>
    <w:qFormat/>
    <w:pPr>
      <w:numPr>
        <w:ilvl w:val="4"/>
        <w:numId w:val="17"/>
      </w:numPr>
      <w:spacing w:after="240"/>
      <w:jc w:val="both"/>
      <w:outlineLvl w:val="4"/>
    </w:pPr>
    <w:rPr>
      <w:rFonts w:eastAsia="PMingLiU"/>
    </w:rPr>
  </w:style>
  <w:style w:type="paragraph" w:styleId="Heading6">
    <w:name w:val="heading 6"/>
    <w:basedOn w:val="Normal"/>
    <w:next w:val="Normal"/>
    <w:link w:val="Heading6Char"/>
    <w:uiPriority w:val="9"/>
    <w:unhideWhenUsed/>
    <w:qFormat/>
    <w:pPr>
      <w:numPr>
        <w:ilvl w:val="5"/>
        <w:numId w:val="17"/>
      </w:numPr>
      <w:spacing w:after="240"/>
      <w:jc w:val="both"/>
      <w:outlineLvl w:val="5"/>
    </w:pPr>
    <w:rPr>
      <w:rFonts w:eastAsia="PMingLiU"/>
      <w:iCs/>
    </w:rPr>
  </w:style>
  <w:style w:type="paragraph" w:styleId="Heading7">
    <w:name w:val="heading 7"/>
    <w:basedOn w:val="Normal"/>
    <w:next w:val="Normal"/>
    <w:link w:val="Heading7Char"/>
    <w:uiPriority w:val="9"/>
    <w:unhideWhenUsed/>
    <w:qFormat/>
    <w:pPr>
      <w:numPr>
        <w:ilvl w:val="6"/>
        <w:numId w:val="17"/>
      </w:numPr>
      <w:spacing w:after="240"/>
      <w:jc w:val="both"/>
      <w:outlineLvl w:val="6"/>
    </w:pPr>
    <w:rPr>
      <w:rFonts w:eastAsia="PMingLiU"/>
      <w:iCs/>
    </w:rPr>
  </w:style>
  <w:style w:type="paragraph" w:styleId="Heading8">
    <w:name w:val="heading 8"/>
    <w:basedOn w:val="Normal"/>
    <w:next w:val="Normal"/>
    <w:link w:val="Heading8Char"/>
    <w:uiPriority w:val="9"/>
    <w:unhideWhenUsed/>
    <w:qFormat/>
    <w:pPr>
      <w:numPr>
        <w:ilvl w:val="7"/>
        <w:numId w:val="17"/>
      </w:numPr>
      <w:spacing w:after="240"/>
      <w:jc w:val="both"/>
      <w:outlineLvl w:val="7"/>
    </w:pPr>
    <w:rPr>
      <w:rFonts w:eastAsia="PMingLiU"/>
    </w:rPr>
  </w:style>
  <w:style w:type="paragraph" w:styleId="Heading9">
    <w:name w:val="heading 9"/>
    <w:basedOn w:val="Normal"/>
    <w:next w:val="Normal"/>
    <w:link w:val="Heading9Char"/>
    <w:uiPriority w:val="9"/>
    <w:unhideWhenUsed/>
    <w:qFormat/>
    <w:pPr>
      <w:numPr>
        <w:ilvl w:val="8"/>
        <w:numId w:val="17"/>
      </w:numPr>
      <w:spacing w:after="240"/>
      <w:jc w:val="both"/>
      <w:outlineLvl w:val="8"/>
    </w:pPr>
    <w:rPr>
      <w:rFonts w:eastAsia="PMingLiU"/>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PMingLiU"/>
      <w:b/>
      <w:bCs/>
      <w:sz w:val="24"/>
      <w:szCs w:val="28"/>
    </w:rPr>
  </w:style>
  <w:style w:type="paragraph" w:customStyle="1" w:styleId="BlockLeft">
    <w:name w:val="Block Left"/>
    <w:basedOn w:val="Normal"/>
    <w:qFormat/>
    <w:pPr>
      <w:keepLines/>
      <w:tabs>
        <w:tab w:val="left" w:pos="540"/>
        <w:tab w:val="right" w:pos="4320"/>
      </w:tabs>
      <w:spacing w:after="240"/>
    </w:pPr>
  </w:style>
  <w:style w:type="character" w:customStyle="1" w:styleId="Heading2Char">
    <w:name w:val="Heading 2 Char"/>
    <w:basedOn w:val="DefaultParagraphFont"/>
    <w:link w:val="Heading2"/>
    <w:uiPriority w:val="9"/>
    <w:rPr>
      <w:sz w:val="24"/>
      <w:u w:val="single"/>
    </w:rPr>
  </w:style>
  <w:style w:type="character" w:customStyle="1" w:styleId="Heading3Char">
    <w:name w:val="Heading 3 Char"/>
    <w:basedOn w:val="DefaultParagraphFont"/>
    <w:link w:val="Heading3"/>
    <w:uiPriority w:val="9"/>
    <w:rPr>
      <w:rFonts w:eastAsia="PMingLiU"/>
      <w:bCs/>
      <w:sz w:val="24"/>
      <w:u w:val="single"/>
    </w:rPr>
  </w:style>
  <w:style w:type="paragraph" w:styleId="BodyText">
    <w:name w:val="Body Text"/>
    <w:basedOn w:val="Normal"/>
    <w:link w:val="BodyTextChar"/>
    <w:pPr>
      <w:spacing w:after="240"/>
    </w:pPr>
    <w:rPr>
      <w:rFonts w:eastAsia="Times New Roman"/>
    </w:rPr>
  </w:style>
  <w:style w:type="character" w:customStyle="1" w:styleId="BodyTextChar">
    <w:name w:val="Body Text Char"/>
    <w:basedOn w:val="DefaultParagraphFont"/>
    <w:link w:val="BodyText"/>
    <w:rPr>
      <w:rFonts w:eastAsia="Times New Roman" w:cstheme="minorBidi"/>
    </w:rPr>
  </w:style>
  <w:style w:type="paragraph" w:styleId="BlockText">
    <w:name w:val="Block Text"/>
    <w:basedOn w:val="BodyText"/>
    <w:pPr>
      <w:ind w:left="1440" w:right="1440"/>
    </w:pPr>
  </w:style>
  <w:style w:type="paragraph" w:customStyle="1" w:styleId="BodyFirstLine25">
    <w:name w:val="Body First Line .25&quot;"/>
    <w:basedOn w:val="BodyText"/>
    <w:pPr>
      <w:ind w:firstLine="360"/>
    </w:pPr>
  </w:style>
  <w:style w:type="paragraph" w:customStyle="1" w:styleId="BodyFirstLine5">
    <w:name w:val="Body First Line .5&quot;"/>
    <w:basedOn w:val="BodyText"/>
    <w:pPr>
      <w:ind w:firstLine="720"/>
      <w:jc w:val="both"/>
    </w:pPr>
  </w:style>
  <w:style w:type="paragraph" w:customStyle="1" w:styleId="BodyFirstLine55">
    <w:name w:val="Body First Line .5&quot;/.5&quot;"/>
    <w:basedOn w:val="BodyText"/>
    <w:pPr>
      <w:ind w:left="720" w:firstLine="720"/>
    </w:pPr>
  </w:style>
  <w:style w:type="paragraph" w:customStyle="1" w:styleId="BodyFirstLine51">
    <w:name w:val="Body First Line .5&quot;/1&quot;"/>
    <w:basedOn w:val="BodyText"/>
    <w:pPr>
      <w:ind w:left="1440" w:firstLine="720"/>
    </w:pPr>
  </w:style>
  <w:style w:type="paragraph" w:customStyle="1" w:styleId="BodyFirstLine1">
    <w:name w:val="Body First Line 1&quot;"/>
    <w:basedOn w:val="BodyText"/>
    <w:pPr>
      <w:ind w:firstLine="1440"/>
    </w:pPr>
  </w:style>
  <w:style w:type="paragraph" w:customStyle="1" w:styleId="BodyHang">
    <w:name w:val="Body Hang"/>
    <w:basedOn w:val="BodyText"/>
    <w:pPr>
      <w:ind w:left="720" w:hanging="720"/>
    </w:pPr>
  </w:style>
  <w:style w:type="paragraph" w:customStyle="1" w:styleId="BodyHang5">
    <w:name w:val="Body Hang .5&quot;"/>
    <w:basedOn w:val="BodyText"/>
    <w:pPr>
      <w:ind w:left="1440" w:hanging="720"/>
    </w:pPr>
  </w:style>
  <w:style w:type="paragraph" w:customStyle="1" w:styleId="BodyHang1">
    <w:name w:val="Body Hang 1&quot;"/>
    <w:basedOn w:val="BodyText"/>
    <w:pPr>
      <w:ind w:left="2160" w:hanging="720"/>
    </w:pPr>
  </w:style>
  <w:style w:type="paragraph" w:customStyle="1" w:styleId="BodyHang15">
    <w:name w:val="Body Hang 1.5&quot;"/>
    <w:basedOn w:val="BodyText"/>
    <w:qFormat/>
    <w:pPr>
      <w:ind w:left="2880" w:hanging="720"/>
    </w:pPr>
  </w:style>
  <w:style w:type="paragraph" w:customStyle="1" w:styleId="BodyHang2">
    <w:name w:val="Body Hang 2&quot;"/>
    <w:basedOn w:val="BodyText"/>
    <w:qFormat/>
    <w:pPr>
      <w:ind w:left="3600" w:hanging="720"/>
    </w:pPr>
  </w:style>
  <w:style w:type="paragraph" w:customStyle="1" w:styleId="BodyIndent">
    <w:name w:val="Body Indent"/>
    <w:basedOn w:val="BodyText"/>
    <w:pPr>
      <w:ind w:left="720"/>
    </w:pPr>
  </w:style>
  <w:style w:type="paragraph" w:customStyle="1" w:styleId="BodyIndent1">
    <w:name w:val="Body Indent 1&quot;"/>
    <w:basedOn w:val="BodyText"/>
    <w:pPr>
      <w:ind w:left="1440"/>
    </w:pPr>
  </w:style>
  <w:style w:type="paragraph" w:customStyle="1" w:styleId="BodyIndent15">
    <w:name w:val="Body Indent 1.5&quot;"/>
    <w:basedOn w:val="BodyText"/>
    <w:pPr>
      <w:ind w:left="2160"/>
    </w:pPr>
  </w:style>
  <w:style w:type="paragraph" w:customStyle="1" w:styleId="BodyIndent2">
    <w:name w:val="Body Indent 2&quot;"/>
    <w:basedOn w:val="BodyText"/>
    <w:qFormat/>
    <w:pPr>
      <w:ind w:left="2880"/>
    </w:pPr>
  </w:style>
  <w:style w:type="paragraph" w:customStyle="1" w:styleId="Center">
    <w:name w:val="Center"/>
    <w:basedOn w:val="Normal"/>
    <w:next w:val="BodyFirstLine5"/>
    <w:pPr>
      <w:keepNext/>
      <w:keepLines/>
      <w:spacing w:after="240"/>
      <w:jc w:val="center"/>
    </w:pPr>
    <w:rPr>
      <w:rFonts w:eastAsia="Times New Roman"/>
    </w:rPr>
  </w:style>
  <w:style w:type="paragraph" w:customStyle="1" w:styleId="CenterBold">
    <w:name w:val="Center Bold"/>
    <w:basedOn w:val="Normal"/>
    <w:next w:val="BodyFirstLine5"/>
    <w:qFormat/>
    <w:pPr>
      <w:keepNext/>
      <w:keepLines/>
      <w:spacing w:after="240"/>
      <w:jc w:val="center"/>
    </w:pPr>
    <w:rPr>
      <w:b/>
    </w:rPr>
  </w:style>
  <w:style w:type="paragraph" w:customStyle="1" w:styleId="CenterBoldUnderline">
    <w:name w:val="Center Bold Underline"/>
    <w:basedOn w:val="Normal"/>
    <w:next w:val="BodyFirstLine5"/>
    <w:qFormat/>
    <w:pPr>
      <w:keepNext/>
      <w:keepLines/>
      <w:spacing w:after="240"/>
      <w:jc w:val="center"/>
    </w:pPr>
    <w:rPr>
      <w:b/>
      <w:u w:val="single"/>
    </w:rPr>
  </w:style>
  <w:style w:type="paragraph" w:customStyle="1" w:styleId="CenterUnderline">
    <w:name w:val="Center Underline"/>
    <w:basedOn w:val="Normal"/>
    <w:next w:val="BodyFirstLine5"/>
    <w:pPr>
      <w:keepNext/>
      <w:keepLines/>
      <w:spacing w:after="240"/>
      <w:jc w:val="center"/>
    </w:pPr>
    <w:rPr>
      <w:rFonts w:eastAsia="Times New Roman"/>
      <w:u w:val="single"/>
    </w:rPr>
  </w:style>
  <w:style w:type="character" w:customStyle="1" w:styleId="DocID">
    <w:name w:val="DocID"/>
    <w:basedOn w:val="DefaultParagraphFont"/>
    <w:rPr>
      <w:rFonts w:ascii="Times New Roman" w:hAnsi="Times New Roman" w:cs="Times New Roman"/>
      <w:b w:val="0"/>
      <w:i w:val="0"/>
      <w:color w:val="000000"/>
      <w:sz w:val="14"/>
      <w:u w:val="non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Calibri" w:cstheme="minorBidi"/>
    </w:rPr>
  </w:style>
  <w:style w:type="character" w:styleId="FootnoteReference">
    <w:name w:val="footnote reference"/>
    <w:basedOn w:val="DefaultParagraphFont"/>
    <w:uiPriority w:val="99"/>
    <w:unhideWhenUsed/>
    <w:rPr>
      <w:sz w:val="20"/>
      <w:vertAlign w:val="superscript"/>
    </w:rPr>
  </w:style>
  <w:style w:type="paragraph" w:styleId="FootnoteText">
    <w:name w:val="footnote text"/>
    <w:basedOn w:val="BodyText"/>
    <w:link w:val="FootnoteTextChar"/>
    <w:uiPriority w:val="99"/>
    <w:unhideWhenUsed/>
    <w:pPr>
      <w:tabs>
        <w:tab w:val="left" w:pos="720"/>
      </w:tabs>
      <w:spacing w:after="120"/>
      <w:jc w:val="both"/>
    </w:pPr>
    <w:rPr>
      <w:sz w:val="20"/>
    </w:rPr>
  </w:style>
  <w:style w:type="character" w:customStyle="1" w:styleId="FootnoteTextChar">
    <w:name w:val="Footnote Text Char"/>
    <w:basedOn w:val="DefaultParagraphFont"/>
    <w:link w:val="FootnoteText"/>
    <w:uiPriority w:val="99"/>
    <w:rPr>
      <w:rFonts w:eastAsia="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Calibri" w:cstheme="minorBidi"/>
    </w:rPr>
  </w:style>
  <w:style w:type="character" w:customStyle="1" w:styleId="Heading4Char">
    <w:name w:val="Heading 4 Char"/>
    <w:basedOn w:val="DefaultParagraphFont"/>
    <w:link w:val="Heading4"/>
    <w:uiPriority w:val="9"/>
    <w:rPr>
      <w:rFonts w:eastAsia="PMingLiU"/>
      <w:bCs/>
      <w:iCs/>
      <w:sz w:val="24"/>
    </w:rPr>
  </w:style>
  <w:style w:type="character" w:customStyle="1" w:styleId="Heading5Char">
    <w:name w:val="Heading 5 Char"/>
    <w:basedOn w:val="DefaultParagraphFont"/>
    <w:link w:val="Heading5"/>
    <w:uiPriority w:val="9"/>
    <w:rPr>
      <w:rFonts w:eastAsia="PMingLiU"/>
      <w:sz w:val="24"/>
    </w:rPr>
  </w:style>
  <w:style w:type="character" w:customStyle="1" w:styleId="Heading6Char">
    <w:name w:val="Heading 6 Char"/>
    <w:basedOn w:val="DefaultParagraphFont"/>
    <w:link w:val="Heading6"/>
    <w:uiPriority w:val="9"/>
    <w:rPr>
      <w:rFonts w:eastAsia="PMingLiU"/>
      <w:iCs/>
      <w:sz w:val="24"/>
    </w:rPr>
  </w:style>
  <w:style w:type="character" w:customStyle="1" w:styleId="Heading7Char">
    <w:name w:val="Heading 7 Char"/>
    <w:basedOn w:val="DefaultParagraphFont"/>
    <w:link w:val="Heading7"/>
    <w:uiPriority w:val="9"/>
    <w:rPr>
      <w:rFonts w:eastAsia="PMingLiU"/>
      <w:iCs/>
      <w:sz w:val="24"/>
    </w:rPr>
  </w:style>
  <w:style w:type="character" w:customStyle="1" w:styleId="Heading8Char">
    <w:name w:val="Heading 8 Char"/>
    <w:basedOn w:val="DefaultParagraphFont"/>
    <w:link w:val="Heading8"/>
    <w:uiPriority w:val="9"/>
    <w:rPr>
      <w:rFonts w:eastAsia="PMingLiU"/>
      <w:sz w:val="24"/>
    </w:rPr>
  </w:style>
  <w:style w:type="character" w:customStyle="1" w:styleId="Heading9Char">
    <w:name w:val="Heading 9 Char"/>
    <w:basedOn w:val="DefaultParagraphFont"/>
    <w:link w:val="Heading9"/>
    <w:uiPriority w:val="9"/>
    <w:rPr>
      <w:rFonts w:eastAsia="PMingLiU"/>
      <w:iCs/>
      <w:sz w:val="24"/>
    </w:rPr>
  </w:style>
  <w:style w:type="paragraph" w:styleId="ListBullet">
    <w:name w:val="List Bullet"/>
    <w:basedOn w:val="BodyText"/>
    <w:uiPriority w:val="99"/>
    <w:unhideWhenUsed/>
    <w:pPr>
      <w:numPr>
        <w:numId w:val="9"/>
      </w:numPr>
      <w:tabs>
        <w:tab w:val="clear" w:pos="360"/>
        <w:tab w:val="left" w:pos="540"/>
      </w:tabs>
      <w:ind w:left="540" w:hanging="540"/>
    </w:pPr>
  </w:style>
  <w:style w:type="paragraph" w:styleId="ListBullet2">
    <w:name w:val="List Bullet 2"/>
    <w:basedOn w:val="BodyText"/>
    <w:uiPriority w:val="99"/>
    <w:unhideWhenUsed/>
    <w:qFormat/>
    <w:pPr>
      <w:numPr>
        <w:numId w:val="11"/>
      </w:numPr>
      <w:tabs>
        <w:tab w:val="clear" w:pos="720"/>
        <w:tab w:val="left" w:pos="900"/>
      </w:tabs>
      <w:ind w:left="900" w:hanging="540"/>
    </w:pPr>
  </w:style>
  <w:style w:type="paragraph" w:styleId="ListBullet3">
    <w:name w:val="List Bullet 3"/>
    <w:basedOn w:val="BodyText"/>
    <w:uiPriority w:val="99"/>
    <w:unhideWhenUsed/>
    <w:pPr>
      <w:numPr>
        <w:numId w:val="13"/>
      </w:numPr>
      <w:tabs>
        <w:tab w:val="clear" w:pos="1080"/>
        <w:tab w:val="left" w:pos="1260"/>
      </w:tabs>
      <w:ind w:left="1260" w:hanging="540"/>
    </w:pPr>
  </w:style>
  <w:style w:type="paragraph" w:styleId="ListBullet4">
    <w:name w:val="List Bullet 4"/>
    <w:basedOn w:val="BodyText"/>
    <w:uiPriority w:val="99"/>
    <w:unhideWhenUsed/>
    <w:pPr>
      <w:numPr>
        <w:numId w:val="15"/>
      </w:numPr>
      <w:tabs>
        <w:tab w:val="clear" w:pos="1440"/>
        <w:tab w:val="left" w:pos="1620"/>
      </w:tabs>
      <w:ind w:left="1620" w:hanging="540"/>
    </w:pPr>
  </w:style>
  <w:style w:type="paragraph" w:styleId="ListBullet5">
    <w:name w:val="List Bullet 5"/>
    <w:basedOn w:val="BodyText"/>
    <w:uiPriority w:val="99"/>
    <w:unhideWhenUsed/>
    <w:pPr>
      <w:numPr>
        <w:numId w:val="16"/>
      </w:numPr>
      <w:tabs>
        <w:tab w:val="clear" w:pos="1800"/>
        <w:tab w:val="left" w:pos="1980"/>
      </w:tabs>
      <w:ind w:left="1980" w:hanging="540"/>
    </w:pPr>
  </w:style>
  <w:style w:type="paragraph" w:styleId="Signature">
    <w:name w:val="Signature"/>
    <w:basedOn w:val="Normal"/>
    <w:link w:val="SignatureChar"/>
    <w:pPr>
      <w:keepLines/>
      <w:tabs>
        <w:tab w:val="left" w:pos="4860"/>
        <w:tab w:val="left" w:pos="5400"/>
        <w:tab w:val="right" w:pos="9000"/>
      </w:tabs>
      <w:spacing w:after="480"/>
      <w:ind w:left="4320"/>
    </w:pPr>
    <w:rPr>
      <w:rFonts w:eastAsia="Times New Roman"/>
    </w:rPr>
  </w:style>
  <w:style w:type="character" w:customStyle="1" w:styleId="SignatureChar">
    <w:name w:val="Signature Char"/>
    <w:basedOn w:val="DefaultParagraphFont"/>
    <w:link w:val="Signature"/>
    <w:rPr>
      <w:rFonts w:eastAsia="Times New Roman" w:cstheme="minorBidi"/>
    </w:rPr>
  </w:style>
  <w:style w:type="paragraph" w:customStyle="1" w:styleId="Spacer">
    <w:name w:val="Spacer"/>
    <w:basedOn w:val="Normal"/>
    <w:next w:val="BodyFirstLine5"/>
    <w:qFormat/>
    <w:pPr>
      <w:spacing w:after="120"/>
    </w:pPr>
  </w:style>
  <w:style w:type="paragraph" w:customStyle="1" w:styleId="Summary1">
    <w:name w:val="Summary 1"/>
    <w:basedOn w:val="BodyText"/>
    <w:qFormat/>
    <w:pPr>
      <w:tabs>
        <w:tab w:val="right" w:leader="dot" w:pos="3420"/>
      </w:tabs>
      <w:ind w:left="3600" w:hanging="3600"/>
    </w:pPr>
  </w:style>
  <w:style w:type="paragraph" w:customStyle="1" w:styleId="Summary2">
    <w:name w:val="Summary 2"/>
    <w:basedOn w:val="BodyText"/>
    <w:qFormat/>
    <w:pPr>
      <w:ind w:left="3600"/>
    </w:pPr>
  </w:style>
  <w:style w:type="paragraph" w:customStyle="1" w:styleId="TableFootnote">
    <w:name w:val="Table Footnote"/>
    <w:basedOn w:val="BodyText"/>
    <w:pPr>
      <w:keepLines/>
      <w:tabs>
        <w:tab w:val="left" w:pos="360"/>
      </w:tabs>
      <w:spacing w:after="60"/>
      <w:ind w:left="360" w:hanging="360"/>
    </w:pPr>
    <w:rPr>
      <w:sz w:val="16"/>
    </w:rPr>
  </w:style>
  <w:style w:type="paragraph" w:customStyle="1" w:styleId="TableFootnoteDiv">
    <w:name w:val="Table Footnote Div"/>
    <w:basedOn w:val="BodyText"/>
    <w:next w:val="TableFootnote"/>
    <w:pPr>
      <w:keepNext/>
      <w:keepLines/>
      <w:pBdr>
        <w:bottom w:val="single" w:sz="4" w:space="1" w:color="auto"/>
      </w:pBdr>
      <w:spacing w:after="60"/>
      <w:ind w:right="7920"/>
    </w:pPr>
    <w:rPr>
      <w:sz w:val="16"/>
    </w:rPr>
  </w:style>
  <w:style w:type="paragraph" w:customStyle="1" w:styleId="TableFootnoteEnd">
    <w:name w:val="Table Footnote End"/>
    <w:basedOn w:val="BodyText"/>
    <w:next w:val="BodyFirstLine5"/>
    <w:pPr>
      <w:keepLines/>
      <w:tabs>
        <w:tab w:val="left" w:pos="360"/>
      </w:tabs>
      <w:ind w:left="360" w:hanging="360"/>
    </w:pPr>
    <w:rPr>
      <w:sz w:val="16"/>
    </w:rPr>
  </w:style>
  <w:style w:type="table" w:styleId="TableGrid">
    <w:name w:val="Table Grid"/>
    <w:basedOn w:val="TableNormal"/>
    <w:uiPriority w:val="59"/>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5" w:type="dxa"/>
        <w:bottom w:w="0" w:type="dxa"/>
        <w:right w:w="115" w:type="dxa"/>
      </w:tblCellMar>
    </w:tblPr>
  </w:style>
  <w:style w:type="paragraph" w:styleId="Title">
    <w:name w:val="Title"/>
    <w:basedOn w:val="Normal"/>
    <w:next w:val="BodyFirstLine5"/>
    <w:link w:val="TitleChar"/>
    <w:qFormat/>
    <w:pPr>
      <w:keepNext/>
      <w:keepLines/>
      <w:spacing w:after="240"/>
      <w:jc w:val="center"/>
      <w:outlineLvl w:val="0"/>
    </w:pPr>
    <w:rPr>
      <w:rFonts w:eastAsia="Times New Roman"/>
      <w:b/>
      <w:bCs/>
    </w:rPr>
  </w:style>
  <w:style w:type="character" w:customStyle="1" w:styleId="TitleChar">
    <w:name w:val="Title Char"/>
    <w:basedOn w:val="DefaultParagraphFont"/>
    <w:link w:val="Title"/>
    <w:rPr>
      <w:rFonts w:eastAsia="Times New Roman" w:cstheme="minorBidi"/>
      <w:b/>
      <w:bCs/>
    </w:rPr>
  </w:style>
  <w:style w:type="paragraph" w:customStyle="1" w:styleId="TitleLeft">
    <w:name w:val="Title Left"/>
    <w:basedOn w:val="Normal"/>
    <w:next w:val="BodyFirstLine5"/>
    <w:pPr>
      <w:keepNext/>
      <w:keepLines/>
      <w:spacing w:after="240"/>
    </w:pPr>
    <w:rPr>
      <w:b/>
      <w:bCs/>
    </w:rPr>
  </w:style>
  <w:style w:type="paragraph" w:customStyle="1" w:styleId="TitleLeftBoldItalic">
    <w:name w:val="Title Left Bold Italic"/>
    <w:basedOn w:val="BodyText"/>
    <w:next w:val="BodyFirstLine5"/>
    <w:pPr>
      <w:keepNext/>
      <w:keepLines/>
    </w:pPr>
    <w:rPr>
      <w:b/>
      <w:i/>
    </w:rPr>
  </w:style>
  <w:style w:type="paragraph" w:customStyle="1" w:styleId="TitleLeftIndentBold">
    <w:name w:val="Title Left Indent Bold"/>
    <w:basedOn w:val="Normal"/>
    <w:next w:val="BodyFirstLine5"/>
    <w:pPr>
      <w:keepNext/>
      <w:keepLines/>
      <w:spacing w:after="240"/>
      <w:ind w:left="720"/>
    </w:pPr>
    <w:rPr>
      <w:b/>
    </w:rPr>
  </w:style>
  <w:style w:type="paragraph" w:customStyle="1" w:styleId="TitleLeftIndentBoldItalic">
    <w:name w:val="Title Left Indent Bold Italic"/>
    <w:basedOn w:val="Normal"/>
    <w:next w:val="BodyFirstLine5"/>
    <w:pPr>
      <w:keepNext/>
      <w:keepLines/>
      <w:spacing w:after="240"/>
      <w:ind w:left="720"/>
    </w:pPr>
    <w:rPr>
      <w:b/>
      <w:i/>
    </w:rPr>
  </w:style>
  <w:style w:type="paragraph" w:customStyle="1" w:styleId="TitleLeftIndentItalic">
    <w:name w:val="Title Left Indent Italic"/>
    <w:basedOn w:val="Normal"/>
    <w:next w:val="BodyFirstLine5"/>
    <w:pPr>
      <w:keepNext/>
      <w:keepLines/>
      <w:spacing w:after="240"/>
      <w:ind w:left="720"/>
    </w:pPr>
    <w:rPr>
      <w:i/>
    </w:rPr>
  </w:style>
  <w:style w:type="paragraph" w:customStyle="1" w:styleId="TitleLeftItalic">
    <w:name w:val="Title Left Italic"/>
    <w:basedOn w:val="Normal"/>
    <w:next w:val="BodyFirstLine5"/>
    <w:pPr>
      <w:keepNext/>
      <w:keepLines/>
      <w:spacing w:after="240"/>
    </w:pPr>
    <w:rPr>
      <w:i/>
    </w:rPr>
  </w:style>
  <w:style w:type="paragraph" w:customStyle="1" w:styleId="TitleRight">
    <w:name w:val="Title Right"/>
    <w:basedOn w:val="Normal"/>
    <w:next w:val="BodyFirstLine5"/>
    <w:pPr>
      <w:keepNext/>
      <w:keepLines/>
      <w:spacing w:after="480"/>
      <w:jc w:val="right"/>
    </w:pPr>
    <w:rPr>
      <w:rFonts w:eastAsia="Times New Roman"/>
      <w:b/>
      <w:bC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unhideWhenUsed/>
    <w:pPr>
      <w:spacing w:after="100"/>
      <w:ind w:left="720"/>
    </w:pPr>
  </w:style>
  <w:style w:type="paragraph" w:styleId="TOC5">
    <w:name w:val="toc 5"/>
    <w:basedOn w:val="Normal"/>
    <w:next w:val="Normal"/>
    <w:autoRedefine/>
    <w:uiPriority w:val="39"/>
    <w:unhideWhenUsed/>
    <w:pPr>
      <w:spacing w:after="100"/>
      <w:ind w:left="960"/>
    </w:pPr>
  </w:style>
  <w:style w:type="paragraph" w:styleId="TOC6">
    <w:name w:val="toc 6"/>
    <w:basedOn w:val="Normal"/>
    <w:next w:val="Normal"/>
    <w:autoRedefine/>
    <w:uiPriority w:val="39"/>
    <w:unhideWhenUsed/>
    <w:pPr>
      <w:spacing w:after="100"/>
      <w:ind w:left="1200"/>
    </w:pPr>
  </w:style>
  <w:style w:type="paragraph" w:styleId="TOC7">
    <w:name w:val="toc 7"/>
    <w:basedOn w:val="Normal"/>
    <w:next w:val="Normal"/>
    <w:autoRedefine/>
    <w:uiPriority w:val="39"/>
    <w:unhideWhenUsed/>
    <w:pPr>
      <w:spacing w:after="100"/>
      <w:ind w:left="1440"/>
    </w:pPr>
  </w:style>
  <w:style w:type="paragraph" w:styleId="TOC8">
    <w:name w:val="toc 8"/>
    <w:basedOn w:val="Normal"/>
    <w:next w:val="Normal"/>
    <w:autoRedefine/>
    <w:uiPriority w:val="39"/>
    <w:unhideWhenUsed/>
    <w:pPr>
      <w:spacing w:after="100"/>
      <w:ind w:left="1680"/>
    </w:pPr>
  </w:style>
  <w:style w:type="paragraph" w:styleId="TOC9">
    <w:name w:val="toc 9"/>
    <w:basedOn w:val="Normal"/>
    <w:next w:val="Normal"/>
    <w:autoRedefine/>
    <w:uiPriority w:val="39"/>
    <w:unhideWhenUsed/>
    <w:pPr>
      <w:spacing w:after="100"/>
      <w:ind w:left="1920"/>
    </w:pPr>
  </w:style>
  <w:style w:type="paragraph" w:styleId="EndnoteText">
    <w:name w:val="endnote text"/>
    <w:basedOn w:val="BodyText"/>
    <w:link w:val="EndnoteTextChar"/>
    <w:pPr>
      <w:tabs>
        <w:tab w:val="left" w:pos="540"/>
      </w:tabs>
      <w:spacing w:after="120"/>
      <w:ind w:left="547" w:hanging="547"/>
    </w:pPr>
    <w:rPr>
      <w:sz w:val="20"/>
    </w:rPr>
  </w:style>
  <w:style w:type="character" w:customStyle="1" w:styleId="EndnoteTextChar">
    <w:name w:val="Endnote Text Char"/>
    <w:basedOn w:val="DefaultParagraphFont"/>
    <w:link w:val="EndnoteText"/>
    <w:rPr>
      <w:rFonts w:ascii="Times New Roman" w:eastAsia="Times New Roman" w:hAnsi="Times New Roman"/>
    </w:rPr>
  </w:style>
  <w:style w:type="character" w:styleId="EndnoteReference">
    <w:name w:val="endnote reference"/>
    <w:basedOn w:val="DefaultParagraphFont"/>
    <w:uiPriority w:val="99"/>
    <w:unhideWhenUsed/>
    <w:rPr>
      <w:sz w:val="20"/>
      <w:vertAlign w:val="superscript"/>
    </w:rPr>
  </w:style>
  <w:style w:type="paragraph" w:customStyle="1" w:styleId="HeadingBody1">
    <w:name w:val="HeadingBody 1"/>
    <w:basedOn w:val="Normal"/>
    <w:next w:val="Normal"/>
    <w:link w:val="HeadingBody1Char"/>
    <w:pPr>
      <w:spacing w:after="240"/>
      <w:jc w:val="center"/>
    </w:pPr>
  </w:style>
  <w:style w:type="character" w:customStyle="1" w:styleId="HeadingBody1Char">
    <w:name w:val="HeadingBody 1 Char"/>
    <w:basedOn w:val="Heading2Char"/>
    <w:link w:val="HeadingBody1"/>
  </w:style>
  <w:style w:type="paragraph" w:customStyle="1" w:styleId="HeadingBody2">
    <w:name w:val="HeadingBody 2"/>
    <w:basedOn w:val="Normal"/>
    <w:next w:val="Normal"/>
    <w:link w:val="HeadingBody2Char"/>
    <w:pPr>
      <w:spacing w:after="240"/>
      <w:jc w:val="both"/>
    </w:pPr>
  </w:style>
  <w:style w:type="character" w:customStyle="1" w:styleId="HeadingBody2Char">
    <w:name w:val="HeadingBody 2 Char"/>
    <w:basedOn w:val="Heading2Char"/>
    <w:link w:val="HeadingBody2"/>
  </w:style>
  <w:style w:type="paragraph" w:customStyle="1" w:styleId="HeadingBody3">
    <w:name w:val="HeadingBody 3"/>
    <w:basedOn w:val="Normal"/>
    <w:next w:val="Normal"/>
    <w:link w:val="HeadingBody3Char"/>
    <w:pPr>
      <w:spacing w:after="240"/>
      <w:ind w:left="720"/>
      <w:jc w:val="both"/>
    </w:pPr>
  </w:style>
  <w:style w:type="character" w:customStyle="1" w:styleId="HeadingBody3Char">
    <w:name w:val="HeadingBody 3 Char"/>
    <w:basedOn w:val="Heading2Char"/>
    <w:link w:val="HeadingBody3"/>
  </w:style>
  <w:style w:type="paragraph" w:customStyle="1" w:styleId="HeadingBody4">
    <w:name w:val="HeadingBody 4"/>
    <w:basedOn w:val="Normal"/>
    <w:next w:val="Normal"/>
    <w:link w:val="HeadingBody4Char"/>
    <w:pPr>
      <w:spacing w:after="240"/>
      <w:ind w:firstLine="2160"/>
      <w:jc w:val="both"/>
    </w:pPr>
  </w:style>
  <w:style w:type="character" w:customStyle="1" w:styleId="HeadingBody4Char">
    <w:name w:val="HeadingBody 4 Char"/>
    <w:basedOn w:val="Heading2Char"/>
    <w:link w:val="HeadingBody4"/>
  </w:style>
  <w:style w:type="paragraph" w:customStyle="1" w:styleId="HeadingBody5">
    <w:name w:val="HeadingBody 5"/>
    <w:basedOn w:val="Normal"/>
    <w:next w:val="Normal"/>
    <w:link w:val="HeadingBody5Char"/>
    <w:pPr>
      <w:spacing w:after="240"/>
      <w:ind w:firstLine="2160"/>
      <w:jc w:val="both"/>
    </w:pPr>
  </w:style>
  <w:style w:type="character" w:customStyle="1" w:styleId="HeadingBody5Char">
    <w:name w:val="HeadingBody 5 Char"/>
    <w:basedOn w:val="Heading2Char"/>
    <w:link w:val="HeadingBody5"/>
  </w:style>
  <w:style w:type="paragraph" w:customStyle="1" w:styleId="HeadingBody6">
    <w:name w:val="HeadingBody 6"/>
    <w:basedOn w:val="Normal"/>
    <w:next w:val="Normal"/>
    <w:link w:val="HeadingBody6Char"/>
    <w:pPr>
      <w:spacing w:after="240"/>
      <w:ind w:left="720" w:hanging="720"/>
      <w:jc w:val="both"/>
    </w:pPr>
  </w:style>
  <w:style w:type="character" w:customStyle="1" w:styleId="HeadingBody6Char">
    <w:name w:val="HeadingBody 6 Char"/>
    <w:basedOn w:val="Heading2Char"/>
    <w:link w:val="HeadingBody6"/>
  </w:style>
  <w:style w:type="paragraph" w:customStyle="1" w:styleId="HeadingBody7">
    <w:name w:val="HeadingBody 7"/>
    <w:basedOn w:val="Normal"/>
    <w:next w:val="Normal"/>
    <w:link w:val="HeadingBody7Char"/>
    <w:pPr>
      <w:spacing w:after="240"/>
      <w:ind w:left="1440" w:hanging="720"/>
      <w:jc w:val="both"/>
    </w:pPr>
  </w:style>
  <w:style w:type="character" w:customStyle="1" w:styleId="HeadingBody7Char">
    <w:name w:val="HeadingBody 7 Char"/>
    <w:basedOn w:val="Heading2Char"/>
    <w:link w:val="HeadingBody7"/>
  </w:style>
  <w:style w:type="paragraph" w:customStyle="1" w:styleId="HeadingBody8">
    <w:name w:val="HeadingBody 8"/>
    <w:basedOn w:val="Normal"/>
    <w:next w:val="Normal"/>
    <w:link w:val="HeadingBody8Char"/>
    <w:pPr>
      <w:spacing w:after="240"/>
      <w:ind w:left="2160" w:hanging="720"/>
      <w:jc w:val="both"/>
    </w:pPr>
  </w:style>
  <w:style w:type="character" w:customStyle="1" w:styleId="HeadingBody8Char">
    <w:name w:val="HeadingBody 8 Char"/>
    <w:basedOn w:val="Heading2Char"/>
    <w:link w:val="HeadingBody8"/>
  </w:style>
  <w:style w:type="paragraph" w:customStyle="1" w:styleId="HeadingBody9">
    <w:name w:val="HeadingBody 9"/>
    <w:basedOn w:val="Normal"/>
    <w:next w:val="Normal"/>
    <w:link w:val="HeadingBody9Char"/>
    <w:pPr>
      <w:spacing w:after="240"/>
      <w:ind w:left="2880" w:hanging="720"/>
      <w:jc w:val="both"/>
    </w:pPr>
  </w:style>
  <w:style w:type="character" w:customStyle="1" w:styleId="HeadingBody9Char">
    <w:name w:val="HeadingBody 9 Char"/>
    <w:basedOn w:val="Heading2Char"/>
    <w:link w:val="HeadingBody9"/>
  </w:style>
</w:styles>
</file>

<file path=word/webSettings.xml><?xml version="1.0" encoding="utf-8"?>
<w:webSettings xmlns:r="http://schemas.openxmlformats.org/officeDocument/2006/relationships" xmlns:w="http://schemas.openxmlformats.org/wordprocessingml/2006/main">
  <w:divs>
    <w:div w:id="2464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180A4-5DC3-450F-95FD-F199F84D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Truncellito</dc:creator>
  <cp:lastModifiedBy>yresnick</cp:lastModifiedBy>
  <cp:revision>3</cp:revision>
  <dcterms:created xsi:type="dcterms:W3CDTF">2016-07-24T00:11:00Z</dcterms:created>
  <dcterms:modified xsi:type="dcterms:W3CDTF">2016-07-24T00:12:00Z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216342106v.3</vt:lpwstr>
  </property>
  <property fmtid="{D5CDD505-2E9C-101B-9397-08002B2CF9AE}" pid="3" name="_AdHocReviewCycleID">
    <vt:i4>-484422767</vt:i4>
  </property>
  <property fmtid="{D5CDD505-2E9C-101B-9397-08002B2CF9AE}" pid="4" name="_NewReviewCycle">
    <vt:lpwstr/>
  </property>
  <property fmtid="{D5CDD505-2E9C-101B-9397-08002B2CF9AE}" pid="5" name="_EmailSubject">
    <vt:lpwstr>ICANN-PTI Naming Functions Agreement &amp; Services Agreement Headers</vt:lpwstr>
  </property>
  <property fmtid="{D5CDD505-2E9C-101B-9397-08002B2CF9AE}" pid="6" name="_AuthorEmail">
    <vt:lpwstr>jhofheimer@sidley.com</vt:lpwstr>
  </property>
  <property fmtid="{D5CDD505-2E9C-101B-9397-08002B2CF9AE}" pid="7" name="_AuthorEmailDisplayName">
    <vt:lpwstr>Hofheimer, Joshua T.</vt:lpwstr>
  </property>
  <property fmtid="{D5CDD505-2E9C-101B-9397-08002B2CF9AE}" pid="8" name="_PreviousAdHocReviewCycleID">
    <vt:i4>-1234652335</vt:i4>
  </property>
</Properties>
</file>