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5A0" w:firstRow="1" w:lastRow="0" w:firstColumn="1" w:lastColumn="1" w:noHBand="0" w:noVBand="1"/>
      </w:tblPr>
      <w:tblGrid>
        <w:gridCol w:w="1199"/>
        <w:gridCol w:w="3917"/>
        <w:gridCol w:w="3917"/>
        <w:gridCol w:w="3917"/>
      </w:tblGrid>
      <w:tr w:rsidR="00366549" w:rsidRPr="00E82440" w:rsidTr="00320379">
        <w:trPr>
          <w:tblHeader/>
        </w:trPr>
        <w:tc>
          <w:tcPr>
            <w:tcW w:w="1199" w:type="dxa"/>
            <w:shd w:val="clear" w:color="auto" w:fill="DEEAF6" w:themeFill="accent1" w:themeFillTint="33"/>
          </w:tcPr>
          <w:p w:rsidR="00366549" w:rsidRPr="00E82440" w:rsidRDefault="00366549">
            <w:pPr>
              <w:rPr>
                <w:b/>
                <w:sz w:val="20"/>
                <w:szCs w:val="20"/>
              </w:rPr>
            </w:pPr>
          </w:p>
        </w:tc>
        <w:tc>
          <w:tcPr>
            <w:tcW w:w="3917" w:type="dxa"/>
            <w:shd w:val="clear" w:color="auto" w:fill="DEEAF6" w:themeFill="accent1" w:themeFillTint="33"/>
          </w:tcPr>
          <w:p w:rsidR="00366549" w:rsidRPr="00E82440" w:rsidRDefault="00D667E5" w:rsidP="00366549">
            <w:pPr>
              <w:jc w:val="center"/>
              <w:rPr>
                <w:b/>
                <w:sz w:val="20"/>
                <w:szCs w:val="20"/>
              </w:rPr>
            </w:pPr>
            <w:r>
              <w:rPr>
                <w:b/>
                <w:sz w:val="20"/>
                <w:szCs w:val="20"/>
              </w:rPr>
              <w:t xml:space="preserve">IANA </w:t>
            </w:r>
            <w:r w:rsidR="00366549" w:rsidRPr="00E82440">
              <w:rPr>
                <w:b/>
                <w:sz w:val="20"/>
                <w:szCs w:val="20"/>
              </w:rPr>
              <w:t>Division of ICANN</w:t>
            </w:r>
          </w:p>
        </w:tc>
        <w:tc>
          <w:tcPr>
            <w:tcW w:w="3917" w:type="dxa"/>
            <w:shd w:val="clear" w:color="auto" w:fill="DEEAF6" w:themeFill="accent1" w:themeFillTint="33"/>
          </w:tcPr>
          <w:p w:rsidR="00366549" w:rsidRPr="00E82440" w:rsidRDefault="00366549" w:rsidP="00366549">
            <w:pPr>
              <w:jc w:val="center"/>
              <w:rPr>
                <w:b/>
                <w:sz w:val="20"/>
                <w:szCs w:val="20"/>
              </w:rPr>
            </w:pPr>
            <w:r w:rsidRPr="00E82440">
              <w:rPr>
                <w:b/>
                <w:sz w:val="20"/>
                <w:szCs w:val="20"/>
              </w:rPr>
              <w:t>IANA Subsidiary of ICANN</w:t>
            </w:r>
          </w:p>
        </w:tc>
        <w:tc>
          <w:tcPr>
            <w:tcW w:w="3917" w:type="dxa"/>
            <w:shd w:val="clear" w:color="auto" w:fill="DEEAF6" w:themeFill="accent1" w:themeFillTint="33"/>
          </w:tcPr>
          <w:p w:rsidR="00366549" w:rsidRPr="00E82440" w:rsidRDefault="00366549" w:rsidP="00366549">
            <w:pPr>
              <w:jc w:val="center"/>
              <w:rPr>
                <w:b/>
                <w:sz w:val="20"/>
                <w:szCs w:val="20"/>
              </w:rPr>
            </w:pPr>
            <w:r w:rsidRPr="00E82440">
              <w:rPr>
                <w:b/>
                <w:sz w:val="20"/>
                <w:szCs w:val="20"/>
              </w:rPr>
              <w:t>IANA Independent of ICANN</w:t>
            </w:r>
          </w:p>
        </w:tc>
      </w:tr>
      <w:tr w:rsidR="00366549" w:rsidRPr="00E82440" w:rsidTr="00320379">
        <w:trPr>
          <w:cantSplit/>
        </w:trPr>
        <w:tc>
          <w:tcPr>
            <w:tcW w:w="1199" w:type="dxa"/>
            <w:shd w:val="clear" w:color="auto" w:fill="DEEAF6" w:themeFill="accent1" w:themeFillTint="33"/>
          </w:tcPr>
          <w:p w:rsidR="00366549" w:rsidRPr="00E82440" w:rsidRDefault="00366549">
            <w:pPr>
              <w:rPr>
                <w:b/>
                <w:sz w:val="20"/>
                <w:szCs w:val="20"/>
              </w:rPr>
            </w:pPr>
            <w:r w:rsidRPr="00E82440">
              <w:rPr>
                <w:b/>
                <w:sz w:val="20"/>
                <w:szCs w:val="20"/>
              </w:rPr>
              <w:t>Pros:</w:t>
            </w:r>
          </w:p>
        </w:tc>
        <w:tc>
          <w:tcPr>
            <w:tcW w:w="3917" w:type="dxa"/>
          </w:tcPr>
          <w:p w:rsidR="00366549" w:rsidRPr="00E82440" w:rsidRDefault="00366549" w:rsidP="00E82440">
            <w:pPr>
              <w:pStyle w:val="ListParagraph"/>
              <w:numPr>
                <w:ilvl w:val="0"/>
                <w:numId w:val="2"/>
              </w:numPr>
              <w:spacing w:after="0" w:line="240" w:lineRule="auto"/>
              <w:rPr>
                <w:sz w:val="20"/>
                <w:szCs w:val="20"/>
              </w:rPr>
            </w:pPr>
            <w:r w:rsidRPr="00E82440">
              <w:rPr>
                <w:sz w:val="20"/>
                <w:szCs w:val="20"/>
              </w:rPr>
              <w:t>Does not require creation of any new bodies requiring permanent staffing and ongoing costs</w:t>
            </w:r>
          </w:p>
          <w:p w:rsidR="00366549" w:rsidRPr="00E82440" w:rsidRDefault="00366549" w:rsidP="00E82440">
            <w:pPr>
              <w:pStyle w:val="ListParagraph"/>
              <w:numPr>
                <w:ilvl w:val="0"/>
                <w:numId w:val="2"/>
              </w:numPr>
              <w:spacing w:after="0" w:line="240" w:lineRule="auto"/>
              <w:rPr>
                <w:sz w:val="20"/>
                <w:szCs w:val="20"/>
              </w:rPr>
            </w:pPr>
            <w:r w:rsidRPr="00E82440">
              <w:rPr>
                <w:sz w:val="20"/>
                <w:szCs w:val="20"/>
              </w:rPr>
              <w:t xml:space="preserve">May integrate well with transition approach of numbering and protocol parameter communities  </w:t>
            </w:r>
          </w:p>
          <w:p w:rsidR="00366549" w:rsidRPr="00E82440" w:rsidRDefault="00366549" w:rsidP="00E82440">
            <w:pPr>
              <w:pStyle w:val="ListParagraph"/>
              <w:numPr>
                <w:ilvl w:val="0"/>
                <w:numId w:val="2"/>
              </w:numPr>
              <w:spacing w:after="0" w:line="240" w:lineRule="auto"/>
              <w:rPr>
                <w:sz w:val="20"/>
                <w:szCs w:val="20"/>
              </w:rPr>
            </w:pPr>
            <w:r w:rsidRPr="00E82440">
              <w:rPr>
                <w:sz w:val="20"/>
                <w:szCs w:val="20"/>
              </w:rPr>
              <w:t>Does not require any increased funding from registry community (as would structural separation model)</w:t>
            </w:r>
          </w:p>
          <w:p w:rsidR="00366549" w:rsidRPr="00E82440" w:rsidRDefault="00366549" w:rsidP="00E82440">
            <w:pPr>
              <w:pStyle w:val="ListParagraph"/>
              <w:numPr>
                <w:ilvl w:val="0"/>
                <w:numId w:val="2"/>
              </w:numPr>
              <w:spacing w:after="0" w:line="240" w:lineRule="auto"/>
              <w:rPr>
                <w:sz w:val="20"/>
                <w:szCs w:val="20"/>
              </w:rPr>
            </w:pPr>
            <w:r w:rsidRPr="00E82440">
              <w:rPr>
                <w:sz w:val="20"/>
                <w:szCs w:val="20"/>
              </w:rPr>
              <w:t>Is the least complex to design and implement so it carries the greatest potential to be completed within the timeframe established by the NTIA, the fall of 2015.</w:t>
            </w:r>
          </w:p>
        </w:tc>
        <w:tc>
          <w:tcPr>
            <w:tcW w:w="3917" w:type="dxa"/>
          </w:tcPr>
          <w:p w:rsidR="00366549" w:rsidRPr="00E82440" w:rsidRDefault="00366549" w:rsidP="00E82440">
            <w:pPr>
              <w:pStyle w:val="ListParagraph"/>
              <w:numPr>
                <w:ilvl w:val="0"/>
                <w:numId w:val="2"/>
              </w:numPr>
              <w:spacing w:after="0" w:line="240" w:lineRule="auto"/>
              <w:rPr>
                <w:sz w:val="20"/>
                <w:szCs w:val="20"/>
              </w:rPr>
            </w:pPr>
            <w:r w:rsidRPr="00E82440">
              <w:rPr>
                <w:sz w:val="20"/>
                <w:szCs w:val="20"/>
              </w:rPr>
              <w:t>Provides for a more formal, structured relationship between IANN and IANA as all communication will need to be in writing (less potential for ICANN staff and Board to interfere).</w:t>
            </w:r>
          </w:p>
          <w:p w:rsidR="00366549" w:rsidRPr="00E82440" w:rsidRDefault="00366549" w:rsidP="00E82440">
            <w:pPr>
              <w:pStyle w:val="ListParagraph"/>
              <w:numPr>
                <w:ilvl w:val="0"/>
                <w:numId w:val="2"/>
              </w:numPr>
              <w:spacing w:after="0" w:line="240" w:lineRule="auto"/>
              <w:rPr>
                <w:sz w:val="20"/>
                <w:szCs w:val="20"/>
              </w:rPr>
            </w:pPr>
            <w:r w:rsidRPr="00E82440">
              <w:rPr>
                <w:sz w:val="20"/>
                <w:szCs w:val="20"/>
              </w:rPr>
              <w:t xml:space="preserve">Quality and transparency of decisions would be improved because only IANA Inc. staff (not the ICANN Board) would authorized to request root zone changes and with IANA Inc. staff removed from the day to day direction and control of ICANN management and the Board.  </w:t>
            </w:r>
          </w:p>
          <w:p w:rsidR="00366549" w:rsidRPr="00E82440" w:rsidRDefault="00366549" w:rsidP="00E82440">
            <w:pPr>
              <w:pStyle w:val="ListParagraph"/>
              <w:numPr>
                <w:ilvl w:val="0"/>
                <w:numId w:val="2"/>
              </w:numPr>
              <w:spacing w:after="0" w:line="240" w:lineRule="auto"/>
              <w:rPr>
                <w:sz w:val="20"/>
                <w:szCs w:val="20"/>
              </w:rPr>
            </w:pPr>
            <w:r w:rsidRPr="00E82440">
              <w:rPr>
                <w:sz w:val="20"/>
                <w:szCs w:val="20"/>
              </w:rPr>
              <w:t xml:space="preserve">May integrate well with transition approach of numbering and protocol parameter communities  </w:t>
            </w:r>
          </w:p>
          <w:p w:rsidR="00366549" w:rsidRPr="00E82440" w:rsidRDefault="00366549" w:rsidP="00E82440">
            <w:pPr>
              <w:rPr>
                <w:sz w:val="20"/>
                <w:szCs w:val="20"/>
              </w:rPr>
            </w:pPr>
          </w:p>
        </w:tc>
        <w:tc>
          <w:tcPr>
            <w:tcW w:w="3917" w:type="dxa"/>
          </w:tcPr>
          <w:p w:rsidR="00D51F9A" w:rsidRPr="00E82440" w:rsidRDefault="00D51F9A" w:rsidP="00E82440">
            <w:pPr>
              <w:pStyle w:val="ListParagraph"/>
              <w:numPr>
                <w:ilvl w:val="0"/>
                <w:numId w:val="2"/>
              </w:numPr>
              <w:spacing w:after="0" w:line="240" w:lineRule="auto"/>
              <w:rPr>
                <w:sz w:val="20"/>
                <w:szCs w:val="20"/>
              </w:rPr>
            </w:pPr>
            <w:r w:rsidRPr="00E82440">
              <w:rPr>
                <w:sz w:val="20"/>
                <w:szCs w:val="20"/>
              </w:rPr>
              <w:t>Provides complete separation of policy development processes and IANA operations.</w:t>
            </w:r>
          </w:p>
          <w:p w:rsidR="00366549" w:rsidRPr="00E82440" w:rsidRDefault="00D51F9A" w:rsidP="00E82440">
            <w:pPr>
              <w:pStyle w:val="ListParagraph"/>
              <w:numPr>
                <w:ilvl w:val="0"/>
                <w:numId w:val="2"/>
              </w:numPr>
              <w:spacing w:after="0" w:line="240" w:lineRule="auto"/>
              <w:rPr>
                <w:sz w:val="20"/>
                <w:szCs w:val="20"/>
              </w:rPr>
            </w:pPr>
            <w:r w:rsidRPr="00E82440">
              <w:rPr>
                <w:sz w:val="20"/>
                <w:szCs w:val="20"/>
              </w:rPr>
              <w:t>Quality and transparency of decisions would be improved because only IANA Inc. staff (not the ICANN Board) would authorized to request root zone changes and with IANA Inc. staff removed from the day to day direction and control of ICANN management and the Board.</w:t>
            </w:r>
          </w:p>
        </w:tc>
      </w:tr>
      <w:tr w:rsidR="00366549" w:rsidRPr="00E82440" w:rsidTr="00E82440">
        <w:tc>
          <w:tcPr>
            <w:tcW w:w="1199" w:type="dxa"/>
            <w:shd w:val="clear" w:color="auto" w:fill="DEEAF6" w:themeFill="accent1" w:themeFillTint="33"/>
          </w:tcPr>
          <w:p w:rsidR="00366549" w:rsidRPr="00E82440" w:rsidRDefault="00366549" w:rsidP="00E82440">
            <w:pPr>
              <w:rPr>
                <w:b/>
                <w:sz w:val="20"/>
                <w:szCs w:val="20"/>
              </w:rPr>
            </w:pPr>
            <w:r w:rsidRPr="00E82440">
              <w:rPr>
                <w:b/>
                <w:sz w:val="20"/>
                <w:szCs w:val="20"/>
              </w:rPr>
              <w:t>Cons:</w:t>
            </w:r>
          </w:p>
        </w:tc>
        <w:tc>
          <w:tcPr>
            <w:tcW w:w="3917" w:type="dxa"/>
          </w:tcPr>
          <w:p w:rsidR="00366549" w:rsidRPr="00E82440" w:rsidRDefault="00366549" w:rsidP="00E82440">
            <w:pPr>
              <w:pStyle w:val="ListParagraph"/>
              <w:numPr>
                <w:ilvl w:val="0"/>
                <w:numId w:val="1"/>
              </w:numPr>
              <w:spacing w:after="0" w:line="240" w:lineRule="auto"/>
              <w:rPr>
                <w:sz w:val="20"/>
                <w:szCs w:val="20"/>
              </w:rPr>
            </w:pPr>
            <w:r w:rsidRPr="00E82440">
              <w:rPr>
                <w:sz w:val="20"/>
                <w:szCs w:val="20"/>
              </w:rPr>
              <w:t>IANA staff would remain under the functional control of ICANN management and the ICANN Board</w:t>
            </w:r>
          </w:p>
          <w:p w:rsidR="00366549" w:rsidRPr="00E82440" w:rsidRDefault="00366549" w:rsidP="00E82440">
            <w:pPr>
              <w:pStyle w:val="ListParagraph"/>
              <w:numPr>
                <w:ilvl w:val="0"/>
                <w:numId w:val="1"/>
              </w:numPr>
              <w:spacing w:after="0" w:line="240" w:lineRule="auto"/>
              <w:rPr>
                <w:sz w:val="20"/>
                <w:szCs w:val="20"/>
              </w:rPr>
            </w:pPr>
            <w:r w:rsidRPr="00E82440">
              <w:rPr>
                <w:sz w:val="20"/>
                <w:szCs w:val="20"/>
              </w:rPr>
              <w:t>May not provide sufficient separation of policy development processes and IANA operations.</w:t>
            </w:r>
          </w:p>
          <w:p w:rsidR="00366549" w:rsidRPr="00E82440" w:rsidRDefault="00366549" w:rsidP="00E82440">
            <w:pPr>
              <w:pStyle w:val="ListParagraph"/>
              <w:numPr>
                <w:ilvl w:val="0"/>
                <w:numId w:val="1"/>
              </w:numPr>
              <w:spacing w:after="0" w:line="240" w:lineRule="auto"/>
              <w:rPr>
                <w:sz w:val="20"/>
                <w:szCs w:val="20"/>
              </w:rPr>
            </w:pPr>
            <w:r w:rsidRPr="00E82440">
              <w:rPr>
                <w:sz w:val="20"/>
                <w:szCs w:val="20"/>
              </w:rPr>
              <w:t>Structure would not easily permit transferring the IANA functions to another operator in future.</w:t>
            </w:r>
          </w:p>
        </w:tc>
        <w:tc>
          <w:tcPr>
            <w:tcW w:w="3917" w:type="dxa"/>
          </w:tcPr>
          <w:p w:rsidR="00366549" w:rsidRPr="00E82440" w:rsidRDefault="00366549" w:rsidP="00E82440">
            <w:pPr>
              <w:pStyle w:val="ListParagraph"/>
              <w:numPr>
                <w:ilvl w:val="0"/>
                <w:numId w:val="1"/>
              </w:numPr>
              <w:spacing w:after="0" w:line="240" w:lineRule="auto"/>
              <w:rPr>
                <w:sz w:val="20"/>
                <w:szCs w:val="20"/>
              </w:rPr>
            </w:pPr>
            <w:r w:rsidRPr="00E82440">
              <w:rPr>
                <w:sz w:val="20"/>
                <w:szCs w:val="20"/>
              </w:rPr>
              <w:t>Does not contain any legally binding (judiciable) mechanism which would obligate ICANN to honor any commitments made (it could go back on its commitments in the future)</w:t>
            </w:r>
          </w:p>
          <w:p w:rsidR="00366549" w:rsidRPr="00E82440" w:rsidRDefault="00366549" w:rsidP="00E82440">
            <w:pPr>
              <w:pStyle w:val="ListParagraph"/>
              <w:numPr>
                <w:ilvl w:val="0"/>
                <w:numId w:val="1"/>
              </w:numPr>
              <w:spacing w:after="0" w:line="240" w:lineRule="auto"/>
              <w:rPr>
                <w:sz w:val="20"/>
                <w:szCs w:val="20"/>
              </w:rPr>
            </w:pPr>
            <w:r w:rsidRPr="00E82440">
              <w:rPr>
                <w:sz w:val="20"/>
                <w:szCs w:val="20"/>
              </w:rPr>
              <w:t xml:space="preserve">An overarching commitment could possibly be secured as part of the accountability review process  </w:t>
            </w:r>
          </w:p>
          <w:p w:rsidR="00366549" w:rsidRPr="00E82440" w:rsidRDefault="00366549" w:rsidP="00E82440">
            <w:pPr>
              <w:pStyle w:val="ListParagraph"/>
              <w:numPr>
                <w:ilvl w:val="0"/>
                <w:numId w:val="1"/>
              </w:numPr>
              <w:spacing w:after="0" w:line="240" w:lineRule="auto"/>
              <w:rPr>
                <w:sz w:val="20"/>
                <w:szCs w:val="20"/>
              </w:rPr>
            </w:pPr>
            <w:r w:rsidRPr="00E82440">
              <w:rPr>
                <w:sz w:val="20"/>
                <w:szCs w:val="20"/>
              </w:rPr>
              <w:t>May not provide sufficient separation of policy development processes and IANA operations.</w:t>
            </w:r>
          </w:p>
          <w:p w:rsidR="00366549" w:rsidRPr="00E82440" w:rsidRDefault="00366549" w:rsidP="00E82440">
            <w:pPr>
              <w:pStyle w:val="ListParagraph"/>
              <w:numPr>
                <w:ilvl w:val="0"/>
                <w:numId w:val="1"/>
              </w:numPr>
              <w:spacing w:after="0" w:line="240" w:lineRule="auto"/>
              <w:rPr>
                <w:sz w:val="20"/>
                <w:szCs w:val="20"/>
              </w:rPr>
            </w:pPr>
            <w:r w:rsidRPr="00E82440">
              <w:rPr>
                <w:sz w:val="20"/>
                <w:szCs w:val="20"/>
              </w:rPr>
              <w:t>Structure would not easily permit transferring the IANA functions to another operator in future.</w:t>
            </w:r>
          </w:p>
        </w:tc>
        <w:tc>
          <w:tcPr>
            <w:tcW w:w="3917" w:type="dxa"/>
          </w:tcPr>
          <w:p w:rsidR="00D51F9A" w:rsidRPr="00E82440" w:rsidRDefault="00D51F9A" w:rsidP="00E82440">
            <w:pPr>
              <w:pStyle w:val="ListParagraph"/>
              <w:numPr>
                <w:ilvl w:val="0"/>
                <w:numId w:val="1"/>
              </w:numPr>
              <w:spacing w:after="0" w:line="240" w:lineRule="auto"/>
              <w:rPr>
                <w:sz w:val="20"/>
                <w:szCs w:val="20"/>
              </w:rPr>
            </w:pPr>
            <w:r w:rsidRPr="00E82440">
              <w:rPr>
                <w:sz w:val="20"/>
                <w:szCs w:val="20"/>
              </w:rPr>
              <w:t>Registries may not be willing to fund the costs of IANA Inc. on an ongoing basis.</w:t>
            </w:r>
          </w:p>
          <w:p w:rsidR="00D51F9A" w:rsidRPr="00E82440" w:rsidRDefault="00D51F9A" w:rsidP="00E82440">
            <w:pPr>
              <w:pStyle w:val="ListParagraph"/>
              <w:numPr>
                <w:ilvl w:val="0"/>
                <w:numId w:val="2"/>
              </w:numPr>
              <w:spacing w:after="0" w:line="240" w:lineRule="auto"/>
              <w:rPr>
                <w:sz w:val="20"/>
                <w:szCs w:val="20"/>
              </w:rPr>
            </w:pPr>
            <w:r w:rsidRPr="00E82440">
              <w:rPr>
                <w:sz w:val="20"/>
                <w:szCs w:val="20"/>
              </w:rPr>
              <w:t xml:space="preserve">May not integrate well with transition approach of numbering and protocol parameter communities  </w:t>
            </w:r>
          </w:p>
          <w:p w:rsidR="00366549" w:rsidRPr="00E82440" w:rsidRDefault="00366549" w:rsidP="00E82440">
            <w:pPr>
              <w:rPr>
                <w:sz w:val="20"/>
                <w:szCs w:val="20"/>
              </w:rPr>
            </w:pPr>
          </w:p>
        </w:tc>
      </w:tr>
      <w:tr w:rsidR="00366549" w:rsidRPr="00E82440" w:rsidTr="00320379">
        <w:trPr>
          <w:cantSplit/>
        </w:trPr>
        <w:tc>
          <w:tcPr>
            <w:tcW w:w="1199" w:type="dxa"/>
            <w:shd w:val="clear" w:color="auto" w:fill="DEEAF6" w:themeFill="accent1" w:themeFillTint="33"/>
          </w:tcPr>
          <w:p w:rsidR="00366549" w:rsidRPr="00E82440" w:rsidRDefault="00366549" w:rsidP="00E82440">
            <w:pPr>
              <w:rPr>
                <w:b/>
                <w:sz w:val="20"/>
                <w:szCs w:val="20"/>
              </w:rPr>
            </w:pPr>
            <w:r w:rsidRPr="00E82440">
              <w:rPr>
                <w:b/>
                <w:sz w:val="20"/>
                <w:szCs w:val="20"/>
              </w:rPr>
              <w:lastRenderedPageBreak/>
              <w:t>Questions:</w:t>
            </w:r>
          </w:p>
        </w:tc>
        <w:tc>
          <w:tcPr>
            <w:tcW w:w="3917" w:type="dxa"/>
          </w:tcPr>
          <w:p w:rsidR="00366549" w:rsidRPr="00E82440" w:rsidRDefault="00366549" w:rsidP="00E82440">
            <w:pPr>
              <w:pStyle w:val="ListParagraph"/>
              <w:numPr>
                <w:ilvl w:val="0"/>
                <w:numId w:val="4"/>
              </w:numPr>
              <w:spacing w:after="0" w:line="240" w:lineRule="auto"/>
              <w:rPr>
                <w:sz w:val="20"/>
                <w:szCs w:val="20"/>
              </w:rPr>
            </w:pPr>
            <w:r w:rsidRPr="00E82440">
              <w:rPr>
                <w:sz w:val="20"/>
                <w:szCs w:val="20"/>
              </w:rPr>
              <w:t>How can ICANN become bound to such an approach?</w:t>
            </w:r>
          </w:p>
          <w:p w:rsidR="00366549" w:rsidRPr="00E82440" w:rsidRDefault="00366549" w:rsidP="00E82440">
            <w:pPr>
              <w:pStyle w:val="ListParagraph"/>
              <w:numPr>
                <w:ilvl w:val="0"/>
                <w:numId w:val="3"/>
              </w:numPr>
              <w:spacing w:after="0" w:line="240" w:lineRule="auto"/>
              <w:rPr>
                <w:sz w:val="20"/>
                <w:szCs w:val="20"/>
              </w:rPr>
            </w:pPr>
            <w:r w:rsidRPr="00E82440">
              <w:rPr>
                <w:sz w:val="20"/>
                <w:szCs w:val="20"/>
              </w:rPr>
              <w:t>Through a link to outcomes of the accountability review?</w:t>
            </w:r>
          </w:p>
          <w:p w:rsidR="00366549" w:rsidRPr="00E82440" w:rsidRDefault="00366549" w:rsidP="00E82440">
            <w:pPr>
              <w:pStyle w:val="ListParagraph"/>
              <w:numPr>
                <w:ilvl w:val="0"/>
                <w:numId w:val="3"/>
              </w:numPr>
              <w:spacing w:after="0" w:line="240" w:lineRule="auto"/>
              <w:rPr>
                <w:sz w:val="20"/>
                <w:szCs w:val="20"/>
              </w:rPr>
            </w:pPr>
            <w:r w:rsidRPr="00E82440">
              <w:rPr>
                <w:sz w:val="20"/>
                <w:szCs w:val="20"/>
              </w:rPr>
              <w:t>Having an MOU between ICANN and the CWG, with an amendment to the ICANN bylaws requiring that it respect the agreement and requiring a ‘supermajority’ of Board members to change it.</w:t>
            </w:r>
          </w:p>
          <w:p w:rsidR="00366549" w:rsidRPr="00E82440" w:rsidRDefault="00366549" w:rsidP="00E82440">
            <w:pPr>
              <w:pStyle w:val="ListParagraph"/>
              <w:numPr>
                <w:ilvl w:val="0"/>
                <w:numId w:val="4"/>
              </w:numPr>
              <w:spacing w:after="0" w:line="240" w:lineRule="auto"/>
              <w:rPr>
                <w:sz w:val="20"/>
                <w:szCs w:val="20"/>
              </w:rPr>
            </w:pPr>
            <w:r w:rsidRPr="00E82440">
              <w:rPr>
                <w:sz w:val="20"/>
                <w:szCs w:val="20"/>
              </w:rPr>
              <w:t xml:space="preserve">Can this approach be advanced without greater certainty as to the nature of the outcome of the accountability review? </w:t>
            </w:r>
          </w:p>
          <w:p w:rsidR="00366549" w:rsidRPr="00E82440" w:rsidRDefault="00366549" w:rsidP="00E82440">
            <w:pPr>
              <w:pStyle w:val="ListParagraph"/>
              <w:numPr>
                <w:ilvl w:val="0"/>
                <w:numId w:val="4"/>
              </w:numPr>
              <w:spacing w:after="0" w:line="240" w:lineRule="auto"/>
              <w:rPr>
                <w:sz w:val="20"/>
                <w:szCs w:val="20"/>
              </w:rPr>
            </w:pPr>
            <w:r w:rsidRPr="00E82440">
              <w:rPr>
                <w:sz w:val="20"/>
                <w:szCs w:val="20"/>
              </w:rPr>
              <w:t>Does the GAC see a role for itself on the Operational Performance Review Committee insofar as it deals with compliance with performance measures in the SLA?</w:t>
            </w:r>
          </w:p>
          <w:p w:rsidR="00E82440" w:rsidRDefault="00366549" w:rsidP="00E82440">
            <w:pPr>
              <w:pStyle w:val="ListParagraph"/>
              <w:numPr>
                <w:ilvl w:val="0"/>
                <w:numId w:val="4"/>
              </w:numPr>
              <w:spacing w:after="0" w:line="240" w:lineRule="auto"/>
              <w:rPr>
                <w:sz w:val="20"/>
                <w:szCs w:val="20"/>
              </w:rPr>
            </w:pPr>
            <w:r w:rsidRPr="00E82440">
              <w:rPr>
                <w:sz w:val="20"/>
                <w:szCs w:val="20"/>
              </w:rPr>
              <w:t>Do the measures proposed go far enough in encouraging improved transparency in decision-making?</w:t>
            </w:r>
          </w:p>
          <w:p w:rsidR="00366549" w:rsidRDefault="00366549" w:rsidP="00E82440">
            <w:pPr>
              <w:pStyle w:val="ListParagraph"/>
              <w:numPr>
                <w:ilvl w:val="0"/>
                <w:numId w:val="4"/>
              </w:numPr>
              <w:spacing w:after="0" w:line="240" w:lineRule="auto"/>
              <w:rPr>
                <w:sz w:val="20"/>
                <w:szCs w:val="20"/>
              </w:rPr>
            </w:pPr>
            <w:r w:rsidRPr="00E82440">
              <w:rPr>
                <w:sz w:val="20"/>
                <w:szCs w:val="20"/>
              </w:rPr>
              <w:t>Who would pay for the cost of the appeal process – if the appellant is required to pay, this could make the mechanism inaccessible to some users; if these costs are paid by ICANN, it could encourage frivolous appeals and increase overall costs.</w:t>
            </w:r>
          </w:p>
          <w:p w:rsidR="00E82440" w:rsidRPr="00E82440" w:rsidRDefault="00E82440" w:rsidP="00E82440">
            <w:pPr>
              <w:pStyle w:val="ListParagraph"/>
              <w:spacing w:after="0" w:line="240" w:lineRule="auto"/>
              <w:rPr>
                <w:sz w:val="20"/>
                <w:szCs w:val="20"/>
              </w:rPr>
            </w:pPr>
          </w:p>
        </w:tc>
        <w:tc>
          <w:tcPr>
            <w:tcW w:w="3917" w:type="dxa"/>
          </w:tcPr>
          <w:p w:rsidR="00E82440" w:rsidRPr="00E82440" w:rsidRDefault="00E82440" w:rsidP="00E82440">
            <w:pPr>
              <w:pStyle w:val="ListParagraph"/>
              <w:numPr>
                <w:ilvl w:val="0"/>
                <w:numId w:val="5"/>
              </w:numPr>
              <w:spacing w:after="0" w:line="240" w:lineRule="auto"/>
              <w:rPr>
                <w:sz w:val="20"/>
                <w:szCs w:val="20"/>
              </w:rPr>
            </w:pPr>
            <w:r w:rsidRPr="00E82440">
              <w:rPr>
                <w:sz w:val="20"/>
                <w:szCs w:val="20"/>
              </w:rPr>
              <w:t xml:space="preserve">Does California law allow for </w:t>
            </w:r>
            <w:r w:rsidR="007C6E2F" w:rsidRPr="00E82440">
              <w:rPr>
                <w:sz w:val="20"/>
                <w:szCs w:val="20"/>
              </w:rPr>
              <w:t>non-profit</w:t>
            </w:r>
            <w:r w:rsidRPr="00E82440">
              <w:rPr>
                <w:sz w:val="20"/>
                <w:szCs w:val="20"/>
              </w:rPr>
              <w:t xml:space="preserve"> companies to have subsidiaries?</w:t>
            </w:r>
          </w:p>
          <w:p w:rsidR="00E82440" w:rsidRPr="00E82440" w:rsidRDefault="00E82440" w:rsidP="00E82440">
            <w:pPr>
              <w:pStyle w:val="ListParagraph"/>
              <w:numPr>
                <w:ilvl w:val="0"/>
                <w:numId w:val="5"/>
              </w:numPr>
              <w:spacing w:after="0" w:line="240" w:lineRule="auto"/>
              <w:rPr>
                <w:sz w:val="20"/>
                <w:szCs w:val="20"/>
              </w:rPr>
            </w:pPr>
            <w:r w:rsidRPr="00E82440">
              <w:rPr>
                <w:sz w:val="20"/>
                <w:szCs w:val="20"/>
              </w:rPr>
              <w:t>How can ICANN become bound to such an approach?</w:t>
            </w:r>
          </w:p>
          <w:p w:rsidR="00E82440" w:rsidRPr="00E82440" w:rsidRDefault="00E82440" w:rsidP="00E82440">
            <w:pPr>
              <w:pStyle w:val="ListParagraph"/>
              <w:numPr>
                <w:ilvl w:val="0"/>
                <w:numId w:val="3"/>
              </w:numPr>
              <w:spacing w:after="0" w:line="240" w:lineRule="auto"/>
              <w:rPr>
                <w:sz w:val="20"/>
                <w:szCs w:val="20"/>
              </w:rPr>
            </w:pPr>
            <w:r w:rsidRPr="00E82440">
              <w:rPr>
                <w:sz w:val="20"/>
                <w:szCs w:val="20"/>
              </w:rPr>
              <w:t>Through a link to outcomes of the accountability review?</w:t>
            </w:r>
          </w:p>
          <w:p w:rsidR="00E82440" w:rsidRPr="00E82440" w:rsidRDefault="00E82440" w:rsidP="00E82440">
            <w:pPr>
              <w:pStyle w:val="ListParagraph"/>
              <w:numPr>
                <w:ilvl w:val="0"/>
                <w:numId w:val="3"/>
              </w:numPr>
              <w:spacing w:after="0" w:line="240" w:lineRule="auto"/>
              <w:rPr>
                <w:sz w:val="20"/>
                <w:szCs w:val="20"/>
              </w:rPr>
            </w:pPr>
            <w:r w:rsidRPr="00E82440">
              <w:rPr>
                <w:sz w:val="20"/>
                <w:szCs w:val="20"/>
              </w:rPr>
              <w:t>Having an MOU between ICANN and the CWG, with an amendment to the ICANN bylaws requiring that it respect the agreement and requiring a ‘supermajority’ of Board members to change it.</w:t>
            </w:r>
          </w:p>
          <w:p w:rsidR="00E82440" w:rsidRPr="00E82440" w:rsidRDefault="00E82440" w:rsidP="00E82440">
            <w:pPr>
              <w:pStyle w:val="ListParagraph"/>
              <w:numPr>
                <w:ilvl w:val="0"/>
                <w:numId w:val="5"/>
              </w:numPr>
              <w:spacing w:after="0" w:line="240" w:lineRule="auto"/>
              <w:rPr>
                <w:sz w:val="20"/>
                <w:szCs w:val="20"/>
              </w:rPr>
            </w:pPr>
            <w:r w:rsidRPr="00E82440">
              <w:rPr>
                <w:sz w:val="20"/>
                <w:szCs w:val="20"/>
              </w:rPr>
              <w:t xml:space="preserve">Can this approach be advanced without greater certainty as to the nature of the outcome of the accountability review? </w:t>
            </w:r>
          </w:p>
          <w:p w:rsidR="00E82440" w:rsidRPr="00E82440" w:rsidRDefault="00E82440" w:rsidP="00E82440">
            <w:pPr>
              <w:pStyle w:val="ListParagraph"/>
              <w:numPr>
                <w:ilvl w:val="0"/>
                <w:numId w:val="5"/>
              </w:numPr>
              <w:spacing w:after="0" w:line="240" w:lineRule="auto"/>
              <w:rPr>
                <w:sz w:val="20"/>
                <w:szCs w:val="20"/>
              </w:rPr>
            </w:pPr>
            <w:r w:rsidRPr="00E82440">
              <w:rPr>
                <w:sz w:val="20"/>
                <w:szCs w:val="20"/>
              </w:rPr>
              <w:t>Does the GAC see a role for itself on the Board of IANA Inc.?</w:t>
            </w:r>
          </w:p>
          <w:p w:rsidR="00E82440" w:rsidRPr="00E82440" w:rsidRDefault="00E82440" w:rsidP="00E82440">
            <w:pPr>
              <w:pStyle w:val="ListParagraph"/>
              <w:numPr>
                <w:ilvl w:val="0"/>
                <w:numId w:val="5"/>
              </w:numPr>
              <w:spacing w:after="0" w:line="240" w:lineRule="auto"/>
              <w:rPr>
                <w:sz w:val="20"/>
                <w:szCs w:val="20"/>
              </w:rPr>
            </w:pPr>
            <w:r w:rsidRPr="00E82440">
              <w:rPr>
                <w:sz w:val="20"/>
                <w:szCs w:val="20"/>
              </w:rPr>
              <w:t>Do the measures proposed go far enough in encouraging improved transparency in decision-making?</w:t>
            </w:r>
          </w:p>
          <w:p w:rsidR="00366549" w:rsidRPr="00E82440" w:rsidRDefault="00E82440" w:rsidP="00E82440">
            <w:pPr>
              <w:pStyle w:val="ListParagraph"/>
              <w:numPr>
                <w:ilvl w:val="0"/>
                <w:numId w:val="5"/>
              </w:numPr>
              <w:spacing w:after="0" w:line="240" w:lineRule="auto"/>
              <w:rPr>
                <w:sz w:val="20"/>
                <w:szCs w:val="20"/>
              </w:rPr>
            </w:pPr>
            <w:r w:rsidRPr="00E82440">
              <w:rPr>
                <w:sz w:val="20"/>
                <w:szCs w:val="20"/>
              </w:rPr>
              <w:t>Who would pay for the cost of the appeal process – if the appellant is required to pay, this could make the mechanism inaccessible to some users; if these costs are paid by ICANN, it could encourage frivolous appeals and increase overall costs.</w:t>
            </w:r>
          </w:p>
        </w:tc>
        <w:tc>
          <w:tcPr>
            <w:tcW w:w="3917" w:type="dxa"/>
          </w:tcPr>
          <w:p w:rsidR="00D51F9A" w:rsidRPr="00E82440" w:rsidRDefault="00D51F9A" w:rsidP="00E82440">
            <w:pPr>
              <w:pStyle w:val="ListParagraph"/>
              <w:numPr>
                <w:ilvl w:val="0"/>
                <w:numId w:val="6"/>
              </w:numPr>
              <w:spacing w:after="0" w:line="240" w:lineRule="auto"/>
              <w:rPr>
                <w:sz w:val="20"/>
                <w:szCs w:val="20"/>
              </w:rPr>
            </w:pPr>
            <w:r w:rsidRPr="00E82440">
              <w:rPr>
                <w:sz w:val="20"/>
                <w:szCs w:val="20"/>
              </w:rPr>
              <w:t>Does the GAC see a role for itself on the board of IANA Inc.?  If so, would they be in a position to be a full director or would they seek only non-voting status?</w:t>
            </w:r>
          </w:p>
          <w:p w:rsidR="00D51F9A" w:rsidRPr="00E82440" w:rsidRDefault="00D51F9A" w:rsidP="00E82440">
            <w:pPr>
              <w:pStyle w:val="ListParagraph"/>
              <w:numPr>
                <w:ilvl w:val="0"/>
                <w:numId w:val="6"/>
              </w:numPr>
              <w:spacing w:after="0" w:line="240" w:lineRule="auto"/>
              <w:rPr>
                <w:sz w:val="20"/>
                <w:szCs w:val="20"/>
              </w:rPr>
            </w:pPr>
            <w:r w:rsidRPr="00E82440">
              <w:rPr>
                <w:sz w:val="20"/>
                <w:szCs w:val="20"/>
              </w:rPr>
              <w:t>Is the increased separation of policy from operational roles and transparency in decision-making merited by the cost and complexity of creating a whole new entity?</w:t>
            </w:r>
          </w:p>
          <w:p w:rsidR="00D51F9A" w:rsidRPr="00E82440" w:rsidRDefault="00D51F9A" w:rsidP="00E82440">
            <w:pPr>
              <w:pStyle w:val="ListParagraph"/>
              <w:numPr>
                <w:ilvl w:val="0"/>
                <w:numId w:val="6"/>
              </w:numPr>
              <w:spacing w:after="0" w:line="240" w:lineRule="auto"/>
              <w:rPr>
                <w:sz w:val="20"/>
                <w:szCs w:val="20"/>
              </w:rPr>
            </w:pPr>
            <w:r w:rsidRPr="00E82440">
              <w:rPr>
                <w:sz w:val="20"/>
                <w:szCs w:val="20"/>
              </w:rPr>
              <w:t>Do the measures proposed go far enough in encouraging improved transparency in decision-making?</w:t>
            </w:r>
          </w:p>
          <w:p w:rsidR="00D51F9A" w:rsidRPr="00E82440" w:rsidRDefault="00D51F9A" w:rsidP="00E82440">
            <w:pPr>
              <w:pStyle w:val="ListParagraph"/>
              <w:numPr>
                <w:ilvl w:val="0"/>
                <w:numId w:val="6"/>
              </w:numPr>
              <w:spacing w:after="0" w:line="240" w:lineRule="auto"/>
              <w:rPr>
                <w:sz w:val="20"/>
                <w:szCs w:val="20"/>
              </w:rPr>
            </w:pPr>
            <w:r w:rsidRPr="00E82440">
              <w:rPr>
                <w:sz w:val="20"/>
                <w:szCs w:val="20"/>
              </w:rPr>
              <w:t>Can the governance IANA Inc. be easily worked out e.g. apportionment of board seats to various registries?</w:t>
            </w:r>
          </w:p>
          <w:p w:rsidR="00D51F9A" w:rsidRPr="00E82440" w:rsidRDefault="00D51F9A" w:rsidP="00E82440">
            <w:pPr>
              <w:rPr>
                <w:sz w:val="20"/>
                <w:szCs w:val="20"/>
              </w:rPr>
            </w:pPr>
          </w:p>
          <w:p w:rsidR="00366549" w:rsidRPr="00E82440" w:rsidRDefault="00366549" w:rsidP="00E82440">
            <w:pPr>
              <w:rPr>
                <w:sz w:val="20"/>
                <w:szCs w:val="20"/>
              </w:rPr>
            </w:pPr>
          </w:p>
        </w:tc>
      </w:tr>
    </w:tbl>
    <w:p w:rsidR="00903EB2" w:rsidRPr="00E82440" w:rsidRDefault="00903EB2" w:rsidP="00E82440">
      <w:pPr>
        <w:spacing w:after="0" w:line="240" w:lineRule="auto"/>
        <w:rPr>
          <w:sz w:val="20"/>
          <w:szCs w:val="20"/>
        </w:rPr>
      </w:pPr>
      <w:bookmarkStart w:id="0" w:name="_GoBack"/>
      <w:bookmarkEnd w:id="0"/>
    </w:p>
    <w:sectPr w:rsidR="00903EB2" w:rsidRPr="00E82440" w:rsidSect="0036654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A4" w:rsidRDefault="004B05A4" w:rsidP="00266E28">
      <w:pPr>
        <w:spacing w:after="0" w:line="240" w:lineRule="auto"/>
      </w:pPr>
      <w:r>
        <w:separator/>
      </w:r>
    </w:p>
  </w:endnote>
  <w:endnote w:type="continuationSeparator" w:id="0">
    <w:p w:rsidR="004B05A4" w:rsidRDefault="004B05A4" w:rsidP="0026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A4" w:rsidRDefault="004B05A4" w:rsidP="00266E28">
      <w:pPr>
        <w:spacing w:after="0" w:line="240" w:lineRule="auto"/>
      </w:pPr>
      <w:r>
        <w:separator/>
      </w:r>
    </w:p>
  </w:footnote>
  <w:footnote w:type="continuationSeparator" w:id="0">
    <w:p w:rsidR="004B05A4" w:rsidRDefault="004B05A4" w:rsidP="0026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28" w:rsidRPr="00266E28" w:rsidRDefault="00266E28" w:rsidP="00266E28">
    <w:pPr>
      <w:pStyle w:val="Header"/>
      <w:jc w:val="right"/>
      <w:rPr>
        <w:b/>
      </w:rPr>
    </w:pPr>
    <w:r>
      <w:rPr>
        <w:b/>
      </w:rPr>
      <w:t>DRAFT FOR DISCUSSION PURPOSES ONLY</w:t>
    </w:r>
  </w:p>
  <w:p w:rsidR="00266E28" w:rsidRDefault="0026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298"/>
    <w:multiLevelType w:val="hybridMultilevel"/>
    <w:tmpl w:val="D1B6CA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815DD7"/>
    <w:multiLevelType w:val="hybridMultilevel"/>
    <w:tmpl w:val="B0DEE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60E6E"/>
    <w:multiLevelType w:val="hybridMultilevel"/>
    <w:tmpl w:val="D1B6CA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294631"/>
    <w:multiLevelType w:val="hybridMultilevel"/>
    <w:tmpl w:val="19E236E6"/>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C6110"/>
    <w:multiLevelType w:val="hybridMultilevel"/>
    <w:tmpl w:val="BE44F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F92DA0"/>
    <w:multiLevelType w:val="hybridMultilevel"/>
    <w:tmpl w:val="705E322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9"/>
    <w:rsid w:val="00266E28"/>
    <w:rsid w:val="00320379"/>
    <w:rsid w:val="00366549"/>
    <w:rsid w:val="004B05A4"/>
    <w:rsid w:val="007C6E2F"/>
    <w:rsid w:val="00903EB2"/>
    <w:rsid w:val="00D51F9A"/>
    <w:rsid w:val="00D667E5"/>
    <w:rsid w:val="00E8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964F-9D2D-4CC1-9103-F6AEE8A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549"/>
    <w:pPr>
      <w:spacing w:after="200" w:line="276" w:lineRule="auto"/>
      <w:ind w:left="720"/>
      <w:contextualSpacing/>
    </w:pPr>
    <w:rPr>
      <w:lang w:val="en-CA"/>
    </w:rPr>
  </w:style>
  <w:style w:type="paragraph" w:styleId="Header">
    <w:name w:val="header"/>
    <w:basedOn w:val="Normal"/>
    <w:link w:val="HeaderChar"/>
    <w:uiPriority w:val="99"/>
    <w:unhideWhenUsed/>
    <w:rsid w:val="0026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E28"/>
  </w:style>
  <w:style w:type="paragraph" w:styleId="Footer">
    <w:name w:val="footer"/>
    <w:basedOn w:val="Normal"/>
    <w:link w:val="FooterChar"/>
    <w:uiPriority w:val="99"/>
    <w:unhideWhenUsed/>
    <w:rsid w:val="0026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Shatan</dc:creator>
  <cp:keywords/>
  <dc:description/>
  <cp:lastModifiedBy>Greg Shatan</cp:lastModifiedBy>
  <cp:revision>6</cp:revision>
  <dcterms:created xsi:type="dcterms:W3CDTF">2014-11-03T07:11:00Z</dcterms:created>
  <dcterms:modified xsi:type="dcterms:W3CDTF">2014-11-03T07:37:00Z</dcterms:modified>
</cp:coreProperties>
</file>