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1D01" w14:textId="77777777" w:rsidR="007B38F0" w:rsidRPr="00566BE3" w:rsidRDefault="00BC1E6A">
      <w:pPr>
        <w:rPr>
          <w:b/>
        </w:rPr>
      </w:pPr>
      <w:r w:rsidRPr="00566BE3">
        <w:rPr>
          <w:b/>
        </w:rPr>
        <w:t xml:space="preserve">IANA CWG Poll Questions for the </w:t>
      </w:r>
      <w:r w:rsidR="00064AFF" w:rsidRPr="00566BE3">
        <w:rPr>
          <w:b/>
        </w:rPr>
        <w:t xml:space="preserve">CSC &amp; </w:t>
      </w:r>
      <w:r w:rsidRPr="00566BE3">
        <w:rPr>
          <w:b/>
        </w:rPr>
        <w:t>MRT</w:t>
      </w:r>
      <w:r w:rsidR="00900D39" w:rsidRPr="00566BE3">
        <w:rPr>
          <w:b/>
        </w:rPr>
        <w:t xml:space="preserve"> -</w:t>
      </w:r>
      <w:r w:rsidR="00064AFF" w:rsidRPr="00566BE3">
        <w:rPr>
          <w:b/>
        </w:rPr>
        <w:t xml:space="preserve"> 30</w:t>
      </w:r>
      <w:r w:rsidRPr="00566BE3">
        <w:rPr>
          <w:b/>
        </w:rPr>
        <w:t xml:space="preserve"> Dec 14</w:t>
      </w:r>
    </w:p>
    <w:p w14:paraId="3D208491" w14:textId="77777777" w:rsidR="00A03425" w:rsidRPr="00566BE3" w:rsidRDefault="00D55DAE" w:rsidP="00A03425">
      <w:r w:rsidRPr="00566BE3">
        <w:rPr>
          <w:u w:val="single"/>
        </w:rPr>
        <w:t>Statements regarding the CSC</w:t>
      </w:r>
    </w:p>
    <w:p w14:paraId="238A9541" w14:textId="77777777" w:rsidR="003E7290" w:rsidRPr="00566BE3" w:rsidRDefault="003E7290" w:rsidP="00593F23">
      <w:pPr>
        <w:pStyle w:val="Listenabsatz"/>
        <w:numPr>
          <w:ilvl w:val="0"/>
          <w:numId w:val="3"/>
        </w:numPr>
        <w:spacing w:before="240"/>
      </w:pPr>
      <w:r w:rsidRPr="00566BE3">
        <w:t>The CSC could perform the functions of the MRT.</w:t>
      </w:r>
    </w:p>
    <w:p w14:paraId="168CABA4" w14:textId="77777777" w:rsidR="003E7290" w:rsidRPr="00566BE3" w:rsidRDefault="00450154" w:rsidP="00593F23">
      <w:pPr>
        <w:pStyle w:val="Listenabsatz"/>
        <w:numPr>
          <w:ilvl w:val="0"/>
          <w:numId w:val="3"/>
        </w:numPr>
        <w:spacing w:before="240"/>
      </w:pPr>
      <w:r w:rsidRPr="00566BE3">
        <w:t>There should be a substantial multi-stakeholder component of the CSC.</w:t>
      </w:r>
    </w:p>
    <w:p w14:paraId="2DA181EE" w14:textId="77777777" w:rsidR="00450154" w:rsidRPr="00566BE3" w:rsidRDefault="008A19DD" w:rsidP="00593F23">
      <w:pPr>
        <w:pStyle w:val="Listenabsatz"/>
        <w:numPr>
          <w:ilvl w:val="0"/>
          <w:numId w:val="3"/>
        </w:numPr>
        <w:spacing w:before="240"/>
      </w:pPr>
      <w:r w:rsidRPr="00566BE3">
        <w:t xml:space="preserve">The CSC membership should be restricted to </w:t>
      </w:r>
      <w:proofErr w:type="spellStart"/>
      <w:r w:rsidRPr="00566BE3">
        <w:t>ccTLD</w:t>
      </w:r>
      <w:proofErr w:type="spellEnd"/>
      <w:r w:rsidRPr="00566BE3">
        <w:t xml:space="preserve"> and </w:t>
      </w:r>
      <w:proofErr w:type="spellStart"/>
      <w:r w:rsidRPr="00566BE3">
        <w:t>gTLD</w:t>
      </w:r>
      <w:proofErr w:type="spellEnd"/>
      <w:r w:rsidRPr="00566BE3">
        <w:t xml:space="preserve"> registry operators?</w:t>
      </w:r>
    </w:p>
    <w:p w14:paraId="280248A6" w14:textId="77777777" w:rsidR="00566BE3" w:rsidRPr="00566BE3" w:rsidRDefault="008A19DD" w:rsidP="00593F23">
      <w:pPr>
        <w:pStyle w:val="Listenabsatz"/>
        <w:numPr>
          <w:ilvl w:val="0"/>
          <w:numId w:val="3"/>
        </w:numPr>
        <w:spacing w:before="240"/>
      </w:pPr>
      <w:r w:rsidRPr="00566BE3">
        <w:t xml:space="preserve">The CSC membership should primarily involve </w:t>
      </w:r>
      <w:proofErr w:type="spellStart"/>
      <w:r w:rsidRPr="00566BE3">
        <w:t>ccTLD</w:t>
      </w:r>
      <w:proofErr w:type="spellEnd"/>
      <w:r w:rsidRPr="00566BE3">
        <w:t xml:space="preserve"> and </w:t>
      </w:r>
      <w:proofErr w:type="spellStart"/>
      <w:r w:rsidRPr="00566BE3">
        <w:t>gTLD</w:t>
      </w:r>
      <w:proofErr w:type="spellEnd"/>
      <w:r w:rsidRPr="00566BE3">
        <w:t xml:space="preserve"> registry operators with liaisons from other impacted parties.</w:t>
      </w:r>
    </w:p>
    <w:p w14:paraId="7AA9E330" w14:textId="77777777" w:rsidR="00566BE3" w:rsidRPr="00AE7DBC" w:rsidRDefault="00566BE3" w:rsidP="00593F23">
      <w:pPr>
        <w:pStyle w:val="Listenabsatz"/>
        <w:numPr>
          <w:ilvl w:val="0"/>
          <w:numId w:val="3"/>
        </w:numPr>
        <w:spacing w:before="240"/>
      </w:pPr>
      <w:r w:rsidRPr="00566BE3">
        <w:rPr>
          <w:rFonts w:cs="TimesNewRomanPSMT"/>
        </w:rPr>
        <w:t>In case the CSC is only tasked with monitoring IANA performance, the composition of CSC may be dominated by the registries.</w:t>
      </w:r>
    </w:p>
    <w:p w14:paraId="627DB54D" w14:textId="77777777" w:rsidR="00AE7DBC" w:rsidRPr="00566BE3" w:rsidRDefault="00AE7DBC" w:rsidP="00593F23">
      <w:pPr>
        <w:pStyle w:val="Listenabsatz"/>
        <w:numPr>
          <w:ilvl w:val="0"/>
          <w:numId w:val="3"/>
        </w:numPr>
        <w:spacing w:before="240"/>
      </w:pPr>
      <w:r>
        <w:t>The CSC should include additional individuals outside the naming community who have relevant technical expertise.</w:t>
      </w:r>
    </w:p>
    <w:p w14:paraId="0BA13766" w14:textId="77777777" w:rsidR="00566BE3" w:rsidRPr="00763675" w:rsidRDefault="00566BE3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66BE3">
        <w:rPr>
          <w:rFonts w:asciiTheme="minorHAnsi" w:hAnsiTheme="minorHAnsi" w:cs="TimesNewRomanPSMT"/>
          <w:sz w:val="22"/>
          <w:szCs w:val="22"/>
        </w:rPr>
        <w:t>The CSC members should preferably be drawn from the MRT so that there is coordination between CSC and MRT on matters that are escalated.</w:t>
      </w:r>
    </w:p>
    <w:p w14:paraId="42D6F129" w14:textId="77777777" w:rsidR="00763675" w:rsidRPr="00763675" w:rsidRDefault="00763675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763675">
        <w:rPr>
          <w:rFonts w:asciiTheme="minorHAnsi" w:hAnsiTheme="minorHAnsi" w:cs="TimesNewRomanPSMT"/>
          <w:sz w:val="22"/>
          <w:szCs w:val="22"/>
        </w:rPr>
        <w:t>The CSC should have a continuous existence with 1/3 members retiring on a rotation basis.</w:t>
      </w:r>
    </w:p>
    <w:p w14:paraId="4AEE9912" w14:textId="77777777" w:rsidR="008A19DD" w:rsidRPr="00AF1B7A" w:rsidRDefault="0062794A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66BE3">
        <w:rPr>
          <w:rFonts w:asciiTheme="minorHAnsi" w:eastAsia="Times New Roman" w:hAnsiTheme="minorHAnsi" w:cs="Courier New"/>
          <w:sz w:val="22"/>
          <w:szCs w:val="22"/>
        </w:rPr>
        <w:t>The actual users of the IANA naming functions should address issues directly with the IANA functions operator rather than require it to go through the MRT.</w:t>
      </w:r>
    </w:p>
    <w:p w14:paraId="3E7325F3" w14:textId="77777777" w:rsidR="00AF1B7A" w:rsidRPr="0019726B" w:rsidRDefault="00AF1B7A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19726B">
        <w:rPr>
          <w:rFonts w:asciiTheme="minorHAnsi" w:hAnsiTheme="minorHAnsi"/>
          <w:sz w:val="22"/>
          <w:szCs w:val="22"/>
        </w:rPr>
        <w:t xml:space="preserve">The role of the CSC should be focused on </w:t>
      </w:r>
      <w:r w:rsidR="0019726B" w:rsidRPr="0019726B">
        <w:rPr>
          <w:rFonts w:asciiTheme="minorHAnsi" w:hAnsiTheme="minorHAnsi"/>
          <w:sz w:val="22"/>
          <w:szCs w:val="22"/>
        </w:rPr>
        <w:t>service level commitments, performance indicators and quality assurance</w:t>
      </w:r>
      <w:r w:rsidRPr="0019726B">
        <w:rPr>
          <w:rFonts w:asciiTheme="minorHAnsi" w:hAnsiTheme="minorHAnsi"/>
          <w:sz w:val="22"/>
          <w:szCs w:val="22"/>
        </w:rPr>
        <w:t>.</w:t>
      </w:r>
    </w:p>
    <w:p w14:paraId="6283B005" w14:textId="77777777" w:rsidR="0062794A" w:rsidRPr="00566BE3" w:rsidRDefault="0062794A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66BE3">
        <w:rPr>
          <w:rFonts w:asciiTheme="minorHAnsi" w:eastAsia="Times New Roman" w:hAnsiTheme="minorHAnsi" w:cs="Courier New"/>
          <w:sz w:val="22"/>
          <w:szCs w:val="22"/>
        </w:rPr>
        <w:t>The CSC may go directly to the IAP if there is an issue that cannot be resolved.</w:t>
      </w:r>
    </w:p>
    <w:p w14:paraId="71049A5D" w14:textId="77777777" w:rsidR="0062794A" w:rsidRPr="00566BE3" w:rsidRDefault="0062794A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66BE3">
        <w:rPr>
          <w:rFonts w:asciiTheme="minorHAnsi" w:eastAsia="Times New Roman" w:hAnsiTheme="minorHAnsi" w:cs="Courier New"/>
          <w:sz w:val="22"/>
          <w:szCs w:val="22"/>
        </w:rPr>
        <w:t>The CSC may decide whether it is needed to create an instance of the MRT to address a specific topic or issue.</w:t>
      </w:r>
    </w:p>
    <w:p w14:paraId="58A2C6DD" w14:textId="77777777" w:rsidR="0062794A" w:rsidRPr="00566BE3" w:rsidRDefault="0062794A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66BE3">
        <w:rPr>
          <w:rFonts w:asciiTheme="minorHAnsi" w:eastAsia="Times New Roman" w:hAnsiTheme="minorHAnsi" w:cs="Courier New"/>
          <w:sz w:val="22"/>
          <w:szCs w:val="22"/>
        </w:rPr>
        <w:t>The CSC may develop IANA service levels without going through the MRT.</w:t>
      </w:r>
    </w:p>
    <w:p w14:paraId="77B3E778" w14:textId="77777777" w:rsidR="0062794A" w:rsidRPr="00566BE3" w:rsidRDefault="007B57D4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66BE3">
        <w:rPr>
          <w:rFonts w:asciiTheme="minorHAnsi" w:hAnsiTheme="minorHAnsi"/>
          <w:sz w:val="22"/>
          <w:szCs w:val="22"/>
        </w:rPr>
        <w:t>The CSC could be a subgroup of the MRT.</w:t>
      </w:r>
    </w:p>
    <w:p w14:paraId="4BC3E8F8" w14:textId="77777777" w:rsidR="007B57D4" w:rsidRPr="00566BE3" w:rsidRDefault="007B57D4" w:rsidP="00593F23">
      <w:pPr>
        <w:pStyle w:val="HTMLVorformatier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66BE3">
        <w:rPr>
          <w:rFonts w:asciiTheme="minorHAnsi" w:hAnsiTheme="minorHAnsi" w:cs="TimesNewRomanPSMT"/>
          <w:sz w:val="22"/>
          <w:szCs w:val="22"/>
        </w:rPr>
        <w:t>The CSC should be tasked with the job of escalating issues related to policy deviation.</w:t>
      </w:r>
    </w:p>
    <w:p w14:paraId="157FBEB8" w14:textId="77777777" w:rsidR="003F6BAA" w:rsidRDefault="003F6BAA" w:rsidP="001D0CB4">
      <w:pPr>
        <w:pStyle w:val="Listenabsatz"/>
        <w:spacing w:before="240"/>
        <w:rPr>
          <w:i/>
        </w:rPr>
      </w:pPr>
      <w:r>
        <w:rPr>
          <w:i/>
        </w:rPr>
        <w:t>DENIC:</w:t>
      </w:r>
    </w:p>
    <w:p w14:paraId="35CD4E08" w14:textId="6B2F9A52" w:rsidR="001D0CB4" w:rsidRPr="001D0CB4" w:rsidRDefault="001D0CB4" w:rsidP="001D0CB4">
      <w:pPr>
        <w:pStyle w:val="Listenabsatz"/>
        <w:spacing w:before="240"/>
        <w:rPr>
          <w:i/>
        </w:rPr>
      </w:pPr>
      <w:r w:rsidRPr="001D0CB4">
        <w:rPr>
          <w:i/>
        </w:rPr>
        <w:t xml:space="preserve">The CSC </w:t>
      </w:r>
      <w:r w:rsidR="003F6BAA">
        <w:rPr>
          <w:i/>
        </w:rPr>
        <w:t>is</w:t>
      </w:r>
      <w:r w:rsidRPr="001D0CB4">
        <w:rPr>
          <w:i/>
        </w:rPr>
        <w:t xml:space="preserve"> one of the roles </w:t>
      </w:r>
      <w:bookmarkStart w:id="0" w:name="_GoBack"/>
      <w:bookmarkEnd w:id="0"/>
      <w:r w:rsidRPr="001D0CB4">
        <w:rPr>
          <w:i/>
        </w:rPr>
        <w:t xml:space="preserve">needed. The CSC </w:t>
      </w:r>
      <w:r w:rsidRPr="001D0CB4">
        <w:rPr>
          <w:i/>
        </w:rPr>
        <w:t>should be focused on service level commitments, performance indicators and quality assurance</w:t>
      </w:r>
      <w:r w:rsidRPr="001D0CB4">
        <w:rPr>
          <w:i/>
        </w:rPr>
        <w:t xml:space="preserve"> (see 10.) </w:t>
      </w:r>
      <w:r w:rsidRPr="001D0CB4">
        <w:rPr>
          <w:i/>
        </w:rPr>
        <w:br/>
      </w:r>
      <w:r w:rsidRPr="001D0CB4">
        <w:rPr>
          <w:i/>
        </w:rPr>
        <w:t xml:space="preserve">The CSC membership should primarily involve </w:t>
      </w:r>
      <w:proofErr w:type="spellStart"/>
      <w:r w:rsidRPr="001D0CB4">
        <w:rPr>
          <w:i/>
        </w:rPr>
        <w:t>ccTLD</w:t>
      </w:r>
      <w:proofErr w:type="spellEnd"/>
      <w:r w:rsidRPr="001D0CB4">
        <w:rPr>
          <w:i/>
        </w:rPr>
        <w:t xml:space="preserve"> and </w:t>
      </w:r>
      <w:proofErr w:type="spellStart"/>
      <w:r w:rsidRPr="001D0CB4">
        <w:rPr>
          <w:i/>
        </w:rPr>
        <w:t>gTLD</w:t>
      </w:r>
      <w:proofErr w:type="spellEnd"/>
      <w:r w:rsidRPr="001D0CB4">
        <w:rPr>
          <w:i/>
        </w:rPr>
        <w:t xml:space="preserve"> registry operators with liaisons from other impacted parties</w:t>
      </w:r>
      <w:r w:rsidRPr="001D0CB4">
        <w:rPr>
          <w:i/>
        </w:rPr>
        <w:t xml:space="preserve"> (see 4.)</w:t>
      </w:r>
      <w:r w:rsidRPr="001D0CB4">
        <w:rPr>
          <w:i/>
        </w:rPr>
        <w:t>.</w:t>
      </w:r>
    </w:p>
    <w:p w14:paraId="20375DE1" w14:textId="77777777" w:rsidR="007B57D4" w:rsidRPr="001D0CB4" w:rsidRDefault="007B57D4" w:rsidP="001D0CB4">
      <w:pPr>
        <w:pStyle w:val="HTMLVorformatier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07193378" w14:textId="77777777" w:rsidR="00D55DAE" w:rsidRPr="00566BE3" w:rsidRDefault="00D55DAE" w:rsidP="00593F23">
      <w:pPr>
        <w:spacing w:before="240"/>
      </w:pPr>
    </w:p>
    <w:p w14:paraId="6CD834F1" w14:textId="77777777" w:rsidR="00D55DAE" w:rsidRPr="00566BE3" w:rsidRDefault="00D55DAE" w:rsidP="00593F23">
      <w:pPr>
        <w:spacing w:before="240"/>
        <w:rPr>
          <w:u w:val="single"/>
        </w:rPr>
      </w:pPr>
      <w:r w:rsidRPr="00566BE3">
        <w:rPr>
          <w:u w:val="single"/>
        </w:rPr>
        <w:lastRenderedPageBreak/>
        <w:t>Statements regarding the MRT</w:t>
      </w:r>
    </w:p>
    <w:p w14:paraId="3D740427" w14:textId="77777777" w:rsidR="00031638" w:rsidRPr="00566BE3" w:rsidRDefault="00F662B0" w:rsidP="00593F23">
      <w:pPr>
        <w:pStyle w:val="Listenabsatz"/>
        <w:numPr>
          <w:ilvl w:val="0"/>
          <w:numId w:val="8"/>
        </w:numPr>
        <w:spacing w:before="240"/>
      </w:pPr>
      <w:r w:rsidRPr="00566BE3">
        <w:t>The MRT should only</w:t>
      </w:r>
      <w:r w:rsidR="00A31469" w:rsidRPr="00566BE3">
        <w:t xml:space="preserve"> create a Contra</w:t>
      </w:r>
      <w:r w:rsidRPr="00566BE3">
        <w:t>ct Co. if and when it is needed.</w:t>
      </w:r>
    </w:p>
    <w:p w14:paraId="26D016B9" w14:textId="77777777" w:rsidR="00A31469" w:rsidRPr="00566BE3" w:rsidRDefault="00F662B0" w:rsidP="00593F23">
      <w:pPr>
        <w:pStyle w:val="Listenabsatz"/>
        <w:numPr>
          <w:ilvl w:val="0"/>
          <w:numId w:val="8"/>
        </w:numPr>
        <w:spacing w:before="240" w:after="240"/>
      </w:pPr>
      <w:r w:rsidRPr="00566BE3">
        <w:t>T</w:t>
      </w:r>
      <w:r w:rsidR="00A31469" w:rsidRPr="00566BE3">
        <w:t xml:space="preserve">he MRT </w:t>
      </w:r>
      <w:r w:rsidR="00590855" w:rsidRPr="00566BE3">
        <w:t>c</w:t>
      </w:r>
      <w:r w:rsidRPr="00566BE3">
        <w:t xml:space="preserve">ould </w:t>
      </w:r>
      <w:r w:rsidR="00A31469" w:rsidRPr="00566BE3">
        <w:t xml:space="preserve">be convened by ICANN in conjunction with </w:t>
      </w:r>
      <w:proofErr w:type="gramStart"/>
      <w:r w:rsidR="00A31469" w:rsidRPr="00566BE3">
        <w:t>the I</w:t>
      </w:r>
      <w:proofErr w:type="gramEnd"/>
      <w:r w:rsidR="00A31469" w:rsidRPr="00566BE3">
        <w:t>* organi</w:t>
      </w:r>
      <w:r w:rsidR="0050495E" w:rsidRPr="00566BE3">
        <w:t>z</w:t>
      </w:r>
      <w:r w:rsidRPr="00566BE3">
        <w:t>ations.</w:t>
      </w:r>
    </w:p>
    <w:p w14:paraId="180486C9" w14:textId="77777777" w:rsidR="00A31469" w:rsidRPr="00566BE3" w:rsidRDefault="00F662B0" w:rsidP="00593F23">
      <w:pPr>
        <w:pStyle w:val="Listenabsatz"/>
        <w:numPr>
          <w:ilvl w:val="0"/>
          <w:numId w:val="8"/>
        </w:numPr>
        <w:spacing w:before="240" w:after="240"/>
      </w:pPr>
      <w:r w:rsidRPr="00566BE3">
        <w:t>T</w:t>
      </w:r>
      <w:r w:rsidR="007B162A" w:rsidRPr="00566BE3">
        <w:t xml:space="preserve">he concept of the MRT </w:t>
      </w:r>
      <w:r w:rsidRPr="00566BE3">
        <w:t xml:space="preserve">could </w:t>
      </w:r>
      <w:r w:rsidR="007B162A" w:rsidRPr="00566BE3">
        <w:t>be replaced by a dual-pronged vehicle similar to that used by the addressing community (e.g., an IANA Support Organization &amp;</w:t>
      </w:r>
      <w:r w:rsidRPr="00566BE3">
        <w:t xml:space="preserve"> an IANA Resource Organization).</w:t>
      </w:r>
    </w:p>
    <w:p w14:paraId="00B37CC1" w14:textId="77777777" w:rsidR="00C92754" w:rsidRPr="00566BE3" w:rsidRDefault="003E7290" w:rsidP="00593F23">
      <w:pPr>
        <w:pStyle w:val="Listenabsatz"/>
        <w:numPr>
          <w:ilvl w:val="0"/>
          <w:numId w:val="8"/>
        </w:numPr>
        <w:spacing w:before="240" w:after="240"/>
      </w:pPr>
      <w:r w:rsidRPr="00566BE3">
        <w:t>If an MRT is convened under the auspices of ICANN, it needs a legal status (i.e./e.g., incorporation) of its own.</w:t>
      </w:r>
    </w:p>
    <w:p w14:paraId="00C5A047" w14:textId="77777777" w:rsidR="003E7290" w:rsidRPr="00566BE3" w:rsidRDefault="003E7290" w:rsidP="00593F23">
      <w:pPr>
        <w:pStyle w:val="Listenabsatz"/>
        <w:numPr>
          <w:ilvl w:val="0"/>
          <w:numId w:val="8"/>
        </w:numPr>
        <w:spacing w:before="240" w:after="240"/>
      </w:pPr>
      <w:r w:rsidRPr="00566BE3">
        <w:t>If an MRT is</w:t>
      </w:r>
      <w:r w:rsidRPr="00566BE3">
        <w:rPr>
          <w:b/>
          <w:bCs/>
        </w:rPr>
        <w:t xml:space="preserve"> NOT</w:t>
      </w:r>
      <w:r w:rsidRPr="00566BE3">
        <w:t> convened under the auspices of ICANN, it needs a legal status (i.e./e.g., incorporation) of its own.</w:t>
      </w:r>
    </w:p>
    <w:p w14:paraId="38A2850F" w14:textId="77777777" w:rsidR="003E7290" w:rsidRPr="00566BE3" w:rsidRDefault="00A061E6" w:rsidP="00593F23">
      <w:pPr>
        <w:pStyle w:val="Listenabsatz"/>
        <w:numPr>
          <w:ilvl w:val="0"/>
          <w:numId w:val="8"/>
        </w:numPr>
        <w:spacing w:before="240" w:after="240"/>
      </w:pPr>
      <w:r w:rsidRPr="00566BE3">
        <w:t>The MRT should not be a recreation of another ICANN.</w:t>
      </w:r>
    </w:p>
    <w:p w14:paraId="4DD75771" w14:textId="77777777" w:rsidR="00A061E6" w:rsidRPr="00566BE3" w:rsidRDefault="007B57D4" w:rsidP="00593F23">
      <w:pPr>
        <w:pStyle w:val="Listenabsatz"/>
        <w:numPr>
          <w:ilvl w:val="0"/>
          <w:numId w:val="8"/>
        </w:numPr>
        <w:spacing w:before="240" w:after="240"/>
      </w:pPr>
      <w:r w:rsidRPr="00566BE3">
        <w:rPr>
          <w:rFonts w:cs="TimesNewRomanPSMT"/>
        </w:rPr>
        <w:t>Adequate care should be taken to restrict the growth dynamics of the MRT.</w:t>
      </w:r>
    </w:p>
    <w:p w14:paraId="29FA02F3" w14:textId="77777777" w:rsidR="00B40700" w:rsidRDefault="00B40700" w:rsidP="00B40700">
      <w:pPr>
        <w:pStyle w:val="Listenabsatz"/>
        <w:spacing w:before="240" w:after="240"/>
      </w:pPr>
    </w:p>
    <w:p w14:paraId="67712349" w14:textId="77777777" w:rsidR="003F6BAA" w:rsidRDefault="003F6BAA" w:rsidP="00B40700">
      <w:pPr>
        <w:pStyle w:val="Listenabsatz"/>
        <w:spacing w:before="240" w:after="240"/>
        <w:rPr>
          <w:i/>
        </w:rPr>
      </w:pPr>
      <w:r>
        <w:rPr>
          <w:i/>
        </w:rPr>
        <w:t>DENIC:</w:t>
      </w:r>
    </w:p>
    <w:p w14:paraId="5942641D" w14:textId="7A638A32" w:rsidR="007B57D4" w:rsidRPr="003F6BAA" w:rsidRDefault="00575B29" w:rsidP="00B40700">
      <w:pPr>
        <w:pStyle w:val="Listenabsatz"/>
        <w:spacing w:before="240" w:after="240"/>
        <w:rPr>
          <w:i/>
        </w:rPr>
      </w:pPr>
      <w:r w:rsidRPr="003F6BAA">
        <w:rPr>
          <w:i/>
        </w:rPr>
        <w:t xml:space="preserve">The MRT is a second role needed. It should be an incorporation or body that is responsible to contract, to oversee and – if needed- retender </w:t>
      </w:r>
      <w:r w:rsidRPr="003F6BAA">
        <w:rPr>
          <w:i/>
        </w:rPr>
        <w:t>the IANA functions operator</w:t>
      </w:r>
      <w:r w:rsidRPr="003F6BAA">
        <w:rPr>
          <w:i/>
        </w:rPr>
        <w:t>.</w:t>
      </w:r>
    </w:p>
    <w:sectPr w:rsidR="007B57D4" w:rsidRPr="003F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862"/>
    <w:multiLevelType w:val="hybridMultilevel"/>
    <w:tmpl w:val="756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4E63"/>
    <w:multiLevelType w:val="hybridMultilevel"/>
    <w:tmpl w:val="5470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6BEF"/>
    <w:multiLevelType w:val="hybridMultilevel"/>
    <w:tmpl w:val="C67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68AB"/>
    <w:multiLevelType w:val="hybridMultilevel"/>
    <w:tmpl w:val="7E16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1F8B"/>
    <w:multiLevelType w:val="hybridMultilevel"/>
    <w:tmpl w:val="C67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344D0"/>
    <w:multiLevelType w:val="hybridMultilevel"/>
    <w:tmpl w:val="3CFA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E670A"/>
    <w:multiLevelType w:val="hybridMultilevel"/>
    <w:tmpl w:val="680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C26A5"/>
    <w:multiLevelType w:val="hybridMultilevel"/>
    <w:tmpl w:val="8688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6A"/>
    <w:rsid w:val="00010EF5"/>
    <w:rsid w:val="00031638"/>
    <w:rsid w:val="00064AFF"/>
    <w:rsid w:val="0017370E"/>
    <w:rsid w:val="0019726B"/>
    <w:rsid w:val="001D0CB4"/>
    <w:rsid w:val="002A233E"/>
    <w:rsid w:val="002C2547"/>
    <w:rsid w:val="003A2AD3"/>
    <w:rsid w:val="003E7290"/>
    <w:rsid w:val="003F6BAA"/>
    <w:rsid w:val="00450154"/>
    <w:rsid w:val="0050495E"/>
    <w:rsid w:val="00566BE3"/>
    <w:rsid w:val="00575B29"/>
    <w:rsid w:val="00590855"/>
    <w:rsid w:val="00593F23"/>
    <w:rsid w:val="005C5C2A"/>
    <w:rsid w:val="00614252"/>
    <w:rsid w:val="0062794A"/>
    <w:rsid w:val="0065191D"/>
    <w:rsid w:val="006779FC"/>
    <w:rsid w:val="00763675"/>
    <w:rsid w:val="007B162A"/>
    <w:rsid w:val="007B57D4"/>
    <w:rsid w:val="007C6649"/>
    <w:rsid w:val="00891789"/>
    <w:rsid w:val="008A19DD"/>
    <w:rsid w:val="008E050D"/>
    <w:rsid w:val="00900D39"/>
    <w:rsid w:val="00A03425"/>
    <w:rsid w:val="00A061E6"/>
    <w:rsid w:val="00A31469"/>
    <w:rsid w:val="00AE7DBC"/>
    <w:rsid w:val="00AF1B7A"/>
    <w:rsid w:val="00B40700"/>
    <w:rsid w:val="00BC1E6A"/>
    <w:rsid w:val="00C92754"/>
    <w:rsid w:val="00D07108"/>
    <w:rsid w:val="00D55DAE"/>
    <w:rsid w:val="00F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3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D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2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6279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62794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D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2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6279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6279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Verisign Inc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Jörg Schweiger</cp:lastModifiedBy>
  <cp:revision>6</cp:revision>
  <dcterms:created xsi:type="dcterms:W3CDTF">2015-01-03T11:05:00Z</dcterms:created>
  <dcterms:modified xsi:type="dcterms:W3CDTF">2015-01-03T11:21:00Z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