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double" w:sz="4" w:space="0" w:color="auto"/>
        </w:tblBorders>
        <w:tblCellMar>
          <w:left w:w="115" w:type="dxa"/>
          <w:bottom w:w="216" w:type="dxa"/>
          <w:right w:w="115" w:type="dxa"/>
        </w:tblCellMar>
        <w:tblLook w:val="0000"/>
      </w:tblPr>
      <w:tblGrid>
        <w:gridCol w:w="1093"/>
        <w:gridCol w:w="296"/>
        <w:gridCol w:w="7870"/>
      </w:tblGrid>
      <w:tr>
        <w:trPr>
          <w:cantSplit/>
        </w:trPr>
        <w:tc>
          <w:tcPr>
            <w:tcW w:w="590" w:type="pct"/>
            <w:tcBorders>
              <w:top w:val="single" w:sz="4" w:space="0" w:color="auto"/>
              <w:bottom w:val="nil"/>
            </w:tcBorders>
            <w:tcMar>
              <w:bottom w:w="0" w:type="dxa"/>
            </w:tcMar>
          </w:tcPr>
          <w:p>
            <w:pPr>
              <w:pStyle w:val="MemoTableLabel"/>
              <w:rPr>
                <w:rFonts w:asciiTheme="minorHAnsi" w:hAnsiTheme="minorHAnsi" w:cstheme="minorHAnsi"/>
                <w:sz w:val="24"/>
              </w:rPr>
            </w:pPr>
          </w:p>
        </w:tc>
        <w:tc>
          <w:tcPr>
            <w:tcW w:w="160" w:type="pct"/>
            <w:tcBorders>
              <w:top w:val="single" w:sz="4" w:space="0" w:color="auto"/>
              <w:bottom w:val="nil"/>
            </w:tcBorders>
            <w:tcMar>
              <w:bottom w:w="0" w:type="dxa"/>
            </w:tcMar>
          </w:tcPr>
          <w:p>
            <w:pPr>
              <w:pStyle w:val="MemoTableData"/>
              <w:rPr>
                <w:rFonts w:asciiTheme="minorHAnsi" w:hAnsiTheme="minorHAnsi" w:cstheme="minorHAnsi"/>
                <w:sz w:val="24"/>
                <w:szCs w:val="24"/>
              </w:rPr>
            </w:pPr>
          </w:p>
        </w:tc>
        <w:tc>
          <w:tcPr>
            <w:tcW w:w="4250" w:type="pct"/>
            <w:tcBorders>
              <w:top w:val="single" w:sz="4" w:space="0" w:color="auto"/>
              <w:bottom w:val="nil"/>
            </w:tcBorders>
            <w:tcMar>
              <w:bottom w:w="0" w:type="dxa"/>
            </w:tcMar>
          </w:tcPr>
          <w:p>
            <w:pPr>
              <w:pStyle w:val="MemoTableData"/>
              <w:rPr>
                <w:rFonts w:asciiTheme="minorHAnsi" w:hAnsiTheme="minorHAnsi" w:cstheme="minorHAnsi"/>
                <w:sz w:val="24"/>
                <w:szCs w:val="24"/>
              </w:rPr>
            </w:pPr>
          </w:p>
        </w:tc>
      </w:tr>
      <w:tr>
        <w:trPr>
          <w:cantSplit/>
        </w:trPr>
        <w:tc>
          <w:tcPr>
            <w:tcW w:w="590" w:type="pct"/>
            <w:tcBorders>
              <w:top w:val="nil"/>
              <w:bottom w:val="nil"/>
            </w:tcBorders>
          </w:tcPr>
          <w:p>
            <w:pPr>
              <w:pStyle w:val="MemoTableLabel"/>
              <w:rPr>
                <w:rFonts w:asciiTheme="minorHAnsi" w:hAnsiTheme="minorHAnsi" w:cstheme="minorHAnsi"/>
                <w:sz w:val="24"/>
              </w:rPr>
            </w:pPr>
            <w:bookmarkStart w:id="0" w:name="LOCRe"/>
            <w:r>
              <w:rPr>
                <w:rFonts w:asciiTheme="minorHAnsi" w:hAnsiTheme="minorHAnsi" w:cstheme="minorHAnsi"/>
                <w:sz w:val="24"/>
              </w:rPr>
              <w:t>Re</w:t>
            </w:r>
            <w:bookmarkEnd w:id="0"/>
            <w:r>
              <w:rPr>
                <w:rFonts w:asciiTheme="minorHAnsi" w:hAnsiTheme="minorHAnsi" w:cstheme="minorHAnsi"/>
                <w:sz w:val="24"/>
              </w:rPr>
              <w:t>:</w:t>
            </w:r>
          </w:p>
        </w:tc>
        <w:tc>
          <w:tcPr>
            <w:tcW w:w="160" w:type="pct"/>
            <w:tcBorders>
              <w:top w:val="nil"/>
              <w:bottom w:val="nil"/>
            </w:tcBorders>
          </w:tcPr>
          <w:p>
            <w:pPr>
              <w:pStyle w:val="MemoTableData"/>
              <w:rPr>
                <w:rFonts w:asciiTheme="minorHAnsi" w:hAnsiTheme="minorHAnsi" w:cstheme="minorHAnsi"/>
                <w:sz w:val="24"/>
                <w:szCs w:val="24"/>
              </w:rPr>
            </w:pPr>
          </w:p>
        </w:tc>
        <w:tc>
          <w:tcPr>
            <w:tcW w:w="4250" w:type="pct"/>
            <w:tcBorders>
              <w:top w:val="nil"/>
              <w:bottom w:val="nil"/>
            </w:tcBorders>
          </w:tcPr>
          <w:p>
            <w:pPr>
              <w:pStyle w:val="ReLine"/>
              <w:rPr>
                <w:rFonts w:asciiTheme="minorHAnsi" w:hAnsiTheme="minorHAnsi" w:cstheme="minorHAnsi"/>
                <w:sz w:val="24"/>
                <w:szCs w:val="24"/>
              </w:rPr>
            </w:pPr>
            <w:r>
              <w:rPr>
                <w:rFonts w:asciiTheme="minorHAnsi" w:hAnsiTheme="minorHAnsi" w:cstheme="minorHAnsi"/>
                <w:sz w:val="24"/>
                <w:szCs w:val="24"/>
              </w:rPr>
              <w:t>Confirmation that the CCWG-Accountability Supplemental Final Proposal on Work Stream 1 Recommendations Meets the Requirements of the CWG-Stewardship Final Transition Proposal</w:t>
            </w:r>
          </w:p>
        </w:tc>
      </w:tr>
      <w:tr>
        <w:trPr>
          <w:cantSplit/>
        </w:trPr>
        <w:tc>
          <w:tcPr>
            <w:tcW w:w="590" w:type="pct"/>
            <w:tcBorders>
              <w:top w:val="nil"/>
              <w:bottom w:val="single" w:sz="4" w:space="0" w:color="auto"/>
            </w:tcBorders>
          </w:tcPr>
          <w:p>
            <w:pPr>
              <w:pStyle w:val="MemoTableLabel"/>
              <w:rPr>
                <w:rFonts w:asciiTheme="minorHAnsi" w:hAnsiTheme="minorHAnsi" w:cstheme="minorHAnsi"/>
                <w:sz w:val="24"/>
              </w:rPr>
            </w:pPr>
            <w:bookmarkStart w:id="1" w:name="LOCDate"/>
            <w:r>
              <w:rPr>
                <w:rFonts w:asciiTheme="minorHAnsi" w:hAnsiTheme="minorHAnsi" w:cstheme="minorHAnsi"/>
                <w:sz w:val="24"/>
              </w:rPr>
              <w:t>Date</w:t>
            </w:r>
            <w:bookmarkEnd w:id="1"/>
            <w:r>
              <w:rPr>
                <w:rFonts w:asciiTheme="minorHAnsi" w:hAnsiTheme="minorHAnsi" w:cstheme="minorHAnsi"/>
                <w:sz w:val="24"/>
              </w:rPr>
              <w:t>:</w:t>
            </w:r>
          </w:p>
        </w:tc>
        <w:tc>
          <w:tcPr>
            <w:tcW w:w="160" w:type="pct"/>
            <w:tcBorders>
              <w:top w:val="nil"/>
              <w:bottom w:val="single" w:sz="4" w:space="0" w:color="auto"/>
            </w:tcBorders>
          </w:tcPr>
          <w:p>
            <w:pPr>
              <w:pStyle w:val="Date"/>
              <w:rPr>
                <w:rFonts w:asciiTheme="minorHAnsi" w:hAnsiTheme="minorHAnsi" w:cstheme="minorHAnsi"/>
              </w:rPr>
            </w:pPr>
          </w:p>
        </w:tc>
        <w:sdt>
          <w:sdtPr>
            <w:rPr>
              <w:rFonts w:asciiTheme="minorHAnsi" w:hAnsiTheme="minorHAnsi" w:cstheme="minorHAnsi"/>
            </w:rPr>
            <w:alias w:val="pcgDate"/>
            <w:id w:val="48598789"/>
            <w:placeholder>
              <w:docPart w:val="363EF9161C5641C4AB816BD96CCE7C87"/>
            </w:placeholder>
            <w:date>
              <w:dateFormat w:val="MMMM d, yyyy"/>
              <w:lid w:val="en-US"/>
              <w:storeMappedDataAs w:val="text"/>
              <w:calendar w:val="gregorian"/>
            </w:date>
          </w:sdtPr>
          <w:sdtContent>
            <w:tc>
              <w:tcPr>
                <w:tcW w:w="4250" w:type="pct"/>
                <w:tcBorders>
                  <w:top w:val="nil"/>
                  <w:bottom w:val="single" w:sz="4" w:space="0" w:color="auto"/>
                </w:tcBorders>
              </w:tcPr>
              <w:p>
                <w:pPr>
                  <w:pStyle w:val="Date"/>
                  <w:rPr>
                    <w:rFonts w:asciiTheme="minorHAnsi" w:hAnsiTheme="minorHAnsi" w:cstheme="minorHAnsi"/>
                  </w:rPr>
                </w:pPr>
                <w:r>
                  <w:rPr>
                    <w:rFonts w:asciiTheme="minorHAnsi" w:hAnsiTheme="minorHAnsi" w:cstheme="minorHAnsi"/>
                  </w:rPr>
                  <w:t>February __, 2016</w:t>
                </w:r>
              </w:p>
            </w:tc>
          </w:sdtContent>
        </w:sdt>
      </w:tr>
      <w:tr>
        <w:trPr>
          <w:cantSplit/>
          <w:trHeight w:val="243"/>
        </w:trPr>
        <w:tc>
          <w:tcPr>
            <w:tcW w:w="590" w:type="pct"/>
            <w:tcBorders>
              <w:top w:val="single" w:sz="4" w:space="0" w:color="auto"/>
              <w:bottom w:val="nil"/>
            </w:tcBorders>
            <w:tcMar>
              <w:bottom w:w="0" w:type="dxa"/>
            </w:tcMar>
          </w:tcPr>
          <w:p>
            <w:pPr>
              <w:pStyle w:val="MemoTableLabel"/>
              <w:rPr>
                <w:rFonts w:asciiTheme="minorHAnsi" w:hAnsiTheme="minorHAnsi" w:cstheme="minorHAnsi"/>
                <w:sz w:val="24"/>
              </w:rPr>
            </w:pPr>
          </w:p>
        </w:tc>
        <w:tc>
          <w:tcPr>
            <w:tcW w:w="160" w:type="pct"/>
            <w:tcBorders>
              <w:top w:val="single" w:sz="4" w:space="0" w:color="auto"/>
              <w:bottom w:val="nil"/>
            </w:tcBorders>
            <w:tcMar>
              <w:bottom w:w="0" w:type="dxa"/>
            </w:tcMar>
          </w:tcPr>
          <w:p>
            <w:pPr>
              <w:pStyle w:val="Date"/>
              <w:rPr>
                <w:rFonts w:asciiTheme="minorHAnsi" w:hAnsiTheme="minorHAnsi" w:cstheme="minorHAnsi"/>
              </w:rPr>
            </w:pPr>
          </w:p>
        </w:tc>
        <w:tc>
          <w:tcPr>
            <w:tcW w:w="4250" w:type="pct"/>
            <w:tcBorders>
              <w:top w:val="single" w:sz="4" w:space="0" w:color="auto"/>
              <w:bottom w:val="nil"/>
            </w:tcBorders>
            <w:tcMar>
              <w:bottom w:w="0" w:type="dxa"/>
            </w:tcMar>
          </w:tcPr>
          <w:p>
            <w:pPr>
              <w:pStyle w:val="Date"/>
              <w:rPr>
                <w:rFonts w:asciiTheme="minorHAnsi" w:hAnsiTheme="minorHAnsi" w:cstheme="minorHAnsi"/>
              </w:rPr>
            </w:pPr>
          </w:p>
        </w:tc>
      </w:tr>
    </w:tbl>
    <w:p>
      <w:pPr>
        <w:pStyle w:val="Default"/>
        <w:spacing w:after="240"/>
        <w:rPr>
          <w:rFonts w:asciiTheme="minorHAnsi" w:hAnsiTheme="minorHAnsi" w:cstheme="minorHAnsi"/>
        </w:rPr>
      </w:pPr>
      <w:r>
        <w:rPr>
          <w:rFonts w:asciiTheme="minorHAnsi" w:hAnsiTheme="minorHAnsi" w:cstheme="minorHAnsi"/>
        </w:rPr>
        <w:t>ICANN Cross Community Working Group Accountability (CCWG-Accountability)</w:t>
      </w:r>
    </w:p>
    <w:p>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pPr>
        <w:pStyle w:val="Default"/>
        <w:spacing w:after="240"/>
        <w:rPr>
          <w:rFonts w:asciiTheme="minorHAnsi" w:hAnsiTheme="minorHAnsi" w:cstheme="minorHAnsi"/>
        </w:rPr>
      </w:pPr>
      <w:r>
        <w:rPr>
          <w:rFonts w:asciiTheme="minorHAnsi" w:hAnsiTheme="minorHAnsi" w:cstheme="minorHAnsi"/>
        </w:rPr>
        <w:t xml:space="preserve">We write in response to your group’s recent </w:t>
      </w:r>
      <w:hyperlink r:id="rId8" w:history="1">
        <w:r>
          <w:rPr>
            <w:rStyle w:val="Hyperlink"/>
            <w:rFonts w:asciiTheme="minorHAnsi" w:hAnsiTheme="minorHAnsi" w:cstheme="minorHAnsi"/>
          </w:rPr>
          <w:t>publication</w:t>
        </w:r>
      </w:hyperlink>
      <w:r>
        <w:rPr>
          <w:rFonts w:asciiTheme="minorHAnsi" w:hAnsiTheme="minorHAnsi" w:cstheme="minorHAnsi"/>
        </w:rPr>
        <w:t xml:space="preserve"> of the Supplemental Final Proposal on Work Stream 1 Recommendations (the “</w:t>
      </w:r>
      <w:r>
        <w:rPr>
          <w:rFonts w:asciiTheme="minorHAnsi" w:hAnsiTheme="minorHAnsi" w:cstheme="minorHAnsi"/>
          <w:u w:val="single"/>
        </w:rPr>
        <w:t>Final Proposal</w:t>
      </w:r>
      <w:r>
        <w:rPr>
          <w:rFonts w:asciiTheme="minorHAnsi" w:hAnsiTheme="minorHAnsi" w:cstheme="minorHAnsi"/>
        </w:rPr>
        <w:t>”).  We have prepared this in our capacities as co-chairs of the Cross Community Working Group to Develop an IANA Stewardship Transition Proposal on Naming Related Functions (CWG-Stewardship).</w:t>
      </w:r>
    </w:p>
    <w:p>
      <w:pPr>
        <w:pStyle w:val="Default"/>
        <w:spacing w:after="240"/>
        <w:rPr>
          <w:rFonts w:asciiTheme="minorHAnsi" w:hAnsiTheme="minorHAnsi" w:cstheme="minorHAnsi"/>
        </w:rPr>
      </w:pPr>
      <w:r>
        <w:rPr>
          <w:rFonts w:asciiTheme="minorHAnsi" w:hAnsiTheme="minorHAnsi" w:cstheme="minorHAnsi"/>
        </w:rPr>
        <w:t xml:space="preserve">The CWG-Stewardship </w:t>
      </w:r>
      <w:hyperlink r:id="rId9"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Final Proposal, the CWG-Stewardship final transition proposal sets forth ICANN accountability requirements regarding Community Empowerment Mechanism, IANA Functions Budget, IANA Function Reviews, Customer Standing Committee (“</w:t>
      </w:r>
      <w:r>
        <w:rPr>
          <w:rFonts w:asciiTheme="minorHAnsi" w:hAnsiTheme="minorHAnsi" w:cstheme="minorHAnsi"/>
          <w:u w:val="single"/>
        </w:rPr>
        <w:t>CSC</w:t>
      </w:r>
      <w:r>
        <w:rPr>
          <w:rFonts w:asciiTheme="minorHAnsi" w:hAnsiTheme="minorHAnsi" w:cstheme="minorHAnsi"/>
        </w:rPr>
        <w:t>”), Separation Process, Appeals Mechanism, and Post-Transition IANA (“</w:t>
      </w:r>
      <w:r>
        <w:rPr>
          <w:rFonts w:asciiTheme="minorHAnsi" w:hAnsiTheme="minorHAnsi" w:cstheme="minorHAnsi"/>
          <w:u w:val="single"/>
        </w:rPr>
        <w:t>PTI</w:t>
      </w:r>
      <w:r>
        <w:rPr>
          <w:rFonts w:asciiTheme="minorHAnsi" w:hAnsiTheme="minorHAnsi" w:cstheme="minorHAnsi"/>
        </w:rPr>
        <w:t xml:space="preserve">”), as well as Fundamental Bylaws.  This document is and should be viewed as an element of the agreed-upon working methods of the CWG-Stewardship and the CCWG-Accountability. </w:t>
      </w:r>
    </w:p>
    <w:p>
      <w:pPr>
        <w:pStyle w:val="Default"/>
        <w:spacing w:after="240"/>
        <w:rPr>
          <w:rFonts w:asciiTheme="minorHAnsi" w:hAnsiTheme="minorHAnsi" w:cstheme="minorHAnsi"/>
        </w:rPr>
      </w:pPr>
      <w:r>
        <w:rPr>
          <w:rFonts w:asciiTheme="minorHAnsi" w:hAnsiTheme="minorHAnsi" w:cstheme="minorHAnsi"/>
        </w:rPr>
        <w:t xml:space="preserve">Thank you for resolving each of the issues raised in our </w:t>
      </w:r>
      <w:hyperlink r:id="rId10" w:history="1">
        <w:r>
          <w:rPr>
            <w:rStyle w:val="Hyperlink"/>
            <w:rFonts w:asciiTheme="minorHAnsi" w:hAnsiTheme="minorHAnsi" w:cstheme="minorHAnsi"/>
          </w:rPr>
          <w:t>comment letter</w:t>
        </w:r>
      </w:hyperlink>
      <w:r>
        <w:rPr>
          <w:rFonts w:asciiTheme="minorHAnsi" w:hAnsiTheme="minorHAnsi" w:cstheme="minorHAnsi"/>
        </w:rPr>
        <w:t xml:space="preserve"> relating to your group’s </w:t>
      </w:r>
      <w:hyperlink r:id="rId11" w:history="1">
        <w:r>
          <w:rPr>
            <w:rStyle w:val="Hyperlink"/>
            <w:rFonts w:asciiTheme="minorHAnsi" w:hAnsiTheme="minorHAnsi" w:cstheme="minorHAnsi"/>
          </w:rPr>
          <w:t>publication</w:t>
        </w:r>
      </w:hyperlink>
      <w:r>
        <w:t xml:space="preserve"> </w:t>
      </w:r>
      <w:r>
        <w:rPr>
          <w:rFonts w:asciiTheme="minorHAnsi" w:hAnsiTheme="minorHAnsi" w:cstheme="minorHAnsi"/>
        </w:rPr>
        <w:t>of its third draft proposal and for all your hard work in reaching consensus.  As you know, we rely on your work and our trust in the work of your group is vital in permitting us to focus on the essential aspects of our work on the stewardship transition.</w:t>
      </w:r>
    </w:p>
    <w:p>
      <w:pPr>
        <w:pStyle w:val="Default"/>
        <w:spacing w:after="240"/>
        <w:rPr>
          <w:rFonts w:asciiTheme="minorHAnsi" w:hAnsiTheme="minorHAnsi" w:cstheme="minorHAnsi"/>
        </w:rPr>
      </w:pPr>
      <w:r>
        <w:rPr>
          <w:rFonts w:asciiTheme="minorHAnsi" w:hAnsiTheme="minorHAnsi" w:cstheme="minorHAnsi"/>
        </w:rPr>
        <w:t>We confirm that the Final Proposal meets the requirements of the CWG-Stewardship final transition proposal.</w:t>
      </w: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creation of a stakeholder community/member group: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exercise oversight with respect to key ICANN Board decisions (including with respect to the ICANN Board’s oversight of the IANA Functions) by reviewing and approving:  (i) ICANN Board decisions with </w:t>
      </w:r>
      <w:r>
        <w:rPr>
          <w:rFonts w:asciiTheme="minorHAnsi" w:hAnsiTheme="minorHAnsi" w:cstheme="minorHAnsi"/>
          <w:color w:val="000000"/>
        </w:rPr>
        <w:lastRenderedPageBreak/>
        <w:t>respect to recommendations resulting from an IANA Function Review (“</w:t>
      </w:r>
      <w:r>
        <w:rPr>
          <w:rFonts w:asciiTheme="minorHAnsi" w:hAnsiTheme="minorHAnsi" w:cstheme="minorHAnsi"/>
          <w:color w:val="000000"/>
          <w:u w:val="single"/>
        </w:rPr>
        <w:t>IFR</w:t>
      </w:r>
      <w:r>
        <w:rPr>
          <w:rFonts w:asciiTheme="minorHAnsi" w:hAnsiTheme="minorHAnsi" w:cstheme="minorHAnsi"/>
          <w:color w:val="000000"/>
        </w:rPr>
        <w:t xml:space="preserve">”) or Special IFR and (ii) the ICANN Budget; and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approve amendments to ICANN’s “Fundamental Bylaws,” as described below.  </w:t>
      </w:r>
    </w:p>
    <w:p>
      <w:pPr>
        <w:pStyle w:val="ListParagraph"/>
        <w:tabs>
          <w:tab w:val="left" w:pos="1170"/>
        </w:tabs>
        <w:autoSpaceDE w:val="0"/>
        <w:autoSpaceDN w:val="0"/>
        <w:adjustRightInd w:val="0"/>
        <w:spacing w:before="240"/>
        <w:ind w:left="14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color w:val="000000"/>
        </w:rPr>
        <w:t>Conclusion</w:t>
      </w:r>
      <w:r>
        <w:rPr>
          <w:rFonts w:asciiTheme="minorHAnsi" w:hAnsiTheme="minorHAnsi" w:cstheme="minorHAnsi"/>
          <w:color w:val="000000"/>
        </w:rPr>
        <w:t xml:space="preserve"> </w:t>
      </w:r>
      <w:r>
        <w:rPr>
          <w:rFonts w:asciiTheme="minorHAnsi" w:hAnsiTheme="minorHAnsi" w:cstheme="minorHAnsi"/>
          <w:b/>
          <w:color w:val="000000"/>
        </w:rPr>
        <w:t>–</w:t>
      </w:r>
      <w:r>
        <w:rPr>
          <w:rFonts w:asciiTheme="minorHAnsi" w:hAnsiTheme="minorHAnsi" w:cstheme="minorHAnsi"/>
          <w:color w:val="000000"/>
        </w:rPr>
        <w:t xml:space="preserve"> We believe that the </w:t>
      </w:r>
      <w:r>
        <w:rPr>
          <w:rFonts w:asciiTheme="minorHAnsi" w:hAnsiTheme="minorHAnsi" w:cstheme="minorHAnsi"/>
        </w:rPr>
        <w:t>Final Proposal</w:t>
      </w:r>
      <w:r>
        <w:rPr>
          <w:rFonts w:asciiTheme="minorHAnsi" w:hAnsiTheme="minorHAnsi" w:cstheme="minorHAnsi"/>
          <w:color w:val="000000"/>
        </w:rPr>
        <w:t xml:space="preserve"> adequately satisfies the CWG-Stewardship requirement relating to the community empowerment mechanism.</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Functions  Budget  </w:t>
      </w:r>
    </w:p>
    <w:p>
      <w:pPr>
        <w:pStyle w:val="ListParagraph"/>
        <w:keepNext/>
        <w:tabs>
          <w:tab w:val="left" w:pos="1170"/>
        </w:tabs>
        <w:autoSpaceDE w:val="0"/>
        <w:autoSpaceDN w:val="0"/>
        <w:adjustRightInd w:val="0"/>
        <w:spacing w:before="240"/>
        <w:rPr>
          <w:rFonts w:asciiTheme="minorHAnsi" w:hAnsiTheme="minorHAnsi" w:cstheme="minorHAnsi"/>
          <w:color w:val="000000"/>
        </w:rPr>
      </w:pPr>
    </w:p>
    <w:p>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that the IANA Functions Operator’s comprehensive costs should be transparent and ICANN’s operating plans and budget should include itemization of all IANA operations costs to the project level and below as needed.  Under the final transition proposal, an itemization of IANA costs would include:  direct costs for the operation of the IANA Functions, direct costs for shared resources and support functions allocation.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IANA Functions Budget should be approved by the ICANN Board in a much earlier timeframe than the overall 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an IANA Functions Operations-specific budget review, which may become a component of the overall budget review.  It is anticipated that the IANA Functions Operations Budget review will include a consultation process with relevant and potentially impacted IANA customers. </w:t>
      </w:r>
    </w:p>
    <w:p>
      <w:pPr>
        <w:pStyle w:val="ListParagraph"/>
        <w:tabs>
          <w:tab w:val="left" w:pos="1170"/>
        </w:tabs>
        <w:autoSpaceDE w:val="0"/>
        <w:autoSpaceDN w:val="0"/>
        <w:adjustRightInd w:val="0"/>
        <w:spacing w:before="240"/>
        <w:rPr>
          <w:rFonts w:asciiTheme="minorHAnsi" w:hAnsiTheme="minorHAnsi" w:cstheme="minorHAnsi"/>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color w:val="000000"/>
        </w:rPr>
        <w:t>Conclusion</w:t>
      </w:r>
      <w:r>
        <w:rPr>
          <w:rFonts w:asciiTheme="minorHAnsi" w:hAnsiTheme="minorHAnsi" w:cstheme="minorHAnsi"/>
          <w:color w:val="000000"/>
        </w:rPr>
        <w:t xml:space="preserve"> – We believe that the </w:t>
      </w:r>
      <w:r>
        <w:rPr>
          <w:rFonts w:asciiTheme="minorHAnsi" w:hAnsiTheme="minorHAnsi" w:cstheme="minorHAnsi"/>
        </w:rPr>
        <w:t>Final Proposal</w:t>
      </w:r>
      <w:r>
        <w:rPr>
          <w:rFonts w:asciiTheme="minorHAnsi" w:hAnsiTheme="minorHAnsi" w:cstheme="minorHAnsi"/>
          <w:color w:val="000000"/>
        </w:rPr>
        <w:t xml:space="preserve"> adequately satisfies the CWG-Stewardship requirements relating to the </w:t>
      </w:r>
      <w:r>
        <w:rPr>
          <w:rFonts w:asciiTheme="minorHAnsi" w:hAnsiTheme="minorHAnsi" w:cstheme="minorHAnsi"/>
          <w:bCs/>
          <w:color w:val="000000"/>
        </w:rPr>
        <w:t>ICANN Budget and IANA Functions  Budget</w:t>
      </w:r>
      <w:r>
        <w:rPr>
          <w:rFonts w:asciiTheme="minorHAnsi" w:hAnsiTheme="minorHAnsi" w:cstheme="minorHAnsi"/>
          <w:color w:val="000000"/>
        </w:rPr>
        <w:t>.</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 names function.  The CWG-Stewardship proposal contemplates the ability of the community to exercise oversight with respect to ICANN Board decisions on recommendations resulting from an IFR or Special IFR by reviewing and approving those ICANN Board decisions.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color w:val="000000"/>
        </w:rPr>
        <w:lastRenderedPageBreak/>
        <w:t>Conclusion</w:t>
      </w:r>
      <w:r>
        <w:rPr>
          <w:rFonts w:asciiTheme="minorHAnsi" w:hAnsiTheme="minorHAnsi" w:cstheme="minorHAnsi"/>
          <w:color w:val="000000"/>
        </w:rPr>
        <w:t xml:space="preserve"> </w:t>
      </w:r>
      <w:r>
        <w:rPr>
          <w:rFonts w:asciiTheme="minorHAnsi" w:hAnsiTheme="minorHAnsi" w:cstheme="minorHAnsi"/>
          <w:b/>
          <w:color w:val="000000"/>
        </w:rPr>
        <w:t>–</w:t>
      </w:r>
      <w:r>
        <w:rPr>
          <w:rFonts w:asciiTheme="minorHAnsi" w:hAnsiTheme="minorHAnsi" w:cstheme="minorHAnsi"/>
          <w:color w:val="000000"/>
        </w:rPr>
        <w:t xml:space="preserve"> We believe that the </w:t>
      </w:r>
      <w:r>
        <w:rPr>
          <w:rFonts w:asciiTheme="minorHAnsi" w:hAnsiTheme="minorHAnsi" w:cstheme="minorHAnsi"/>
        </w:rPr>
        <w:t>Final Proposal</w:t>
      </w:r>
      <w:r>
        <w:rPr>
          <w:rFonts w:asciiTheme="minorHAnsi" w:hAnsiTheme="minorHAnsi" w:cstheme="minorHAnsi"/>
          <w:color w:val="000000"/>
        </w:rPr>
        <w:t xml:space="preserve"> adequately satisfies the CWG-Stewardship requirement relating to the IFR.</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 CSC that is empowered to monitor the performance of the IANA names function and escalate non-remediated issues to the ccNSO and GNSO.  The ccNSO and GNSO should be empowered to address matters escalated by the CSC. </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color w:val="000000"/>
        </w:rPr>
        <w:t>Conclusion</w:t>
      </w:r>
      <w:r>
        <w:rPr>
          <w:rFonts w:asciiTheme="minorHAnsi" w:hAnsiTheme="minorHAnsi" w:cstheme="minorHAnsi"/>
          <w:color w:val="000000"/>
        </w:rPr>
        <w:t xml:space="preserve"> </w:t>
      </w:r>
      <w:r>
        <w:rPr>
          <w:rFonts w:asciiTheme="minorHAnsi" w:hAnsiTheme="minorHAnsi" w:cstheme="minorHAnsi"/>
          <w:b/>
          <w:color w:val="000000"/>
        </w:rPr>
        <w:t>–</w:t>
      </w:r>
      <w:r>
        <w:rPr>
          <w:rFonts w:asciiTheme="minorHAnsi" w:hAnsiTheme="minorHAnsi" w:cstheme="minorHAnsi"/>
          <w:color w:val="000000"/>
        </w:rPr>
        <w:t xml:space="preserve"> We believe that the </w:t>
      </w:r>
      <w:r>
        <w:rPr>
          <w:rFonts w:asciiTheme="minorHAnsi" w:hAnsiTheme="minorHAnsi" w:cstheme="minorHAnsi"/>
        </w:rPr>
        <w:t>Final Proposal</w:t>
      </w:r>
      <w:r>
        <w:rPr>
          <w:rFonts w:asciiTheme="minorHAnsi" w:hAnsiTheme="minorHAnsi" w:cstheme="minorHAnsi"/>
          <w:color w:val="000000"/>
        </w:rPr>
        <w:t xml:space="preserve"> adequately satisfies the CWG-Stewardship requirement relating to the CSC.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pPr>
        <w:pStyle w:val="ListParagraph"/>
        <w:tabs>
          <w:tab w:val="left" w:pos="1170"/>
        </w:tabs>
        <w:autoSpaceDE w:val="0"/>
        <w:autoSpaceDN w:val="0"/>
        <w:adjustRightInd w:val="0"/>
        <w:spacing w:before="240"/>
        <w:rPr>
          <w:rFonts w:asciiTheme="minorHAnsi" w:hAnsiTheme="minorHAnsi" w:cstheme="minorHAnsi"/>
          <w:b/>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color w:val="000000"/>
        </w:rPr>
        <w:t>Conclusion</w:t>
      </w:r>
      <w:r>
        <w:rPr>
          <w:rFonts w:asciiTheme="minorHAnsi" w:hAnsiTheme="minorHAnsi" w:cstheme="minorHAnsi"/>
          <w:color w:val="000000"/>
        </w:rPr>
        <w:t xml:space="preserve"> </w:t>
      </w:r>
      <w:r>
        <w:rPr>
          <w:rFonts w:asciiTheme="minorHAnsi" w:hAnsiTheme="minorHAnsi" w:cstheme="minorHAnsi"/>
          <w:b/>
          <w:color w:val="000000"/>
        </w:rPr>
        <w:t>–</w:t>
      </w:r>
      <w:r>
        <w:rPr>
          <w:rFonts w:asciiTheme="minorHAnsi" w:hAnsiTheme="minorHAnsi" w:cstheme="minorHAnsi"/>
          <w:color w:val="000000"/>
        </w:rPr>
        <w:t xml:space="preserve"> We believe that the </w:t>
      </w:r>
      <w:r>
        <w:rPr>
          <w:rFonts w:asciiTheme="minorHAnsi" w:hAnsiTheme="minorHAnsi" w:cstheme="minorHAnsi"/>
        </w:rPr>
        <w:t>Final Proposal</w:t>
      </w:r>
      <w:r>
        <w:rPr>
          <w:rFonts w:asciiTheme="minorHAnsi" w:hAnsiTheme="minorHAnsi" w:cstheme="minorHAnsi"/>
          <w:color w:val="000000"/>
        </w:rPr>
        <w:t xml:space="preserve"> adequately satisfies the CWG-Stewardship requirement relating to PTI.</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 Special IFR will be empowered to determine that a separation process between ICANN and PTI is necessary and, if so, to recommend that a Separation Cross-Community Working Group (“</w:t>
      </w:r>
      <w:r>
        <w:rPr>
          <w:rFonts w:asciiTheme="minorHAnsi" w:hAnsiTheme="minorHAnsi" w:cstheme="minorHAnsi"/>
          <w:color w:val="000000"/>
          <w:u w:val="single"/>
        </w:rPr>
        <w:t>SCWG</w:t>
      </w:r>
      <w:r>
        <w:rPr>
          <w:rFonts w:asciiTheme="minorHAnsi" w:hAnsiTheme="minorHAnsi" w:cstheme="minorHAnsi"/>
          <w:color w:val="000000"/>
        </w:rPr>
        <w:t>”) be established to review the identified issues and make recommendations.  Annex L of the CWG-Stewardship final transition proposal sets forth more detailed information as to approval requirements with respect to the formation of an SCWG and approval of SCWG recommendations, including any selection of a new IANA Functions Operator or any other separation process, in each case these actions require approval by a community mechanism derived from the CCWG-Accountability process.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color w:val="000000"/>
        </w:rPr>
        <w:t>Conclusion</w:t>
      </w:r>
      <w:r>
        <w:rPr>
          <w:rFonts w:asciiTheme="minorHAnsi" w:hAnsiTheme="minorHAnsi" w:cstheme="minorHAnsi"/>
          <w:color w:val="000000"/>
        </w:rPr>
        <w:t xml:space="preserve"> </w:t>
      </w:r>
      <w:r>
        <w:rPr>
          <w:rFonts w:asciiTheme="minorHAnsi" w:hAnsiTheme="minorHAnsi" w:cstheme="minorHAnsi"/>
          <w:b/>
          <w:color w:val="000000"/>
        </w:rPr>
        <w:t>–</w:t>
      </w:r>
      <w:r>
        <w:rPr>
          <w:rFonts w:asciiTheme="minorHAnsi" w:hAnsiTheme="minorHAnsi" w:cstheme="minorHAnsi"/>
          <w:color w:val="000000"/>
        </w:rPr>
        <w:t xml:space="preserve"> We believe that the </w:t>
      </w:r>
      <w:r>
        <w:rPr>
          <w:rFonts w:asciiTheme="minorHAnsi" w:hAnsiTheme="minorHAnsi" w:cstheme="minorHAnsi"/>
        </w:rPr>
        <w:t>Final Proposal</w:t>
      </w:r>
      <w:r>
        <w:rPr>
          <w:rFonts w:asciiTheme="minorHAnsi" w:hAnsiTheme="minorHAnsi" w:cstheme="minorHAnsi"/>
          <w:color w:val="000000"/>
        </w:rPr>
        <w:t xml:space="preserve"> adequately satisfies the CWG-Stewardship requirements relating to the separation process.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an appeals mechanism, for example in the form of an Independent Review Process (“</w:t>
      </w:r>
      <w:r>
        <w:rPr>
          <w:rFonts w:asciiTheme="minorHAnsi" w:hAnsiTheme="minorHAnsi" w:cstheme="minorHAnsi"/>
          <w:color w:val="000000"/>
          <w:u w:val="single"/>
        </w:rPr>
        <w:t>IRP</w:t>
      </w:r>
      <w:r>
        <w:rPr>
          <w:rFonts w:asciiTheme="minorHAnsi" w:hAnsiTheme="minorHAnsi" w:cstheme="minorHAnsi"/>
          <w:color w:val="000000"/>
        </w:rPr>
        <w:t>”), for issues relating to the IANA names function.  For example, direct customers with non-remediated issues or matters referred by ccNSO or GNSO after escalation by the CSC will have access to an IRP.  The appeal mechanism will not cover issues relating to ccTLD delegation and re-delegation, which mechanism is to be developed by the ccTLD community post-transition through the appropriate processes.</w:t>
      </w:r>
    </w:p>
    <w:p>
      <w:pPr>
        <w:tabs>
          <w:tab w:val="left" w:pos="540"/>
          <w:tab w:val="left" w:pos="1170"/>
        </w:tabs>
        <w:autoSpaceDE w:val="0"/>
        <w:autoSpaceDN w:val="0"/>
        <w:adjustRightInd w:val="0"/>
        <w:spacing w:before="240"/>
        <w:ind w:left="720"/>
        <w:rPr>
          <w:rFonts w:asciiTheme="minorHAnsi" w:hAnsiTheme="minorHAnsi" w:cstheme="minorHAnsi"/>
          <w:color w:val="000000"/>
        </w:rPr>
      </w:pPr>
      <w:r>
        <w:rPr>
          <w:rFonts w:asciiTheme="minorHAnsi" w:hAnsiTheme="minorHAnsi" w:cstheme="minorHAnsi"/>
          <w:b/>
          <w:bCs/>
          <w:iCs/>
          <w:color w:val="000000"/>
        </w:rPr>
        <w:lastRenderedPageBreak/>
        <w:t>Conclusion</w:t>
      </w:r>
      <w:r>
        <w:rPr>
          <w:rFonts w:asciiTheme="minorHAnsi" w:hAnsiTheme="minorHAnsi" w:cstheme="minorHAnsi"/>
          <w:iCs/>
          <w:color w:val="000000"/>
        </w:rPr>
        <w:t xml:space="preserve"> </w:t>
      </w:r>
      <w:r>
        <w:rPr>
          <w:rFonts w:asciiTheme="minorHAnsi" w:hAnsiTheme="minorHAnsi" w:cstheme="minorHAnsi"/>
          <w:b/>
          <w:bCs/>
          <w:iCs/>
          <w:color w:val="000000"/>
        </w:rPr>
        <w:t>–</w:t>
      </w:r>
      <w:r>
        <w:rPr>
          <w:rFonts w:asciiTheme="minorHAnsi" w:hAnsiTheme="minorHAnsi" w:cstheme="minorHAnsi"/>
          <w:iCs/>
          <w:color w:val="000000"/>
        </w:rPr>
        <w:t xml:space="preserve"> </w:t>
      </w:r>
      <w:r>
        <w:rPr>
          <w:rFonts w:asciiTheme="minorHAnsi" w:hAnsiTheme="minorHAnsi" w:cstheme="minorHAnsi"/>
          <w:color w:val="000000"/>
        </w:rPr>
        <w:t xml:space="preserve">We believe that the </w:t>
      </w:r>
      <w:r>
        <w:rPr>
          <w:rFonts w:asciiTheme="minorHAnsi" w:hAnsiTheme="minorHAnsi" w:cstheme="minorHAnsi"/>
        </w:rPr>
        <w:t>Final Proposal</w:t>
      </w:r>
      <w:r>
        <w:rPr>
          <w:rFonts w:asciiTheme="minorHAnsi" w:hAnsiTheme="minorHAnsi" w:cstheme="minorHAnsi"/>
          <w:color w:val="000000"/>
        </w:rPr>
        <w:t xml:space="preserve"> adequately satisfies the CWG-Stewardship requirements relating to the appeals mechanism.  </w:t>
      </w: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“Fundamental Bylaws.”  A “Fundamental Bylaw” may only be amended with the prior approval of the Empowered Community and may require a higher approval threshold than typical Bylaw amendments (for example, a supermajority vote).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color w:val="000000"/>
        </w:rPr>
        <w:t>Conclusion</w:t>
      </w:r>
      <w:r>
        <w:rPr>
          <w:rFonts w:asciiTheme="minorHAnsi" w:hAnsiTheme="minorHAnsi" w:cstheme="minorHAnsi"/>
          <w:color w:val="000000"/>
        </w:rPr>
        <w:t xml:space="preserve"> </w:t>
      </w:r>
      <w:r>
        <w:rPr>
          <w:rFonts w:asciiTheme="minorHAnsi" w:hAnsiTheme="minorHAnsi" w:cstheme="minorHAnsi"/>
          <w:b/>
          <w:color w:val="000000"/>
        </w:rPr>
        <w:t>–</w:t>
      </w:r>
      <w:r>
        <w:rPr>
          <w:rFonts w:asciiTheme="minorHAnsi" w:hAnsiTheme="minorHAnsi" w:cstheme="minorHAnsi"/>
          <w:color w:val="000000"/>
        </w:rPr>
        <w:t xml:space="preserve"> We believe that the </w:t>
      </w:r>
      <w:r>
        <w:rPr>
          <w:rFonts w:asciiTheme="minorHAnsi" w:hAnsiTheme="minorHAnsi" w:cstheme="minorHAnsi"/>
        </w:rPr>
        <w:t>Final Proposal</w:t>
      </w:r>
      <w:r>
        <w:rPr>
          <w:rFonts w:asciiTheme="minorHAnsi" w:hAnsiTheme="minorHAnsi" w:cstheme="minorHAnsi"/>
          <w:color w:val="000000"/>
        </w:rPr>
        <w:t xml:space="preserve"> adequately satisfies the CWG-Stewardship requirements relating to Fundamental Bylaws.</w:t>
      </w:r>
    </w:p>
    <w:p>
      <w:pPr>
        <w:pStyle w:val="Default"/>
        <w:spacing w:after="240"/>
        <w:rPr>
          <w:rFonts w:asciiTheme="minorHAnsi" w:hAnsiTheme="minorHAnsi" w:cstheme="minorHAnsi"/>
        </w:rPr>
      </w:pPr>
      <w:r>
        <w:rPr>
          <w:rFonts w:asciiTheme="minorHAnsi" w:hAnsiTheme="minorHAnsi" w:cstheme="minorHAnsi"/>
        </w:rPr>
        <w:t>We appreciate and thank you for your efforts to ensure coordination and collaboration between the co-chairs of our respective groups.</w:t>
      </w:r>
    </w:p>
    <w:p>
      <w:pPr>
        <w:pStyle w:val="Default"/>
        <w:spacing w:after="240"/>
        <w:rPr>
          <w:rFonts w:asciiTheme="minorHAnsi" w:hAnsiTheme="minorHAnsi" w:cstheme="minorHAnsi"/>
        </w:rPr>
      </w:pPr>
    </w:p>
    <w:p>
      <w:pPr>
        <w:pStyle w:val="Default"/>
        <w:spacing w:after="240"/>
        <w:rPr>
          <w:rFonts w:asciiTheme="minorHAnsi" w:hAnsiTheme="minorHAnsi" w:cstheme="minorHAnsi"/>
        </w:rPr>
      </w:pPr>
      <w:r>
        <w:rPr>
          <w:rFonts w:asciiTheme="minorHAnsi" w:hAnsiTheme="minorHAnsi" w:cstheme="minorHAnsi"/>
        </w:rPr>
        <w:t>Best regards,</w:t>
      </w:r>
    </w:p>
    <w:p>
      <w:pPr>
        <w:pStyle w:val="Default"/>
        <w:spacing w:after="240"/>
        <w:rPr>
          <w:rFonts w:asciiTheme="minorHAnsi" w:hAnsiTheme="minorHAnsi" w:cstheme="minorHAnsi"/>
        </w:rPr>
      </w:pPr>
      <w:r>
        <w:rPr>
          <w:rFonts w:asciiTheme="minorHAnsi" w:hAnsiTheme="minorHAnsi" w:cstheme="minorHAnsi"/>
        </w:rPr>
        <w:t xml:space="preserve"> </w:t>
      </w:r>
    </w:p>
    <w:p>
      <w:pPr>
        <w:pStyle w:val="Default"/>
        <w:spacing w:after="240"/>
        <w:rPr>
          <w:rFonts w:asciiTheme="minorHAnsi" w:hAnsiTheme="minorHAnsi" w:cstheme="minorHAnsi"/>
        </w:rPr>
      </w:pPr>
      <w:r>
        <w:rPr>
          <w:rFonts w:asciiTheme="minorHAnsi" w:hAnsiTheme="minorHAnsi" w:cstheme="minorHAnsi"/>
        </w:rPr>
        <w:t xml:space="preserve">Lise Fuhr and Jonathan Robinson </w:t>
      </w:r>
    </w:p>
    <w:p>
      <w:pPr>
        <w:pStyle w:val="BodyText"/>
        <w:rPr>
          <w:rFonts w:asciiTheme="minorHAnsi" w:hAnsiTheme="minorHAnsi" w:cstheme="minorHAnsi"/>
        </w:rPr>
      </w:pPr>
      <w:r>
        <w:rPr>
          <w:rFonts w:asciiTheme="minorHAnsi" w:hAnsiTheme="minorHAnsi" w:cstheme="minorHAnsi"/>
        </w:rPr>
        <w:t>Co-chairs, CWG-Stewardship</w:t>
      </w:r>
    </w:p>
    <w:sectPr>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593B2" w15:done="0"/>
  <w15:commentEx w15:paraId="4921CE6A" w15:done="0"/>
  <w15:commentEx w15:paraId="6F2054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3</w:t>
      </w:r>
    </w:fldSimple>
  </w:p>
  <w:p>
    <w:pPr>
      <w:pStyle w:val="Footer"/>
    </w:pPr>
    <w:fldSimple w:instr=" DOCPROPERTY &quot;DocID&quot; \* MERGEFORMAT ">
      <w:r>
        <w:rPr>
          <w:rStyle w:val="DocID"/>
        </w:rPr>
        <w:t>ACTIVE 213202714v.3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213202714v.3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rPr>
    </w:pPr>
    <w:r>
      <w:rPr>
        <w:b/>
        <w:sz w:val="20"/>
      </w:rPr>
      <w:t>Sidley Draft</w:t>
    </w:r>
  </w:p>
  <w:p>
    <w:pPr>
      <w:pStyle w:val="Header"/>
      <w:jc w:val="right"/>
      <w:rPr>
        <w:b/>
        <w:sz w:val="20"/>
      </w:rPr>
    </w:pPr>
    <w:r>
      <w:rPr>
        <w:b/>
        <w:sz w:val="20"/>
      </w:rPr>
      <w:t>February 19,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SortMethod w:val="00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Body Text" w:uiPriority="0" w:qFormat="1"/>
    <w:lsdException w:name="List Continue" w:uiPriority="0" w:qFormat="1"/>
    <w:lsdException w:name="Subtitle" w:semiHidden="0" w:uiPriority="11" w:unhideWhenUsed="0" w:qFormat="1"/>
    <w:lsdException w:name="Date" w:uiPriority="0"/>
    <w:lsdException w:name="Body Text First Indent" w:uiPriority="0" w:qFormat="1"/>
    <w:lsdException w:name="Body Text First Indent 2" w:qFormat="1"/>
    <w:lsdException w:name="Body Text 2" w:uiPriority="0" w:qFormat="1"/>
    <w:lsdException w:name="Block Text"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 w:type="paragraph" w:styleId="Revision">
    <w:name w:val="Revision"/>
    <w:hidden/>
    <w:uiPriority w:val="99"/>
    <w:semiHidden/>
    <w:pPr>
      <w:spacing w:after="0"/>
    </w:pPr>
  </w:style>
  <w:style w:type="paragraph" w:customStyle="1" w:styleId="MemoHeading">
    <w:name w:val="MemoHeading"/>
    <w:basedOn w:val="Normal"/>
    <w:semiHidden/>
    <w:pPr>
      <w:spacing w:before="240" w:after="480"/>
      <w:jc w:val="center"/>
    </w:pPr>
    <w:rPr>
      <w:rFonts w:ascii="Arial" w:eastAsia="Times New Roman" w:hAnsi="Arial" w:cs="Times New Roman"/>
      <w:b/>
      <w:caps/>
      <w:sz w:val="21"/>
      <w:szCs w:val="36"/>
      <w:u w:val="single"/>
    </w:rPr>
  </w:style>
  <w:style w:type="paragraph" w:customStyle="1" w:styleId="MemoTableData">
    <w:name w:val="MemoTableData"/>
    <w:basedOn w:val="Normal"/>
    <w:semiHidden/>
    <w:pPr>
      <w:spacing w:after="0"/>
    </w:pPr>
    <w:rPr>
      <w:rFonts w:ascii="Arial" w:eastAsia="Times New Roman" w:hAnsi="Arial" w:cs="Times New Roman"/>
      <w:sz w:val="21"/>
      <w:szCs w:val="20"/>
    </w:rPr>
  </w:style>
  <w:style w:type="paragraph" w:customStyle="1" w:styleId="ReLine">
    <w:name w:val="Re Line"/>
    <w:basedOn w:val="MemoTableData"/>
  </w:style>
  <w:style w:type="paragraph" w:customStyle="1" w:styleId="MemoTableLabel">
    <w:name w:val="MemoTableLabel"/>
    <w:basedOn w:val="Normal"/>
    <w:semiHidden/>
    <w:pPr>
      <w:spacing w:after="0"/>
    </w:pPr>
    <w:rPr>
      <w:rFonts w:ascii="Arial" w:eastAsia="Times New Roman" w:hAnsi="Arial" w:cs="Times New Roman"/>
      <w:sz w:val="21"/>
    </w:rPr>
  </w:style>
</w:styles>
</file>

<file path=word/webSettings.xml><?xml version="1.0" encoding="utf-8"?>
<w:webSettings xmlns:r="http://schemas.openxmlformats.org/officeDocument/2006/relationships" xmlns:w="http://schemas.openxmlformats.org/wordprocessingml/2006/main">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pages/viewpage.action?pageId=5872372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pages/viewpage.action?pageId=561450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munity.icann.org/download/attachments/56984613/52.%20CWG-Stewardship%20Comment.pdf?api=v2"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ommunity.icann.org/pages/viewpage.action?pageId=53779816&amp;preview=/53779816/54003507/FinalTransitionProposal_11June.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EF9161C5641C4AB816BD96CCE7C87"/>
        <w:category>
          <w:name w:val="General"/>
          <w:gallery w:val="placeholder"/>
        </w:category>
        <w:types>
          <w:type w:val="bbPlcHdr"/>
        </w:types>
        <w:behaviors>
          <w:behavior w:val="content"/>
        </w:behaviors>
        <w:guid w:val="{DDFEA9E3-CCAE-4A3A-9861-9DC68E730C5A}"/>
      </w:docPartPr>
      <w:docPartBody>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3221F-3221-423A-AED8-DC4DB8DB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7981</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2016-02-19T11:47:00Z</dcterms:created>
  <dcterms:modified xsi:type="dcterms:W3CDTF">2016-02-19T12:44:00Z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213202714v.3</vt:lpwstr>
  </property>
  <property fmtid="{D5CDD505-2E9C-101B-9397-08002B2CF9AE}" pid="3" name="_NewReviewCycle">
    <vt:lpwstr/>
  </property>
</Properties>
</file>