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987941" w14:textId="77777777" w:rsidR="001D4946" w:rsidRPr="00FF4378" w:rsidRDefault="001D4946">
      <w:pPr>
        <w:pStyle w:val="Normal1"/>
        <w:jc w:val="center"/>
      </w:pPr>
    </w:p>
    <w:p w14:paraId="4CD48943" w14:textId="2BB00EFD" w:rsidR="00FF4378" w:rsidRDefault="00EA0331" w:rsidP="00441E01">
      <w:pPr>
        <w:pStyle w:val="Normal1"/>
        <w:jc w:val="center"/>
        <w:outlineLvl w:val="0"/>
        <w:rPr>
          <w:rFonts w:eastAsia="Source Sans Pro"/>
          <w:b/>
          <w:sz w:val="24"/>
          <w:szCs w:val="24"/>
        </w:rPr>
      </w:pPr>
      <w:r w:rsidRPr="00FF4378">
        <w:rPr>
          <w:rFonts w:eastAsia="Source Sans Pro"/>
          <w:b/>
          <w:sz w:val="24"/>
          <w:szCs w:val="24"/>
        </w:rPr>
        <w:t xml:space="preserve">Report to </w:t>
      </w:r>
      <w:r w:rsidR="00FF4378">
        <w:rPr>
          <w:rFonts w:eastAsia="Source Sans Pro"/>
          <w:b/>
          <w:sz w:val="24"/>
          <w:szCs w:val="24"/>
        </w:rPr>
        <w:t xml:space="preserve">the Auction Proceeds Charter Drafting Team </w:t>
      </w:r>
      <w:r w:rsidRPr="00FF4378">
        <w:rPr>
          <w:rFonts w:eastAsia="Source Sans Pro"/>
          <w:b/>
          <w:sz w:val="24"/>
          <w:szCs w:val="24"/>
        </w:rPr>
        <w:t xml:space="preserve">on </w:t>
      </w:r>
    </w:p>
    <w:p w14:paraId="5BDC80DE" w14:textId="496110FB" w:rsidR="001D4946" w:rsidRPr="00FF4378" w:rsidRDefault="00EA0331" w:rsidP="00441E01">
      <w:pPr>
        <w:pStyle w:val="Normal1"/>
        <w:jc w:val="center"/>
        <w:outlineLvl w:val="0"/>
      </w:pPr>
      <w:r w:rsidRPr="00FF4378">
        <w:rPr>
          <w:rFonts w:eastAsia="Source Sans Pro"/>
          <w:b/>
          <w:sz w:val="24"/>
          <w:szCs w:val="24"/>
        </w:rPr>
        <w:t>Board Considerations</w:t>
      </w:r>
      <w:r w:rsidR="00EA4883" w:rsidRPr="00FF4378">
        <w:rPr>
          <w:rFonts w:eastAsia="Source Sans Pro"/>
          <w:b/>
          <w:sz w:val="24"/>
          <w:szCs w:val="24"/>
        </w:rPr>
        <w:t xml:space="preserve"> </w:t>
      </w:r>
      <w:r w:rsidR="00FF4378">
        <w:rPr>
          <w:rFonts w:eastAsia="Source Sans Pro"/>
          <w:b/>
          <w:sz w:val="24"/>
          <w:szCs w:val="24"/>
        </w:rPr>
        <w:t xml:space="preserve">on the </w:t>
      </w:r>
      <w:r w:rsidR="00EA4883" w:rsidRPr="00FF4378">
        <w:rPr>
          <w:rFonts w:eastAsia="Source Sans Pro"/>
          <w:b/>
          <w:sz w:val="24"/>
          <w:szCs w:val="24"/>
        </w:rPr>
        <w:t>Draft Charter for New gTLD Auction Proceeds</w:t>
      </w:r>
    </w:p>
    <w:p w14:paraId="35489E57" w14:textId="77777777" w:rsidR="001D4946" w:rsidRPr="00FF4378" w:rsidRDefault="001D4946">
      <w:pPr>
        <w:pStyle w:val="Normal1"/>
      </w:pPr>
    </w:p>
    <w:p w14:paraId="3DEF3357" w14:textId="2FA827A3" w:rsidR="001D4946" w:rsidRDefault="00EA4883">
      <w:pPr>
        <w:pStyle w:val="Normal1"/>
        <w:rPr>
          <w:rFonts w:eastAsia="Source Sans Pro"/>
          <w:i/>
        </w:rPr>
      </w:pPr>
      <w:r w:rsidRPr="00FF4378">
        <w:rPr>
          <w:rFonts w:eastAsia="Source Sans Pro"/>
          <w:i/>
        </w:rPr>
        <w:t>Based on the discussions at ICANN56 B</w:t>
      </w:r>
      <w:r w:rsidR="00EA0331" w:rsidRPr="00FF4378">
        <w:rPr>
          <w:rFonts w:eastAsia="Source Sans Pro"/>
          <w:i/>
        </w:rPr>
        <w:t>oard Workshop session on 24 June 2016</w:t>
      </w:r>
      <w:r w:rsidRPr="00FF4378">
        <w:rPr>
          <w:rFonts w:eastAsia="Source Sans Pro"/>
          <w:i/>
        </w:rPr>
        <w:t>, on the Draft Charter of the CCWG New gTLD Auction Proceeds, the Board developed the following inputs</w:t>
      </w:r>
      <w:r w:rsidR="00FF10B4" w:rsidRPr="00FF4378">
        <w:rPr>
          <w:rFonts w:eastAsia="Source Sans Pro"/>
          <w:i/>
        </w:rPr>
        <w:t xml:space="preserve"> for the </w:t>
      </w:r>
      <w:r w:rsidR="00FF4378">
        <w:rPr>
          <w:rFonts w:eastAsia="Source Sans Pro"/>
          <w:i/>
        </w:rPr>
        <w:t>Drafting Team (</w:t>
      </w:r>
      <w:r w:rsidR="00FF10B4" w:rsidRPr="00FF4378">
        <w:rPr>
          <w:rFonts w:eastAsia="Source Sans Pro"/>
          <w:i/>
        </w:rPr>
        <w:t>DT</w:t>
      </w:r>
      <w:r w:rsidR="00FF4378">
        <w:rPr>
          <w:rFonts w:eastAsia="Source Sans Pro"/>
          <w:i/>
        </w:rPr>
        <w:t>)</w:t>
      </w:r>
      <w:r w:rsidR="00FF10B4" w:rsidRPr="00FF4378">
        <w:rPr>
          <w:rFonts w:eastAsia="Source Sans Pro"/>
          <w:i/>
        </w:rPr>
        <w:t>.  A document proposing limited modifications to the Draft Charter to align with these inputs is also provided.</w:t>
      </w:r>
    </w:p>
    <w:p w14:paraId="1C91723D" w14:textId="77777777" w:rsidR="001D4946" w:rsidRPr="00FF4378" w:rsidRDefault="001D4946">
      <w:pPr>
        <w:pStyle w:val="Normal1"/>
      </w:pPr>
    </w:p>
    <w:p w14:paraId="12D85BA4" w14:textId="77777777" w:rsidR="001D4946" w:rsidRDefault="00EA4883" w:rsidP="00441E01">
      <w:pPr>
        <w:pStyle w:val="Normal1"/>
        <w:outlineLvl w:val="0"/>
        <w:rPr>
          <w:rFonts w:eastAsia="Source Sans Pro"/>
          <w:b/>
        </w:rPr>
      </w:pPr>
      <w:r w:rsidRPr="00FF4378">
        <w:rPr>
          <w:rFonts w:eastAsia="Source Sans Pro"/>
          <w:b/>
        </w:rPr>
        <w:t>FOR THE DRAFT CHARTER</w:t>
      </w:r>
    </w:p>
    <w:p w14:paraId="371E13FA" w14:textId="77777777" w:rsidR="0058663D" w:rsidRDefault="0058663D">
      <w:pPr>
        <w:pStyle w:val="Normal1"/>
        <w:rPr>
          <w:rFonts w:eastAsia="Source Sans Pro"/>
          <w:b/>
        </w:rPr>
      </w:pPr>
    </w:p>
    <w:p w14:paraId="6B23F4E9" w14:textId="77777777" w:rsidR="001D4946" w:rsidRPr="00FF4378" w:rsidRDefault="00EA4883" w:rsidP="00441E01">
      <w:pPr>
        <w:pStyle w:val="Normal1"/>
        <w:outlineLvl w:val="0"/>
      </w:pPr>
      <w:r w:rsidRPr="00FF4378">
        <w:rPr>
          <w:rFonts w:eastAsia="Source Sans Pro"/>
          <w:b/>
        </w:rPr>
        <w:tab/>
        <w:t>BOARD PARTICIPATION</w:t>
      </w:r>
    </w:p>
    <w:p w14:paraId="5D779224" w14:textId="35D8A399" w:rsidR="001D4946" w:rsidRPr="00FF4378" w:rsidRDefault="00EA4883">
      <w:pPr>
        <w:pStyle w:val="Normal1"/>
        <w:ind w:left="720"/>
        <w:rPr>
          <w:rFonts w:eastAsia="Source Sans Pro"/>
        </w:rPr>
      </w:pPr>
      <w:r w:rsidRPr="00FF4378">
        <w:rPr>
          <w:rFonts w:eastAsia="Source Sans Pro"/>
        </w:rPr>
        <w:t xml:space="preserve">The Board recommends </w:t>
      </w:r>
      <w:r w:rsidR="002F607C">
        <w:rPr>
          <w:rFonts w:eastAsia="Source Sans Pro"/>
        </w:rPr>
        <w:t xml:space="preserve">that </w:t>
      </w:r>
      <w:r w:rsidRPr="00FF4378">
        <w:rPr>
          <w:rFonts w:eastAsia="Source Sans Pro"/>
        </w:rPr>
        <w:t xml:space="preserve">the language relating to specific Board Committee Chairs be removed. </w:t>
      </w:r>
      <w:r w:rsidR="00A16CAA" w:rsidRPr="00FF4378">
        <w:rPr>
          <w:rFonts w:eastAsia="Source Sans Pro"/>
        </w:rPr>
        <w:t>The Board will appoint general l</w:t>
      </w:r>
      <w:r w:rsidRPr="00FF4378">
        <w:rPr>
          <w:rFonts w:eastAsia="Source Sans Pro"/>
        </w:rPr>
        <w:t>iaison(s), which may or may not be the identified Chairs, and have the prerogative to alter</w:t>
      </w:r>
      <w:r w:rsidR="00A16CAA" w:rsidRPr="00FF4378">
        <w:rPr>
          <w:rFonts w:eastAsia="Source Sans Pro"/>
        </w:rPr>
        <w:t>nate a l</w:t>
      </w:r>
      <w:r w:rsidRPr="00FF4378">
        <w:rPr>
          <w:rFonts w:eastAsia="Source Sans Pro"/>
        </w:rPr>
        <w:t xml:space="preserve">iaison where necessary.  </w:t>
      </w:r>
    </w:p>
    <w:p w14:paraId="4F2E66E3" w14:textId="77777777" w:rsidR="00EA4883" w:rsidRPr="00FF4378" w:rsidRDefault="00EA4883">
      <w:pPr>
        <w:pStyle w:val="Normal1"/>
        <w:ind w:left="720"/>
        <w:rPr>
          <w:rFonts w:eastAsia="Source Sans Pro"/>
        </w:rPr>
      </w:pPr>
    </w:p>
    <w:p w14:paraId="422DFD50" w14:textId="77777777" w:rsidR="00EA4883" w:rsidRPr="00FF4378" w:rsidRDefault="00C2670D">
      <w:pPr>
        <w:pStyle w:val="Normal1"/>
        <w:ind w:left="720"/>
      </w:pPr>
      <w:r w:rsidRPr="00FF4378">
        <w:rPr>
          <w:rFonts w:eastAsia="Source Sans Pro"/>
        </w:rPr>
        <w:t>In determining its participation on the DT, the Board identified the Chairs of the Audit Committee and Finance Committee</w:t>
      </w:r>
      <w:r w:rsidR="00A16CAA" w:rsidRPr="00FF4378">
        <w:rPr>
          <w:rFonts w:eastAsia="Source Sans Pro"/>
        </w:rPr>
        <w:t xml:space="preserve"> to serve as liaisons due to the particular issues raised at the drafting stage.</w:t>
      </w:r>
    </w:p>
    <w:p w14:paraId="795BC0A6" w14:textId="77777777" w:rsidR="001D4946" w:rsidRPr="00FF4378" w:rsidRDefault="001D4946">
      <w:pPr>
        <w:pStyle w:val="Normal1"/>
        <w:ind w:left="720"/>
      </w:pPr>
    </w:p>
    <w:p w14:paraId="4FFA914C" w14:textId="77777777" w:rsidR="00EA4883" w:rsidRPr="00FF4378" w:rsidRDefault="00EA4883" w:rsidP="00441E01">
      <w:pPr>
        <w:pStyle w:val="Normal1"/>
        <w:ind w:left="720"/>
        <w:outlineLvl w:val="0"/>
        <w:rPr>
          <w:b/>
        </w:rPr>
      </w:pPr>
      <w:r w:rsidRPr="00FF4378">
        <w:rPr>
          <w:b/>
        </w:rPr>
        <w:t>BOARD CHARTER APPROVAL</w:t>
      </w:r>
    </w:p>
    <w:p w14:paraId="5AA4E726" w14:textId="610570A1" w:rsidR="001D4946" w:rsidRPr="00FF4378" w:rsidRDefault="00EA4883">
      <w:pPr>
        <w:pStyle w:val="Normal1"/>
        <w:ind w:left="720"/>
      </w:pPr>
      <w:r w:rsidRPr="00FF4378">
        <w:rPr>
          <w:rFonts w:eastAsia="Source Sans Pro"/>
        </w:rPr>
        <w:t>Given the Board’s role in considering the CCWG recommendations, it agrees with the DT that it does not need to affirm the Charter</w:t>
      </w:r>
      <w:r w:rsidR="00FF4378">
        <w:rPr>
          <w:rFonts w:eastAsia="Source Sans Pro"/>
        </w:rPr>
        <w:t>.</w:t>
      </w:r>
    </w:p>
    <w:p w14:paraId="03449525" w14:textId="77777777" w:rsidR="001D4946" w:rsidRPr="00FF4378" w:rsidRDefault="001D4946">
      <w:pPr>
        <w:pStyle w:val="Normal1"/>
        <w:ind w:firstLine="720"/>
      </w:pPr>
    </w:p>
    <w:p w14:paraId="791A54F9" w14:textId="77777777" w:rsidR="001D4946" w:rsidRPr="00FF4378" w:rsidRDefault="00FF10B4" w:rsidP="00441E01">
      <w:pPr>
        <w:pStyle w:val="Normal1"/>
        <w:ind w:firstLine="720"/>
        <w:outlineLvl w:val="0"/>
      </w:pPr>
      <w:r w:rsidRPr="00FF4378">
        <w:rPr>
          <w:rFonts w:eastAsia="Source Sans Pro"/>
          <w:b/>
        </w:rPr>
        <w:t>DIVERSITY LANGUAGE ON ULTIMATE RECIPIENTS</w:t>
      </w:r>
      <w:r w:rsidRPr="00FF4378">
        <w:t xml:space="preserve"> </w:t>
      </w:r>
    </w:p>
    <w:p w14:paraId="023ADEEE" w14:textId="77777777" w:rsidR="00EA4883" w:rsidRPr="00FF4378" w:rsidRDefault="00EA4883">
      <w:pPr>
        <w:pStyle w:val="Normal1"/>
        <w:ind w:left="720"/>
        <w:rPr>
          <w:rFonts w:eastAsia="Source Sans Pro"/>
        </w:rPr>
      </w:pPr>
      <w:r w:rsidRPr="00FF4378">
        <w:rPr>
          <w:rFonts w:eastAsia="Source Sans Pro"/>
        </w:rPr>
        <w:t>The Board recommends that the language be removed from diversity section that touches upon diversity of the ultimate recipients of the proceeds.  This language appears to be out of scope for the Draft Charter, in that it suggests limitations for the design and recipients that should be left to the determination of the CCWG.</w:t>
      </w:r>
    </w:p>
    <w:p w14:paraId="27870E6E" w14:textId="77777777" w:rsidR="001D4946" w:rsidRPr="00FF4378" w:rsidRDefault="001D4946" w:rsidP="00FF10B4">
      <w:pPr>
        <w:pStyle w:val="Normal1"/>
      </w:pPr>
    </w:p>
    <w:p w14:paraId="03414DC3" w14:textId="61D386C7" w:rsidR="001D4946" w:rsidRPr="0083624B" w:rsidRDefault="00EA4883" w:rsidP="00441E01">
      <w:pPr>
        <w:pStyle w:val="Normal1"/>
        <w:ind w:firstLine="720"/>
        <w:outlineLvl w:val="0"/>
        <w:rPr>
          <w:color w:val="auto"/>
        </w:rPr>
      </w:pPr>
      <w:r w:rsidRPr="00FF4378">
        <w:rPr>
          <w:rFonts w:eastAsia="Source Sans Pro"/>
          <w:b/>
        </w:rPr>
        <w:t>GOVERNANCE POLICY</w:t>
      </w:r>
      <w:r w:rsidR="00FF10B4" w:rsidRPr="00FF4378">
        <w:rPr>
          <w:rFonts w:eastAsia="Source Sans Pro"/>
          <w:b/>
        </w:rPr>
        <w:t xml:space="preserve"> </w:t>
      </w:r>
      <w:r w:rsidR="00FF10B4" w:rsidRPr="0083624B">
        <w:rPr>
          <w:rFonts w:eastAsia="Source Sans Pro"/>
          <w:b/>
          <w:color w:val="auto"/>
        </w:rPr>
        <w:t>DEVELOPMENT</w:t>
      </w:r>
      <w:r w:rsidR="00FC5813" w:rsidRPr="0083624B">
        <w:rPr>
          <w:rFonts w:eastAsia="Source Sans Pro"/>
          <w:b/>
          <w:color w:val="auto"/>
        </w:rPr>
        <w:t xml:space="preserve"> AND REPORTING OF PERFORMANCE</w:t>
      </w:r>
    </w:p>
    <w:p w14:paraId="7B50D401" w14:textId="236197CB" w:rsidR="001D4946" w:rsidRPr="0083624B" w:rsidRDefault="00135C9A">
      <w:pPr>
        <w:pStyle w:val="Normal1"/>
        <w:ind w:left="720"/>
        <w:rPr>
          <w:color w:val="auto"/>
        </w:rPr>
      </w:pPr>
      <w:r w:rsidRPr="0083624B">
        <w:rPr>
          <w:rFonts w:eastAsia="Source Sans Pro"/>
          <w:color w:val="auto"/>
        </w:rPr>
        <w:t xml:space="preserve">The Board recommends to the DT that </w:t>
      </w:r>
      <w:r w:rsidR="00C2670D" w:rsidRPr="0083624B">
        <w:rPr>
          <w:rFonts w:eastAsia="Source Sans Pro"/>
          <w:color w:val="auto"/>
        </w:rPr>
        <w:t>the Charter should include specific direction to the CCWG to develop or identify</w:t>
      </w:r>
      <w:r w:rsidR="00EA4883" w:rsidRPr="0083624B">
        <w:rPr>
          <w:rFonts w:eastAsia="Source Sans Pro"/>
          <w:color w:val="auto"/>
        </w:rPr>
        <w:t xml:space="preserve"> a Governance Policy to be used to guide the distribution of the proceeds. </w:t>
      </w:r>
      <w:r w:rsidR="00FC5813" w:rsidRPr="0083624B">
        <w:rPr>
          <w:rFonts w:eastAsia="Source Sans Pro"/>
          <w:color w:val="auto"/>
        </w:rPr>
        <w:t xml:space="preserve">The Board also recommends that specific measures of success should be considered for the reporting on the use of the </w:t>
      </w:r>
      <w:r w:rsidR="00441E01">
        <w:rPr>
          <w:rFonts w:eastAsia="Source Sans Pro"/>
          <w:color w:val="auto"/>
        </w:rPr>
        <w:t>proceeds</w:t>
      </w:r>
      <w:r w:rsidR="00FC5813" w:rsidRPr="0083624B">
        <w:rPr>
          <w:rFonts w:eastAsia="Source Sans Pro"/>
          <w:color w:val="auto"/>
        </w:rPr>
        <w:t>.</w:t>
      </w:r>
    </w:p>
    <w:p w14:paraId="66E223F9" w14:textId="77777777" w:rsidR="001D4946" w:rsidRPr="00FF4378" w:rsidRDefault="001D4946">
      <w:pPr>
        <w:pStyle w:val="Normal1"/>
      </w:pPr>
    </w:p>
    <w:p w14:paraId="0C8AF0BC" w14:textId="77777777" w:rsidR="001D4946" w:rsidRPr="00FF4378" w:rsidRDefault="00FF10B4" w:rsidP="00441E01">
      <w:pPr>
        <w:pStyle w:val="Normal1"/>
        <w:ind w:firstLine="720"/>
        <w:outlineLvl w:val="0"/>
      </w:pPr>
      <w:r w:rsidRPr="00FF4378">
        <w:rPr>
          <w:rFonts w:eastAsia="Source Sans Pro"/>
          <w:b/>
        </w:rPr>
        <w:t>CONFLICT OF INTEREST</w:t>
      </w:r>
    </w:p>
    <w:p w14:paraId="494217A4" w14:textId="6B34EF64" w:rsidR="001D4946" w:rsidRDefault="00EA4883" w:rsidP="00FF10B4">
      <w:pPr>
        <w:pStyle w:val="Normal1"/>
        <w:ind w:left="720"/>
        <w:rPr>
          <w:rFonts w:eastAsia="Source Sans Pro"/>
        </w:rPr>
      </w:pPr>
      <w:r w:rsidRPr="00FF4378">
        <w:rPr>
          <w:rFonts w:eastAsia="Source Sans Pro"/>
        </w:rPr>
        <w:t xml:space="preserve">The Board reconfirms that conflict of interest concerns, and appropriate identification and management of conflicts, is paramount at all levels of the DT, CCWG and ultimate proceed distribution process.  </w:t>
      </w:r>
    </w:p>
    <w:p w14:paraId="0D5E37D4" w14:textId="77777777" w:rsidR="00F225DB" w:rsidRDefault="00F225DB" w:rsidP="00FF10B4">
      <w:pPr>
        <w:pStyle w:val="Normal1"/>
        <w:ind w:left="720"/>
        <w:rPr>
          <w:rFonts w:eastAsia="Source Sans Pro"/>
        </w:rPr>
      </w:pPr>
    </w:p>
    <w:p w14:paraId="220D3443" w14:textId="1F167234" w:rsidR="00F225DB" w:rsidRPr="00F225DB" w:rsidRDefault="00F225DB" w:rsidP="00F225DB">
      <w:pPr>
        <w:pStyle w:val="Normal1"/>
        <w:ind w:left="720"/>
      </w:pPr>
      <w:r w:rsidRPr="0083624B">
        <w:t xml:space="preserve">The Board strongly recommends that the following language be reflected in the Charter in order to adhere to high ethical standards and support arms-length transactions in the distribution of the </w:t>
      </w:r>
      <w:r w:rsidR="00441E01">
        <w:t>proceeds</w:t>
      </w:r>
      <w:r w:rsidRPr="0083624B">
        <w:t xml:space="preserve">: No member of the CCWG may be related in any way to </w:t>
      </w:r>
      <w:r w:rsidRPr="0083624B">
        <w:lastRenderedPageBreak/>
        <w:t xml:space="preserve">prospective applicants for </w:t>
      </w:r>
      <w:r w:rsidR="00441E01">
        <w:t>proceeds</w:t>
      </w:r>
      <w:r w:rsidRPr="0083624B">
        <w:t xml:space="preserve">, and the administrative mechanism for processing applications must include strong rules and enforcement of conflict of interest.  Individuals involved in the CCWG and in the subsequent administrative mechanism must execute a conflict of interest declaration documenting their existing potential involvements and agreement not to be involved in application or direction of the </w:t>
      </w:r>
      <w:bookmarkStart w:id="0" w:name="_GoBack"/>
      <w:bookmarkEnd w:id="0"/>
      <w:r w:rsidR="00441E01">
        <w:t>proceeds</w:t>
      </w:r>
      <w:r w:rsidRPr="0083624B">
        <w:t>.</w:t>
      </w:r>
    </w:p>
    <w:p w14:paraId="7DF38BDA" w14:textId="77777777" w:rsidR="001D4946" w:rsidRPr="00FF4378" w:rsidRDefault="00FF10B4" w:rsidP="00FC5813">
      <w:pPr>
        <w:pStyle w:val="Normal1"/>
        <w:ind w:left="720"/>
      </w:pPr>
      <w:r w:rsidRPr="00FF4378">
        <w:rPr>
          <w:rFonts w:eastAsia="Source Sans Pro"/>
          <w:b/>
        </w:rPr>
        <w:br/>
        <w:t xml:space="preserve">GUIDING </w:t>
      </w:r>
      <w:r w:rsidR="00EA4883" w:rsidRPr="00FF4378">
        <w:rPr>
          <w:rFonts w:eastAsia="Source Sans Pro"/>
          <w:b/>
        </w:rPr>
        <w:t>PRINCIPLES</w:t>
      </w:r>
    </w:p>
    <w:p w14:paraId="03491FC3" w14:textId="77777777" w:rsidR="001D4946" w:rsidRPr="00FF4378" w:rsidRDefault="00EA4883">
      <w:pPr>
        <w:pStyle w:val="Normal1"/>
        <w:ind w:left="720"/>
      </w:pPr>
      <w:r w:rsidRPr="00FF4378">
        <w:rPr>
          <w:rFonts w:eastAsia="Source Sans Pro"/>
        </w:rPr>
        <w:t xml:space="preserve">The Board recommends that the DT add a </w:t>
      </w:r>
      <w:r w:rsidR="00FF10B4" w:rsidRPr="00FF4378">
        <w:rPr>
          <w:rFonts w:eastAsia="Source Sans Pro"/>
        </w:rPr>
        <w:t xml:space="preserve">new </w:t>
      </w:r>
      <w:r w:rsidRPr="00FF4378">
        <w:rPr>
          <w:rFonts w:eastAsia="Source Sans Pro"/>
        </w:rPr>
        <w:t>guiding principle that the recommendations should be designed in a manner to support ICANN’s nonprofit status and financial and operational stability.  This primary guiding principle is implicitly stated through the limitations and considerations identified in the Charter, but an explicit statement of this key tenet is important.</w:t>
      </w:r>
    </w:p>
    <w:p w14:paraId="27542F2B" w14:textId="77777777" w:rsidR="001D4946" w:rsidRPr="00FF4378" w:rsidRDefault="001D4946">
      <w:pPr>
        <w:pStyle w:val="Normal1"/>
        <w:ind w:left="720"/>
      </w:pPr>
    </w:p>
    <w:p w14:paraId="63BEC3B1" w14:textId="7657C798" w:rsidR="001D4946" w:rsidRPr="00FF4378" w:rsidRDefault="00E0694C" w:rsidP="00441E01">
      <w:pPr>
        <w:pStyle w:val="Normal1"/>
        <w:ind w:left="720"/>
        <w:outlineLvl w:val="0"/>
      </w:pPr>
      <w:r w:rsidRPr="00FF4378">
        <w:rPr>
          <w:rFonts w:eastAsia="Source Sans Pro"/>
          <w:b/>
        </w:rPr>
        <w:t>ADHERENCE TO MISSION</w:t>
      </w:r>
    </w:p>
    <w:p w14:paraId="28664813" w14:textId="38B31B94" w:rsidR="001D4946" w:rsidRDefault="00EA4883">
      <w:pPr>
        <w:pStyle w:val="Normal1"/>
        <w:ind w:left="720"/>
        <w:rPr>
          <w:rFonts w:eastAsia="Source Sans Pro"/>
        </w:rPr>
      </w:pPr>
      <w:r w:rsidRPr="00FF4378">
        <w:rPr>
          <w:rFonts w:eastAsia="Source Sans Pro"/>
        </w:rPr>
        <w:t>The Board confirms that</w:t>
      </w:r>
      <w:r w:rsidR="0091232B" w:rsidRPr="00FF4378">
        <w:rPr>
          <w:rFonts w:eastAsia="Source Sans Pro"/>
        </w:rPr>
        <w:t xml:space="preserve"> the auction proceeds shall</w:t>
      </w:r>
      <w:r w:rsidRPr="00FF4378">
        <w:rPr>
          <w:rFonts w:eastAsia="Source Sans Pro"/>
        </w:rPr>
        <w:t xml:space="preserve"> be used consistently with ICANN’s mission.  It will be important that any proposed uses for the proceeds be tested against ICANN’s mission.</w:t>
      </w:r>
    </w:p>
    <w:p w14:paraId="2FBD9510" w14:textId="77777777" w:rsidR="007E32F4" w:rsidRDefault="007E32F4">
      <w:pPr>
        <w:pStyle w:val="Normal1"/>
        <w:ind w:left="720"/>
        <w:rPr>
          <w:rFonts w:eastAsia="Source Sans Pro"/>
        </w:rPr>
      </w:pPr>
    </w:p>
    <w:p w14:paraId="46148960" w14:textId="77777777" w:rsidR="00404203" w:rsidRDefault="00404203" w:rsidP="00707A33">
      <w:pPr>
        <w:pStyle w:val="Normal1"/>
      </w:pPr>
    </w:p>
    <w:p w14:paraId="469213D0" w14:textId="77777777" w:rsidR="00C436BB" w:rsidRDefault="00C436BB" w:rsidP="00707A33">
      <w:pPr>
        <w:pStyle w:val="Normal1"/>
      </w:pPr>
    </w:p>
    <w:p w14:paraId="235F59E8" w14:textId="77777777" w:rsidR="00C436BB" w:rsidRPr="00FF4378" w:rsidRDefault="00C436BB" w:rsidP="00707A33">
      <w:pPr>
        <w:pStyle w:val="Normal1"/>
      </w:pPr>
    </w:p>
    <w:p w14:paraId="3E5D9070" w14:textId="4919A9EF" w:rsidR="001B40E4" w:rsidRPr="00FF4378" w:rsidRDefault="001B40E4" w:rsidP="00C436BB">
      <w:pPr>
        <w:pStyle w:val="Normal1"/>
        <w:ind w:left="720"/>
      </w:pPr>
    </w:p>
    <w:sectPr w:rsidR="001B40E4" w:rsidRPr="00FF4378">
      <w:footerReference w:type="default" r:id="rId6"/>
      <w:foot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9C314" w14:textId="77777777" w:rsidR="00B55466" w:rsidRDefault="00B55466">
      <w:pPr>
        <w:spacing w:line="240" w:lineRule="auto"/>
      </w:pPr>
      <w:r>
        <w:separator/>
      </w:r>
    </w:p>
  </w:endnote>
  <w:endnote w:type="continuationSeparator" w:id="0">
    <w:p w14:paraId="453D406F" w14:textId="77777777" w:rsidR="00B55466" w:rsidRDefault="00B55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2C48" w14:textId="77777777" w:rsidR="00FC5813" w:rsidRDefault="00FC5813">
    <w:pPr>
      <w:pStyle w:val="Normal1"/>
      <w:jc w:val="right"/>
    </w:pPr>
    <w:r>
      <w:fldChar w:fldCharType="begin"/>
    </w:r>
    <w:r>
      <w:instrText>PAGE</w:instrText>
    </w:r>
    <w:r>
      <w:fldChar w:fldCharType="separate"/>
    </w:r>
    <w:r w:rsidR="00441E01">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6F9FB" w14:textId="77777777" w:rsidR="00FC5813" w:rsidRDefault="00FC5813">
    <w:pPr>
      <w:pStyle w:val="Normal1"/>
      <w:jc w:val="right"/>
    </w:pPr>
    <w:r>
      <w:fldChar w:fldCharType="begin"/>
    </w:r>
    <w:r>
      <w:instrText>PAGE</w:instrText>
    </w:r>
    <w:r>
      <w:fldChar w:fldCharType="separate"/>
    </w:r>
    <w:r w:rsidR="00441E0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71CED" w14:textId="77777777" w:rsidR="00B55466" w:rsidRDefault="00B55466">
      <w:pPr>
        <w:spacing w:line="240" w:lineRule="auto"/>
      </w:pPr>
      <w:r>
        <w:separator/>
      </w:r>
    </w:p>
  </w:footnote>
  <w:footnote w:type="continuationSeparator" w:id="0">
    <w:p w14:paraId="0F757D32" w14:textId="77777777" w:rsidR="00B55466" w:rsidRDefault="00B554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4946"/>
    <w:rsid w:val="00135C9A"/>
    <w:rsid w:val="001A1223"/>
    <w:rsid w:val="001B40E4"/>
    <w:rsid w:val="001D4946"/>
    <w:rsid w:val="002F607C"/>
    <w:rsid w:val="00404203"/>
    <w:rsid w:val="00441E01"/>
    <w:rsid w:val="00466872"/>
    <w:rsid w:val="0058663D"/>
    <w:rsid w:val="00707A33"/>
    <w:rsid w:val="00723DD7"/>
    <w:rsid w:val="007E32F4"/>
    <w:rsid w:val="0083624B"/>
    <w:rsid w:val="0091232B"/>
    <w:rsid w:val="00A16CAA"/>
    <w:rsid w:val="00A4216F"/>
    <w:rsid w:val="00B55466"/>
    <w:rsid w:val="00BB2220"/>
    <w:rsid w:val="00C2670D"/>
    <w:rsid w:val="00C373B6"/>
    <w:rsid w:val="00C436BB"/>
    <w:rsid w:val="00E0694C"/>
    <w:rsid w:val="00EA0331"/>
    <w:rsid w:val="00EA4883"/>
    <w:rsid w:val="00F225DB"/>
    <w:rsid w:val="00FC5813"/>
    <w:rsid w:val="00FF10B4"/>
    <w:rsid w:val="00FF437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75D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F43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3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6872"/>
    <w:rPr>
      <w:sz w:val="18"/>
      <w:szCs w:val="18"/>
    </w:rPr>
  </w:style>
  <w:style w:type="paragraph" w:styleId="CommentText">
    <w:name w:val="annotation text"/>
    <w:basedOn w:val="Normal"/>
    <w:link w:val="CommentTextChar"/>
    <w:uiPriority w:val="99"/>
    <w:semiHidden/>
    <w:unhideWhenUsed/>
    <w:rsid w:val="00466872"/>
    <w:pPr>
      <w:spacing w:line="240" w:lineRule="auto"/>
    </w:pPr>
    <w:rPr>
      <w:sz w:val="24"/>
      <w:szCs w:val="24"/>
    </w:rPr>
  </w:style>
  <w:style w:type="character" w:customStyle="1" w:styleId="CommentTextChar">
    <w:name w:val="Comment Text Char"/>
    <w:basedOn w:val="DefaultParagraphFont"/>
    <w:link w:val="CommentText"/>
    <w:uiPriority w:val="99"/>
    <w:semiHidden/>
    <w:rsid w:val="00466872"/>
    <w:rPr>
      <w:sz w:val="24"/>
      <w:szCs w:val="24"/>
    </w:rPr>
  </w:style>
  <w:style w:type="paragraph" w:styleId="CommentSubject">
    <w:name w:val="annotation subject"/>
    <w:basedOn w:val="CommentText"/>
    <w:next w:val="CommentText"/>
    <w:link w:val="CommentSubjectChar"/>
    <w:uiPriority w:val="99"/>
    <w:semiHidden/>
    <w:unhideWhenUsed/>
    <w:rsid w:val="00466872"/>
    <w:rPr>
      <w:b/>
      <w:bCs/>
      <w:sz w:val="20"/>
      <w:szCs w:val="20"/>
    </w:rPr>
  </w:style>
  <w:style w:type="character" w:customStyle="1" w:styleId="CommentSubjectChar">
    <w:name w:val="Comment Subject Char"/>
    <w:basedOn w:val="CommentTextChar"/>
    <w:link w:val="CommentSubject"/>
    <w:uiPriority w:val="99"/>
    <w:semiHidden/>
    <w:rsid w:val="00466872"/>
    <w:rPr>
      <w:b/>
      <w:bCs/>
      <w:sz w:val="20"/>
      <w:szCs w:val="20"/>
    </w:rPr>
  </w:style>
  <w:style w:type="paragraph" w:styleId="DocumentMap">
    <w:name w:val="Document Map"/>
    <w:basedOn w:val="Normal"/>
    <w:link w:val="DocumentMapChar"/>
    <w:uiPriority w:val="99"/>
    <w:semiHidden/>
    <w:unhideWhenUsed/>
    <w:rsid w:val="00441E0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41E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2901</Characters>
  <Application>Microsoft Macintosh Word</Application>
  <DocSecurity>0</DocSecurity>
  <Lines>61</Lines>
  <Paragraphs>31</Paragraphs>
  <ScaleCrop>false</ScaleCrop>
  <Company>ICANN</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2016-06-26T08:47:00Z</dcterms:created>
  <dcterms:modified xsi:type="dcterms:W3CDTF">2016-06-26T08:51:00Z</dcterms:modified>
</cp:coreProperties>
</file>