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6B0B" w:rsidRDefault="00BA0DDB">
      <w:pPr>
        <w:pStyle w:val="Normal1"/>
        <w:spacing w:before="100" w:after="10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SERVICE LEVEL EXPECTATIONS FOR IANA ROOT ZONE MANAGEMENT </w:t>
      </w:r>
    </w:p>
    <w:p w:rsidR="00716B0B" w:rsidRDefault="00BA0DDB">
      <w:pPr>
        <w:pStyle w:val="Normal1"/>
        <w:spacing w:before="100" w:after="100"/>
        <w:jc w:val="center"/>
      </w:pPr>
      <w:proofErr w:type="gramStart"/>
      <w:r>
        <w:rPr>
          <w:rFonts w:ascii="Times New Roman" w:eastAsia="Times New Roman" w:hAnsi="Times New Roman" w:cs="Times New Roman"/>
          <w:b/>
          <w:sz w:val="28"/>
        </w:rPr>
        <w:t>Current and Post Transition.</w:t>
      </w:r>
      <w:proofErr w:type="gramEnd"/>
    </w:p>
    <w:p w:rsidR="00716B0B" w:rsidRDefault="00716B0B">
      <w:pPr>
        <w:pStyle w:val="Normal1"/>
        <w:spacing w:before="100" w:after="100"/>
      </w:pPr>
    </w:p>
    <w:p w:rsidR="00716B0B" w:rsidRDefault="00716B0B">
      <w:pPr>
        <w:pStyle w:val="Normal1"/>
        <w:spacing w:before="100" w:after="100"/>
      </w:pPr>
    </w:p>
    <w:p w:rsidR="00716B0B" w:rsidRDefault="00716B0B">
      <w:pPr>
        <w:pStyle w:val="Normal1"/>
        <w:spacing w:before="100" w:after="100"/>
      </w:pPr>
    </w:p>
    <w:p w:rsidR="00716B0B" w:rsidRDefault="003632E7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b/>
          <w:sz w:val="28"/>
        </w:rPr>
        <w:t>Work in Progress:</w:t>
      </w:r>
    </w:p>
    <w:p w:rsidR="00716B0B" w:rsidRDefault="00716B0B">
      <w:pPr>
        <w:pStyle w:val="Normal1"/>
        <w:spacing w:before="100" w:after="100"/>
      </w:pPr>
    </w:p>
    <w:p w:rsidR="00716B0B" w:rsidRDefault="00BA0DDB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sz w:val="24"/>
        </w:rPr>
        <w:t xml:space="preserve">The Service Level Expectation (SLE) Design Team group is comprised of 3 </w:t>
      </w:r>
      <w:proofErr w:type="spellStart"/>
      <w:r>
        <w:rPr>
          <w:rFonts w:ascii="Times New Roman" w:eastAsia="Times New Roman" w:hAnsi="Times New Roman" w:cs="Times New Roman"/>
          <w:sz w:val="24"/>
        </w:rPr>
        <w:t>gTLD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Registry representatives and 3 </w:t>
      </w:r>
      <w:proofErr w:type="spellStart"/>
      <w:r>
        <w:rPr>
          <w:rFonts w:ascii="Times New Roman" w:eastAsia="Times New Roman" w:hAnsi="Times New Roman" w:cs="Times New Roman"/>
          <w:sz w:val="24"/>
        </w:rPr>
        <w:t>ccTLD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Representatives.  We have been in contact with both ICANN and also IANA staff and they have been helpful where permitted.</w:t>
      </w:r>
    </w:p>
    <w:p w:rsidR="00716B0B" w:rsidRDefault="00716B0B">
      <w:pPr>
        <w:pStyle w:val="Normal1"/>
        <w:spacing w:before="100" w:after="100"/>
      </w:pPr>
    </w:p>
    <w:p w:rsidR="00716B0B" w:rsidRDefault="00BA0DDB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The Design Team was asked review the current IANA functions operations, to record</w:t>
      </w:r>
      <w:r w:rsidR="00173960">
        <w:rPr>
          <w:rFonts w:ascii="Times New Roman" w:eastAsia="Times New Roman" w:hAnsi="Times New Roman" w:cs="Times New Roman"/>
          <w:sz w:val="24"/>
        </w:rPr>
        <w:t xml:space="preserve"> the status-quo in terms of current performance, high-light </w:t>
      </w:r>
      <w:r>
        <w:rPr>
          <w:rFonts w:ascii="Times New Roman" w:eastAsia="Times New Roman" w:hAnsi="Times New Roman" w:cs="Times New Roman"/>
          <w:sz w:val="24"/>
        </w:rPr>
        <w:t xml:space="preserve">where IANA is performing well and any gaps and issues that it considered in </w:t>
      </w:r>
      <w:r w:rsidR="00173960">
        <w:rPr>
          <w:rFonts w:ascii="Times New Roman" w:eastAsia="Times New Roman" w:hAnsi="Times New Roman" w:cs="Times New Roman"/>
          <w:sz w:val="24"/>
        </w:rPr>
        <w:t>need of further clarification</w:t>
      </w:r>
      <w:r w:rsidR="008155E3">
        <w:rPr>
          <w:rFonts w:ascii="Times New Roman" w:eastAsia="Times New Roman" w:hAnsi="Times New Roman" w:cs="Times New Roman"/>
          <w:sz w:val="24"/>
        </w:rPr>
        <w:t xml:space="preserve"> pre-transition</w:t>
      </w:r>
      <w:r w:rsidR="00560139">
        <w:rPr>
          <w:rFonts w:ascii="Times New Roman" w:eastAsia="Times New Roman" w:hAnsi="Times New Roman" w:cs="Times New Roman"/>
          <w:sz w:val="24"/>
        </w:rPr>
        <w:t xml:space="preserve"> from NTIA’s oversight</w:t>
      </w:r>
      <w:r w:rsidR="00173960">
        <w:rPr>
          <w:rFonts w:ascii="Times New Roman" w:eastAsia="Times New Roman" w:hAnsi="Times New Roman" w:cs="Times New Roman"/>
          <w:sz w:val="24"/>
        </w:rPr>
        <w:t>.</w:t>
      </w:r>
    </w:p>
    <w:p w:rsidR="00716B0B" w:rsidRDefault="00716B0B">
      <w:pPr>
        <w:pStyle w:val="Normal1"/>
        <w:spacing w:before="100" w:after="100"/>
      </w:pPr>
    </w:p>
    <w:p w:rsidR="00173960" w:rsidRDefault="00173960">
      <w:pPr>
        <w:pStyle w:val="Normal1"/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IANA </w:t>
      </w:r>
      <w:proofErr w:type="gramStart"/>
      <w:r>
        <w:rPr>
          <w:rFonts w:ascii="Times New Roman" w:eastAsia="Times New Roman" w:hAnsi="Times New Roman" w:cs="Times New Roman"/>
          <w:sz w:val="24"/>
        </w:rPr>
        <w:t>staff are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compiling a set of documents that describe the current work flow processes undertaken for IANA Root Zone Management, these documents will be made available once the </w:t>
      </w:r>
      <w:r w:rsidR="00560139">
        <w:rPr>
          <w:rFonts w:ascii="Times New Roman" w:eastAsia="Times New Roman" w:hAnsi="Times New Roman" w:cs="Times New Roman"/>
          <w:sz w:val="24"/>
        </w:rPr>
        <w:t>compilation</w:t>
      </w:r>
      <w:r>
        <w:rPr>
          <w:rFonts w:ascii="Times New Roman" w:eastAsia="Times New Roman" w:hAnsi="Times New Roman" w:cs="Times New Roman"/>
          <w:sz w:val="24"/>
        </w:rPr>
        <w:t xml:space="preserve"> is complete and ICANN legal department gives consent for them to be released.</w:t>
      </w:r>
    </w:p>
    <w:p w:rsidR="00173960" w:rsidRDefault="00173960">
      <w:pPr>
        <w:pStyle w:val="Normal1"/>
        <w:spacing w:before="100" w:after="100"/>
        <w:rPr>
          <w:rFonts w:ascii="Times New Roman" w:eastAsia="Times New Roman" w:hAnsi="Times New Roman" w:cs="Times New Roman"/>
          <w:sz w:val="24"/>
        </w:rPr>
      </w:pPr>
    </w:p>
    <w:p w:rsidR="00716B0B" w:rsidRDefault="00BA0DDB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sz w:val="24"/>
        </w:rPr>
        <w:t xml:space="preserve">In the interim period, the SLE Group </w:t>
      </w:r>
      <w:r w:rsidR="00173960">
        <w:rPr>
          <w:rFonts w:ascii="Times New Roman" w:eastAsia="Times New Roman" w:hAnsi="Times New Roman" w:cs="Times New Roman"/>
          <w:sz w:val="24"/>
        </w:rPr>
        <w:t xml:space="preserve">has </w:t>
      </w:r>
      <w:r>
        <w:rPr>
          <w:rFonts w:ascii="Times New Roman" w:eastAsia="Times New Roman" w:hAnsi="Times New Roman" w:cs="Times New Roman"/>
          <w:sz w:val="24"/>
        </w:rPr>
        <w:t>conducted historic</w:t>
      </w:r>
      <w:r w:rsidR="00173960">
        <w:rPr>
          <w:rFonts w:ascii="Times New Roman" w:eastAsia="Times New Roman" w:hAnsi="Times New Roman" w:cs="Times New Roman"/>
          <w:sz w:val="24"/>
        </w:rPr>
        <w:t xml:space="preserve">al analysis using </w:t>
      </w:r>
      <w:r w:rsidR="007250E3">
        <w:rPr>
          <w:rFonts w:ascii="Times New Roman" w:eastAsia="Times New Roman" w:hAnsi="Times New Roman" w:cs="Times New Roman"/>
          <w:sz w:val="24"/>
        </w:rPr>
        <w:t>real-</w:t>
      </w:r>
      <w:r w:rsidR="00173960">
        <w:rPr>
          <w:rFonts w:ascii="Times New Roman" w:eastAsia="Times New Roman" w:hAnsi="Times New Roman" w:cs="Times New Roman"/>
          <w:sz w:val="24"/>
        </w:rPr>
        <w:t>world activity from published IANA P</w:t>
      </w:r>
      <w:r>
        <w:rPr>
          <w:rFonts w:ascii="Times New Roman" w:eastAsia="Times New Roman" w:hAnsi="Times New Roman" w:cs="Times New Roman"/>
          <w:sz w:val="24"/>
        </w:rPr>
        <w:t xml:space="preserve">erformance Reports and transaction logs provided by </w:t>
      </w:r>
      <w:proofErr w:type="spellStart"/>
      <w:r>
        <w:rPr>
          <w:rFonts w:ascii="Times New Roman" w:eastAsia="Times New Roman" w:hAnsi="Times New Roman" w:cs="Times New Roman"/>
          <w:sz w:val="24"/>
        </w:rPr>
        <w:t>ccTLD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Registries interacting with the IANA.</w:t>
      </w:r>
    </w:p>
    <w:p w:rsidR="00716B0B" w:rsidRDefault="00716B0B">
      <w:pPr>
        <w:pStyle w:val="Normal1"/>
        <w:spacing w:before="100" w:after="0"/>
      </w:pPr>
    </w:p>
    <w:p w:rsidR="00716B0B" w:rsidRDefault="00BA0DDB">
      <w:pPr>
        <w:pStyle w:val="Normal1"/>
        <w:spacing w:before="100" w:after="100"/>
      </w:pPr>
      <w:r>
        <w:rPr>
          <w:rFonts w:ascii="Times New Roman" w:eastAsia="Times New Roman" w:hAnsi="Times New Roman" w:cs="Times New Roman"/>
          <w:sz w:val="24"/>
        </w:rPr>
        <w:t>The historical analysis determine</w:t>
      </w:r>
      <w:r w:rsidR="007250E3">
        <w:rPr>
          <w:rFonts w:ascii="Times New Roman" w:eastAsia="Times New Roman" w:hAnsi="Times New Roman" w:cs="Times New Roman"/>
          <w:sz w:val="24"/>
        </w:rPr>
        <w:t>d the</w:t>
      </w:r>
      <w:r>
        <w:rPr>
          <w:rFonts w:ascii="Times New Roman" w:eastAsia="Times New Roman" w:hAnsi="Times New Roman" w:cs="Times New Roman"/>
          <w:sz w:val="24"/>
        </w:rPr>
        <w:t xml:space="preserve"> actual transaction times </w:t>
      </w:r>
      <w:r w:rsidR="007250E3">
        <w:rPr>
          <w:rFonts w:ascii="Times New Roman" w:eastAsia="Times New Roman" w:hAnsi="Times New Roman" w:cs="Times New Roman"/>
          <w:sz w:val="24"/>
        </w:rPr>
        <w:t xml:space="preserve">enabled </w:t>
      </w:r>
      <w:r w:rsidR="007E2B08">
        <w:rPr>
          <w:rFonts w:ascii="Times New Roman" w:eastAsia="Times New Roman" w:hAnsi="Times New Roman" w:cs="Times New Roman"/>
          <w:sz w:val="24"/>
        </w:rPr>
        <w:t xml:space="preserve">the Design Team </w:t>
      </w:r>
      <w:r w:rsidR="007250E3">
        <w:rPr>
          <w:rFonts w:ascii="Times New Roman" w:eastAsia="Times New Roman" w:hAnsi="Times New Roman" w:cs="Times New Roman"/>
          <w:sz w:val="24"/>
        </w:rPr>
        <w:t xml:space="preserve">to </w:t>
      </w:r>
      <w:proofErr w:type="spellStart"/>
      <w:r w:rsidR="007250E3">
        <w:rPr>
          <w:rFonts w:ascii="Times New Roman" w:eastAsia="Times New Roman" w:hAnsi="Times New Roman" w:cs="Times New Roman"/>
          <w:sz w:val="24"/>
        </w:rPr>
        <w:t>analyse</w:t>
      </w:r>
      <w:proofErr w:type="spellEnd"/>
      <w:r w:rsidR="007250E3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data from September 2013 to January 2015 which provided approximately 565 total data points – only 27 transactions took longer than 9 days and 13 took longer than 12 days.  It should also be highlighted that some/much of the delay is as a result of the Registry not responding to IANA to </w:t>
      </w:r>
      <w:proofErr w:type="spellStart"/>
      <w:r>
        <w:rPr>
          <w:rFonts w:ascii="Times New Roman" w:eastAsia="Times New Roman" w:hAnsi="Times New Roman" w:cs="Times New Roman"/>
          <w:sz w:val="24"/>
        </w:rPr>
        <w:t>authorise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the change request – so the delay is not necessarily within IANA's control.  4 </w:t>
      </w:r>
      <w:r w:rsidR="00210A1B">
        <w:rPr>
          <w:rFonts w:ascii="Times New Roman" w:eastAsia="Times New Roman" w:hAnsi="Times New Roman" w:cs="Times New Roman"/>
          <w:sz w:val="24"/>
        </w:rPr>
        <w:t>transactions</w:t>
      </w:r>
      <w:r>
        <w:rPr>
          <w:rFonts w:ascii="Times New Roman" w:eastAsia="Times New Roman" w:hAnsi="Times New Roman" w:cs="Times New Roman"/>
          <w:sz w:val="24"/>
        </w:rPr>
        <w:t xml:space="preserve"> took longer than 1 year and that is not necessarily a bad thing if the stability of the DNS is assured.</w:t>
      </w:r>
    </w:p>
    <w:p w:rsidR="00716B0B" w:rsidRDefault="00716B0B">
      <w:pPr>
        <w:pStyle w:val="Normal1"/>
        <w:spacing w:after="0"/>
      </w:pPr>
    </w:p>
    <w:p w:rsidR="003632E7" w:rsidRDefault="00173960">
      <w:pPr>
        <w:pStyle w:val="Normal1"/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All parties have endorsed the approach taken by the Service</w:t>
      </w:r>
      <w:r w:rsidR="007250E3">
        <w:rPr>
          <w:rFonts w:ascii="Times New Roman" w:eastAsia="Times New Roman" w:hAnsi="Times New Roman" w:cs="Times New Roman"/>
          <w:sz w:val="24"/>
        </w:rPr>
        <w:t xml:space="preserve"> Level Expectation Design Team </w:t>
      </w:r>
      <w:r>
        <w:rPr>
          <w:rFonts w:ascii="Times New Roman" w:eastAsia="Times New Roman" w:hAnsi="Times New Roman" w:cs="Times New Roman"/>
          <w:sz w:val="24"/>
        </w:rPr>
        <w:t xml:space="preserve">(which shows relatively efficient IANA service), </w:t>
      </w:r>
      <w:r w:rsidR="007250E3">
        <w:rPr>
          <w:rFonts w:ascii="Times New Roman" w:eastAsia="Times New Roman" w:hAnsi="Times New Roman" w:cs="Times New Roman"/>
          <w:sz w:val="24"/>
        </w:rPr>
        <w:t xml:space="preserve">and also </w:t>
      </w:r>
      <w:r w:rsidR="0014604F">
        <w:rPr>
          <w:rFonts w:ascii="Times New Roman" w:eastAsia="Times New Roman" w:hAnsi="Times New Roman" w:cs="Times New Roman"/>
          <w:sz w:val="24"/>
        </w:rPr>
        <w:t xml:space="preserve">clearly identify </w:t>
      </w:r>
      <w:r>
        <w:rPr>
          <w:rFonts w:ascii="Times New Roman" w:eastAsia="Times New Roman" w:hAnsi="Times New Roman" w:cs="Times New Roman"/>
          <w:sz w:val="24"/>
        </w:rPr>
        <w:t>there are gaps in the prepared documentation, specifically that some Registry Managers prefe</w:t>
      </w:r>
      <w:r w:rsidR="007250E3">
        <w:rPr>
          <w:rFonts w:ascii="Times New Roman" w:eastAsia="Times New Roman" w:hAnsi="Times New Roman" w:cs="Times New Roman"/>
          <w:sz w:val="24"/>
        </w:rPr>
        <w:t>r</w:t>
      </w:r>
      <w:r>
        <w:rPr>
          <w:rFonts w:ascii="Times New Roman" w:eastAsia="Times New Roman" w:hAnsi="Times New Roman" w:cs="Times New Roman"/>
          <w:sz w:val="24"/>
        </w:rPr>
        <w:t xml:space="preserve"> to interact </w:t>
      </w:r>
      <w:r w:rsidR="007250E3">
        <w:rPr>
          <w:rFonts w:ascii="Times New Roman" w:eastAsia="Times New Roman" w:hAnsi="Times New Roman" w:cs="Times New Roman"/>
          <w:sz w:val="24"/>
        </w:rPr>
        <w:t xml:space="preserve">with IANA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via formal documentation sent by facsimile and some via phone calls.  As little is known about these two latter categories, IANA staff are </w:t>
      </w:r>
      <w:r w:rsidR="0014604F">
        <w:rPr>
          <w:rFonts w:ascii="Times New Roman" w:eastAsia="Times New Roman" w:hAnsi="Times New Roman" w:cs="Times New Roman"/>
          <w:sz w:val="24"/>
        </w:rPr>
        <w:t xml:space="preserve">kindly </w:t>
      </w:r>
      <w:r>
        <w:rPr>
          <w:rFonts w:ascii="Times New Roman" w:eastAsia="Times New Roman" w:hAnsi="Times New Roman" w:cs="Times New Roman"/>
          <w:sz w:val="24"/>
        </w:rPr>
        <w:t>preparing a complete set of current work-flow methods to assist the Service Level Expectation Design Team undertake th</w:t>
      </w:r>
      <w:r w:rsidR="003632E7">
        <w:rPr>
          <w:rFonts w:ascii="Times New Roman" w:eastAsia="Times New Roman" w:hAnsi="Times New Roman" w:cs="Times New Roman"/>
          <w:sz w:val="24"/>
        </w:rPr>
        <w:t xml:space="preserve">eir work.  </w:t>
      </w:r>
    </w:p>
    <w:p w:rsidR="0014604F" w:rsidRDefault="0014604F">
      <w:pPr>
        <w:pStyle w:val="Normal1"/>
        <w:spacing w:before="100" w:after="100"/>
        <w:rPr>
          <w:rFonts w:ascii="Times New Roman" w:eastAsia="Times New Roman" w:hAnsi="Times New Roman" w:cs="Times New Roman"/>
          <w:sz w:val="24"/>
        </w:rPr>
      </w:pPr>
    </w:p>
    <w:p w:rsidR="0014604F" w:rsidRDefault="0014604F">
      <w:pPr>
        <w:pStyle w:val="Normal1"/>
        <w:spacing w:before="100" w:after="10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We anticipate having the Service Level Expectation documentation for the post-transition environment completed one month following receipt of the additional IANA documentation.</w:t>
      </w:r>
    </w:p>
    <w:sectPr w:rsidR="0014604F" w:rsidSect="0014604F">
      <w:pgSz w:w="11906" w:h="16838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2BD"/>
    <w:multiLevelType w:val="multilevel"/>
    <w:tmpl w:val="24343EB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6120"/>
      </w:pPr>
      <w:rPr>
        <w:vertAlign w:val="baseline"/>
      </w:rPr>
    </w:lvl>
  </w:abstractNum>
  <w:abstractNum w:abstractNumId="1">
    <w:nsid w:val="2ACF71FA"/>
    <w:multiLevelType w:val="multilevel"/>
    <w:tmpl w:val="C74C3DCC"/>
    <w:lvl w:ilvl="0">
      <w:start w:val="1"/>
      <w:numFmt w:val="upperLetter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2.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2.%3.%4.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2.%3.%4.%5.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2.%3.%4.%5.%6.%7.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2.%3.%4.%5.%6.%7.%8.%9."/>
      <w:lvlJc w:val="right"/>
      <w:pPr>
        <w:ind w:left="6120" w:firstLine="5940"/>
      </w:pPr>
      <w:rPr>
        <w:vertAlign w:val="baseline"/>
      </w:rPr>
    </w:lvl>
  </w:abstractNum>
  <w:abstractNum w:abstractNumId="2">
    <w:nsid w:val="41C734C7"/>
    <w:multiLevelType w:val="multilevel"/>
    <w:tmpl w:val="CF0EE246"/>
    <w:lvl w:ilvl="0">
      <w:start w:val="1"/>
      <w:numFmt w:val="bullet"/>
      <w:lvlText w:val="●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abstractNum w:abstractNumId="3">
    <w:nsid w:val="71A648CC"/>
    <w:multiLevelType w:val="multilevel"/>
    <w:tmpl w:val="D6028E6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vertAlign w:val="baseline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vertAlign w:val="baseline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vertAlign w:val="baseline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vertAlign w:val="baseline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vertAlign w:val="baseline"/>
      </w:rPr>
    </w:lvl>
  </w:abstractNum>
  <w:abstractNum w:abstractNumId="4">
    <w:nsid w:val="766725AD"/>
    <w:multiLevelType w:val="multilevel"/>
    <w:tmpl w:val="28B29B44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6120"/>
      </w:pPr>
      <w:rPr>
        <w:vertAlign w:val="baseline"/>
      </w:rPr>
    </w:lvl>
  </w:abstractNum>
  <w:abstractNum w:abstractNumId="5">
    <w:nsid w:val="7774683A"/>
    <w:multiLevelType w:val="multilevel"/>
    <w:tmpl w:val="A58C8050"/>
    <w:lvl w:ilvl="0">
      <w:start w:val="1"/>
      <w:numFmt w:val="decimal"/>
      <w:lvlText w:val="%1."/>
      <w:lvlJc w:val="left"/>
      <w:pPr>
        <w:ind w:left="540" w:firstLine="18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6120"/>
      </w:pPr>
      <w:rPr>
        <w:vertAlign w:val="baseline"/>
      </w:rPr>
    </w:lvl>
  </w:abstractNum>
  <w:abstractNum w:abstractNumId="6">
    <w:nsid w:val="7C2C7955"/>
    <w:multiLevelType w:val="multilevel"/>
    <w:tmpl w:val="21E014F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2.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2.%3.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2.%3.%4.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2.%3.%4.%5.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2.%3.%4.%5.%6.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2.%3.%4.%5.%6.%7.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2.%3.%4.%5.%6.%7.%8.%9."/>
      <w:lvlJc w:val="left"/>
      <w:pPr>
        <w:ind w:left="6480" w:firstLine="6120"/>
      </w:pPr>
      <w:rPr>
        <w:vertAlign w:val="baseline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B0B"/>
    <w:rsid w:val="0006511A"/>
    <w:rsid w:val="000E299D"/>
    <w:rsid w:val="00123CDF"/>
    <w:rsid w:val="0014604F"/>
    <w:rsid w:val="00173960"/>
    <w:rsid w:val="001914F0"/>
    <w:rsid w:val="00205CCB"/>
    <w:rsid w:val="00210A1B"/>
    <w:rsid w:val="00272888"/>
    <w:rsid w:val="002D1477"/>
    <w:rsid w:val="003632E7"/>
    <w:rsid w:val="003D0EBF"/>
    <w:rsid w:val="00447411"/>
    <w:rsid w:val="00456F9D"/>
    <w:rsid w:val="00560139"/>
    <w:rsid w:val="00646F66"/>
    <w:rsid w:val="00716B0B"/>
    <w:rsid w:val="007250E3"/>
    <w:rsid w:val="00731B1A"/>
    <w:rsid w:val="007D6E60"/>
    <w:rsid w:val="007E2B08"/>
    <w:rsid w:val="008155E3"/>
    <w:rsid w:val="00874C9B"/>
    <w:rsid w:val="008F48AA"/>
    <w:rsid w:val="00983EE2"/>
    <w:rsid w:val="009D41A4"/>
    <w:rsid w:val="00A33157"/>
    <w:rsid w:val="00AF1BDC"/>
    <w:rsid w:val="00BA0DDB"/>
    <w:rsid w:val="00C10352"/>
    <w:rsid w:val="00E32D1A"/>
    <w:rsid w:val="00F46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51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1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1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1A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103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57" w:type="dxa"/>
        <w:left w:w="108" w:type="dxa"/>
        <w:bottom w:w="57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6511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511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511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511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511A"/>
    <w:rPr>
      <w:b/>
      <w:b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1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11A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C103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262E62-68FB-4334-B8A1-514394160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ICANN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adams_000</dc:creator>
  <cp:lastModifiedBy>Paul</cp:lastModifiedBy>
  <cp:revision>6</cp:revision>
  <dcterms:created xsi:type="dcterms:W3CDTF">2015-04-21T16:39:00Z</dcterms:created>
  <dcterms:modified xsi:type="dcterms:W3CDTF">2015-04-21T17:01:00Z</dcterms:modified>
</cp:coreProperties>
</file>