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0E" w:rsidRDefault="0050700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50700E" w:rsidRDefault="00CE5F7A">
      <w:pPr>
        <w:pStyle w:val="BodyText"/>
        <w:ind w:right="217" w:firstLine="0"/>
        <w:jc w:val="right"/>
      </w:pPr>
      <w:r>
        <w:t>Sidley Draft: May 6,</w:t>
      </w:r>
      <w:r>
        <w:rPr>
          <w:spacing w:val="-8"/>
        </w:rPr>
        <w:t xml:space="preserve"> </w:t>
      </w:r>
      <w:r>
        <w:t>2015</w:t>
      </w:r>
    </w:p>
    <w:p w:rsidR="00060401" w:rsidRDefault="00060401">
      <w:pPr>
        <w:pStyle w:val="BodyText"/>
        <w:ind w:right="217" w:firstLine="0"/>
        <w:jc w:val="right"/>
        <w:rPr>
          <w:b w:val="0"/>
          <w:bCs w:val="0"/>
        </w:rPr>
      </w:pPr>
      <w:r>
        <w:t>DA revised May 7 2015</w:t>
      </w:r>
    </w:p>
    <w:p w:rsidR="0050700E" w:rsidRDefault="0050700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50700E" w:rsidRDefault="00CE5F7A">
      <w:pPr>
        <w:pStyle w:val="BodyText"/>
        <w:ind w:left="4879" w:right="3387"/>
        <w:rPr>
          <w:b w:val="0"/>
          <w:bCs w:val="0"/>
        </w:rPr>
      </w:pPr>
      <w:r>
        <w:t>“Punch List”/Open Items on Post-Transition IANA</w:t>
      </w:r>
      <w:r>
        <w:rPr>
          <w:spacing w:val="-3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Items for CWG Discussion and</w:t>
      </w:r>
      <w:r>
        <w:rPr>
          <w:spacing w:val="-24"/>
        </w:rPr>
        <w:t xml:space="preserve"> </w:t>
      </w:r>
      <w:r>
        <w:t>Input</w:t>
      </w:r>
    </w:p>
    <w:p w:rsidR="0050700E" w:rsidRDefault="0050700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50700E" w:rsidRDefault="0050700E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650"/>
        <w:gridCol w:w="2610"/>
        <w:gridCol w:w="2268"/>
      </w:tblGrid>
      <w:tr w:rsidR="0050700E">
        <w:trPr>
          <w:trHeight w:hRule="exact" w:val="7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3E2"/>
          </w:tcPr>
          <w:p w:rsidR="0050700E" w:rsidRDefault="0050700E"/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3E2"/>
          </w:tcPr>
          <w:p w:rsidR="0050700E" w:rsidRDefault="00CE5F7A">
            <w:pPr>
              <w:pStyle w:val="TableParagraph"/>
              <w:spacing w:before="120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Task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3E2"/>
          </w:tcPr>
          <w:p w:rsidR="0050700E" w:rsidRDefault="00CE5F7A">
            <w:pPr>
              <w:pStyle w:val="TableParagraph"/>
              <w:spacing w:before="120"/>
              <w:ind w:left="180" w:right="177" w:firstLine="1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Responsible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Group/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Relevant Design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Team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3E2"/>
          </w:tcPr>
          <w:p w:rsidR="0050700E" w:rsidRDefault="00060401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 Comment</w:t>
            </w:r>
          </w:p>
        </w:tc>
      </w:tr>
      <w:tr w:rsidR="0050700E">
        <w:trPr>
          <w:trHeight w:hRule="exact" w:val="492"/>
        </w:trPr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0700E" w:rsidRDefault="00CE5F7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IANA Function Review</w:t>
            </w:r>
            <w:r>
              <w:rPr>
                <w:rFonts w:ascii="Arial"/>
                <w:b/>
                <w:spacing w:val="-1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(IFR)</w:t>
            </w:r>
          </w:p>
        </w:tc>
      </w:tr>
      <w:tr w:rsidR="0050700E">
        <w:trPr>
          <w:trHeight w:hRule="exact" w:val="9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 w:right="2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Proposal contemplates that a Special Review may also be initiated by TLDs</w:t>
            </w:r>
            <w:r>
              <w:rPr>
                <w:rFonts w:ascii="Arial"/>
                <w:spacing w:val="-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concerns raised by TLDs directly with the ccNSO or the GNSO.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(Section III.A.i.d.)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085DF5">
            <w:r>
              <w:t>Do</w:t>
            </w:r>
            <w:r w:rsidR="00060401">
              <w:t xml:space="preserve"> we have any views on this?</w:t>
            </w:r>
          </w:p>
        </w:tc>
      </w:tr>
      <w:tr w:rsidR="0050700E">
        <w:trPr>
          <w:trHeight w:hRule="exact" w:val="491"/>
        </w:trPr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0700E" w:rsidRDefault="00CE5F7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>Customer Standing Committee</w:t>
            </w:r>
            <w:r>
              <w:rPr>
                <w:rFonts w:ascii="Arial"/>
                <w:b/>
                <w:i/>
                <w:spacing w:val="-27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(CSC)</w:t>
            </w:r>
          </w:p>
        </w:tc>
      </w:tr>
      <w:tr w:rsidR="0050700E" w:rsidTr="002B33C5">
        <w:trPr>
          <w:trHeight w:hRule="exact" w:val="17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 w:right="6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Composition: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who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select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TLD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representative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that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not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ccTLD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gTLD registry? (Annex G, page</w:t>
            </w:r>
            <w:r>
              <w:rPr>
                <w:rFonts w:ascii="Arial"/>
                <w:spacing w:val="-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59)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060401">
            <w:r>
              <w:t>An Expression of Interest can be sub</w:t>
            </w:r>
            <w:r w:rsidR="002B33C5">
              <w:t>mitted to the RySG and they will follow up with respective entity.</w:t>
            </w:r>
          </w:p>
        </w:tc>
      </w:tr>
      <w:tr w:rsidR="0050700E" w:rsidTr="002B33C5">
        <w:trPr>
          <w:trHeight w:hRule="exact" w:val="1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 w:right="10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Full membership of CSC is approved by ccNSO and GNSO. By</w:t>
            </w:r>
            <w:r>
              <w:rPr>
                <w:rFonts w:ascii="Arial"/>
                <w:spacing w:val="-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what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percentage? (Annex G, page</w:t>
            </w:r>
            <w:r>
              <w:rPr>
                <w:rFonts w:ascii="Arial"/>
                <w:spacing w:val="-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60)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B33C5">
            <w:r>
              <w:t xml:space="preserve">Should we make this approved by ccNSO and GNSO Council. Takes away from requiring a percentage. </w:t>
            </w:r>
          </w:p>
        </w:tc>
      </w:tr>
      <w:tr w:rsidR="0050700E" w:rsidTr="005E1ABA">
        <w:trPr>
          <w:trHeight w:hRule="exact" w:val="20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 w:right="4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If ccTLD or gTLD representative is recalled, can meetings continue before</w:t>
            </w:r>
            <w:r>
              <w:rPr>
                <w:rFonts w:ascii="Arial"/>
                <w:spacing w:val="-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 replacement is named?  (Annex G, page</w:t>
            </w:r>
            <w:r>
              <w:rPr>
                <w:rFonts w:ascii="Arial"/>
                <w:spacing w:val="-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60)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B33C5">
            <w:r>
              <w:t>Yes, best practice would be to have someone in place, but meetings can continue</w:t>
            </w:r>
            <w:r w:rsidR="005E1ABA">
              <w:t xml:space="preserve"> with a caveat that replacement be made available within 3 months. </w:t>
            </w:r>
            <w:r>
              <w:t xml:space="preserve"> </w:t>
            </w:r>
          </w:p>
        </w:tc>
      </w:tr>
      <w:tr w:rsidR="0050700E" w:rsidTr="002B33C5">
        <w:trPr>
          <w:trHeight w:hRule="exact" w:val="31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 w:right="379" w:hanging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Determine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how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CSC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decide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who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liaison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IFR.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(Annex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F,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page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52)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C5" w:rsidRDefault="002B33C5" w:rsidP="002B33C5">
            <w:r>
              <w:t xml:space="preserve">The CSC Chair, however if for whatever reason the Chair is not available, the CSC will call for a volunteer. If two or more volunteer a vote of the whole of the CSC will be undertaken. </w:t>
            </w:r>
          </w:p>
          <w:p w:rsidR="0050700E" w:rsidRDefault="002B33C5" w:rsidP="002B33C5">
            <w:r>
              <w:t xml:space="preserve">Q: Does the Liaison have to be a registry operator?  </w:t>
            </w:r>
          </w:p>
        </w:tc>
      </w:tr>
      <w:tr w:rsidR="0050700E" w:rsidTr="00060401">
        <w:trPr>
          <w:trHeight w:hRule="exact" w:val="7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Proposed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Remedial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Action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Procedures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noted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item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agreed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upon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 w:rsidR="00060401">
              <w:rPr>
                <w:rFonts w:ascii="Arial"/>
                <w:sz w:val="21"/>
              </w:rPr>
              <w:t xml:space="preserve"> </w:t>
            </w:r>
            <w:r w:rsidR="00060401">
              <w:rPr>
                <w:rFonts w:ascii="Arial"/>
                <w:sz w:val="21"/>
              </w:rPr>
              <w:t>CSC and PTI.  Will this happen prior to transition?  (Annex F, page</w:t>
            </w:r>
            <w:r w:rsidR="00060401">
              <w:rPr>
                <w:rFonts w:ascii="Arial"/>
                <w:spacing w:val="-23"/>
                <w:sz w:val="21"/>
              </w:rPr>
              <w:t xml:space="preserve"> </w:t>
            </w:r>
            <w:r w:rsidR="00060401">
              <w:rPr>
                <w:rFonts w:ascii="Arial"/>
                <w:sz w:val="21"/>
              </w:rPr>
              <w:t>62)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B33C5">
            <w:r>
              <w:t>No, how can it?</w:t>
            </w:r>
          </w:p>
          <w:p w:rsidR="005E1ABA" w:rsidRDefault="005E1ABA">
            <w:r>
              <w:t>Recommend that this be</w:t>
            </w:r>
          </w:p>
        </w:tc>
      </w:tr>
      <w:tr w:rsidR="0050700E" w:rsidTr="005E1ABA">
        <w:trPr>
          <w:trHeight w:hRule="exact" w:val="25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 w:right="2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IANA Problem Resolution Process: contemplates that CSC can escalate</w:t>
            </w:r>
            <w:r>
              <w:rPr>
                <w:rFonts w:ascii="Arial" w:eastAsia="Arial" w:hAnsi="Arial" w:cs="Arial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ccNSO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GNSO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which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may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then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decide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take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further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action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“using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agreed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consultation and escalation processes”. What will these processes be and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anything contemplated beyond a Special Review?  (Annex J, page</w:t>
            </w:r>
            <w:r>
              <w:rPr>
                <w:rFonts w:ascii="Arial" w:eastAsia="Arial" w:hAnsi="Arial" w:cs="Arial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68)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E1ABA">
            <w:r>
              <w:t xml:space="preserve">I wonder if we should make this ccNSO and GNSO Councils. They would need to establish a process for consulting and making a decision. I don’t contemplate anything beyond a special review. </w:t>
            </w:r>
          </w:p>
        </w:tc>
      </w:tr>
      <w:tr w:rsidR="0050700E">
        <w:trPr>
          <w:trHeight w:hRule="exact" w:val="491"/>
        </w:trPr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0700E" w:rsidRDefault="00CE5F7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ICANN/PTI Contract; Statement of Work and</w:t>
            </w:r>
            <w:r>
              <w:rPr>
                <w:rFonts w:ascii="Arial"/>
                <w:b/>
                <w:spacing w:val="-3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SLEs</w:t>
            </w:r>
          </w:p>
        </w:tc>
      </w:tr>
      <w:tr w:rsidR="0050700E">
        <w:trPr>
          <w:trHeight w:hRule="exact" w:val="9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17.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 w:right="9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Determine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what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extent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ICANN/PTI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contract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enforceability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mechanism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(vs.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CSC,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IFR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other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ICANN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accountability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mechanisms).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(Section III.A.i. and Section III.A.i.c. See also Annex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CWG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E1ABA">
            <w:r>
              <w:t>We may want to discuss this.</w:t>
            </w:r>
          </w:p>
        </w:tc>
      </w:tr>
      <w:tr w:rsidR="0050700E">
        <w:trPr>
          <w:trHeight w:hRule="exact" w:val="9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18.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 w:right="2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Determine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which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rights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under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existing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NTIA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contract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implemented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 ICANN governance documents and which will be in the new</w:t>
            </w:r>
            <w:r>
              <w:rPr>
                <w:rFonts w:ascii="Arial"/>
                <w:spacing w:val="-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ICANN/PTI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contract. (Section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III.A.i.c.)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CWG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0700E"/>
        </w:tc>
      </w:tr>
      <w:tr w:rsidR="0050700E">
        <w:trPr>
          <w:trHeight w:hRule="exact" w:val="9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19.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Determine who will have the right to trigger remedies for breaches of,</w:t>
            </w:r>
            <w:r>
              <w:rPr>
                <w:rFonts w:ascii="Arial"/>
                <w:spacing w:val="-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otherwise enforce, ICANN/PTI Contract (i.e., will PTI Board exercise this right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 will this require CSC or IFR). (Sections  III.A.i.b, c, and</w:t>
            </w:r>
            <w:r>
              <w:rPr>
                <w:rFonts w:ascii="Arial"/>
                <w:spacing w:val="-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CWG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0700E"/>
        </w:tc>
      </w:tr>
      <w:tr w:rsidR="0050700E">
        <w:trPr>
          <w:trHeight w:hRule="exact" w:val="7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 w:right="3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DT-A SLE documentation following receipt of additional IANA</w:t>
            </w:r>
            <w:r>
              <w:rPr>
                <w:rFonts w:ascii="Arial"/>
                <w:spacing w:val="-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documentation.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(Section III.A.ii.b. and </w:t>
            </w:r>
            <w:r>
              <w:rPr>
                <w:rFonts w:ascii="Arial"/>
                <w:sz w:val="21"/>
              </w:rPr>
              <w:t>Annex</w:t>
            </w:r>
            <w:r>
              <w:rPr>
                <w:rFonts w:ascii="Arial"/>
                <w:spacing w:val="-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0700E"/>
        </w:tc>
      </w:tr>
      <w:tr w:rsidR="0050700E">
        <w:trPr>
          <w:trHeight w:hRule="exact" w:val="492"/>
        </w:trPr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0700E" w:rsidRDefault="00CE5F7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Escalation mechanisms</w:t>
            </w:r>
          </w:p>
        </w:tc>
      </w:tr>
      <w:tr w:rsidR="0050700E">
        <w:trPr>
          <w:trHeight w:hRule="exact" w:val="7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 w:right="2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Who does ccNSO/GNSO escalate unresolved issues to? Will there be an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IRP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process?  (Section III.A.ii.a. and Annex J, footnote</w:t>
            </w:r>
            <w:r>
              <w:rPr>
                <w:rFonts w:ascii="Arial"/>
                <w:spacing w:val="-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22)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E1ABA">
            <w:r>
              <w:t>Do we have any thoughts on this?</w:t>
            </w:r>
          </w:p>
        </w:tc>
      </w:tr>
      <w:tr w:rsidR="0050700E">
        <w:trPr>
          <w:trHeight w:hRule="exact" w:val="9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 w:right="3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Additional detail on how a persistent performance issue/systemic problem</w:t>
            </w:r>
            <w:r>
              <w:rPr>
                <w:rFonts w:ascii="Arial"/>
                <w:spacing w:val="-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defined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(e.g.,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discretion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given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CSC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some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principles-based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standard)? (Section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III.A.ii.c.)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DT-M and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E1ABA">
            <w:r>
              <w:t>Do we have any thoughts on this?.</w:t>
            </w:r>
          </w:p>
        </w:tc>
      </w:tr>
      <w:tr w:rsidR="0050700E" w:rsidTr="005E1ABA">
        <w:trPr>
          <w:trHeight w:hRule="exact" w:val="10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Customer complaints, Phase 2: additional detail on customer mediation</w:t>
            </w:r>
            <w:r>
              <w:rPr>
                <w:rFonts w:ascii="Arial"/>
                <w:spacing w:val="-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process</w:t>
            </w:r>
            <w:r w:rsidR="00060401">
              <w:rPr>
                <w:rFonts w:ascii="Arial"/>
                <w:sz w:val="21"/>
              </w:rPr>
              <w:t xml:space="preserve"> </w:t>
            </w:r>
            <w:r w:rsidR="00060401">
              <w:rPr>
                <w:rFonts w:ascii="Arial"/>
                <w:sz w:val="21"/>
              </w:rPr>
              <w:t>and ability to initiate an IRP. (Annex I, page</w:t>
            </w:r>
            <w:r w:rsidR="00060401">
              <w:rPr>
                <w:rFonts w:ascii="Arial"/>
                <w:spacing w:val="-3"/>
                <w:sz w:val="21"/>
              </w:rPr>
              <w:t xml:space="preserve"> </w:t>
            </w:r>
            <w:r w:rsidR="00060401">
              <w:rPr>
                <w:rFonts w:ascii="Arial"/>
                <w:sz w:val="21"/>
              </w:rPr>
              <w:t>66)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DT-M and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E1ABA">
            <w:r>
              <w:t>Individual customer remediation is not a role for the CSC.</w:t>
            </w:r>
          </w:p>
        </w:tc>
      </w:tr>
      <w:tr w:rsidR="0050700E">
        <w:trPr>
          <w:trHeight w:hRule="exact" w:val="16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z w:val="21"/>
              </w:rPr>
              <w:t>7.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 w:right="3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Customer Standing Committee (CSC) – A CSC should be created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empowered to monitor the performance of the IANA functions and</w:t>
            </w:r>
            <w:r>
              <w:rPr>
                <w:rFonts w:ascii="Arial" w:eastAsia="Arial" w:hAnsi="Arial" w:cs="Arial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escalate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non-remediated issues to the ccNSO and GNSO. The CSC should</w:t>
            </w:r>
            <w:r>
              <w:rPr>
                <w:rFonts w:ascii="Arial" w:eastAsia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contemplated by the ICANN bylaws. If not currently within the mandate,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ccNSO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and/or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GNSO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should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empowered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address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matters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escalated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 CSC.  Section III.A.ii.a.; Annex G and Annex</w:t>
            </w:r>
            <w:r>
              <w:rPr>
                <w:rFonts w:ascii="Arial" w:eastAsia="Arial" w:hAnsi="Arial" w:cs="Arial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CWG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CE5F7A">
            <w:pPr>
              <w:pStyle w:val="TableParagraph"/>
              <w:spacing w:before="121"/>
              <w:ind w:left="103" w:right="5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Note: Continue</w:t>
            </w:r>
            <w:r>
              <w:rPr>
                <w:rFonts w:asci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monitor</w:t>
            </w:r>
          </w:p>
        </w:tc>
      </w:tr>
    </w:tbl>
    <w:p w:rsidR="00CE5F7A" w:rsidRDefault="00CE5F7A"/>
    <w:sectPr w:rsidR="00CE5F7A">
      <w:footerReference w:type="default" r:id="rId7"/>
      <w:pgSz w:w="15840" w:h="12240" w:orient="landscape"/>
      <w:pgMar w:top="1140" w:right="1220" w:bottom="1060" w:left="122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7A" w:rsidRDefault="00CE5F7A">
      <w:r>
        <w:separator/>
      </w:r>
    </w:p>
  </w:endnote>
  <w:endnote w:type="continuationSeparator" w:id="0">
    <w:p w:rsidR="00CE5F7A" w:rsidRDefault="00CE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0E" w:rsidRDefault="00CE5F7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35pt;margin-top:556.2pt;width:9.35pt;height:12.5pt;z-index:-18616;mso-position-horizontal-relative:page;mso-position-vertical-relative:page" filled="f" stroked="f">
          <v:textbox inset="0,0,0,0">
            <w:txbxContent>
              <w:p w:rsidR="0050700E" w:rsidRDefault="00CE5F7A">
                <w:pPr>
                  <w:spacing w:line="234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62E41">
                  <w:rPr>
                    <w:rFonts w:ascii="Calibri"/>
                    <w:noProof/>
                    <w:w w:val="99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567.75pt;width:64.3pt;height:9.05pt;z-index:-18592;mso-position-horizontal-relative:page;mso-position-vertical-relative:page" filled="f" stroked="f">
          <v:textbox inset="0,0,0,0">
            <w:txbxContent>
              <w:p w:rsidR="0050700E" w:rsidRDefault="00CE5F7A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pacing w:val="-1"/>
                    <w:sz w:val="14"/>
                  </w:rPr>
                  <w:t>ACTIV</w:t>
                </w:r>
                <w:r>
                  <w:rPr>
                    <w:rFonts w:ascii="Arial"/>
                    <w:sz w:val="14"/>
                  </w:rPr>
                  <w:t>E</w:t>
                </w:r>
                <w:r>
                  <w:rPr>
                    <w:rFonts w:ascii="Arial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4"/>
                  </w:rPr>
                  <w:t>2</w:t>
                </w:r>
                <w:r>
                  <w:rPr>
                    <w:rFonts w:ascii="Arial"/>
                    <w:spacing w:val="-2"/>
                    <w:sz w:val="14"/>
                  </w:rPr>
                  <w:t>0</w:t>
                </w:r>
                <w:r>
                  <w:rPr>
                    <w:rFonts w:ascii="Arial"/>
                    <w:spacing w:val="-1"/>
                    <w:sz w:val="14"/>
                  </w:rPr>
                  <w:t>72902</w:t>
                </w:r>
                <w:r>
                  <w:rPr>
                    <w:rFonts w:ascii="Arial"/>
                    <w:spacing w:val="-2"/>
                    <w:sz w:val="14"/>
                  </w:rPr>
                  <w:t>5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7A" w:rsidRDefault="00CE5F7A">
      <w:r>
        <w:separator/>
      </w:r>
    </w:p>
  </w:footnote>
  <w:footnote w:type="continuationSeparator" w:id="0">
    <w:p w:rsidR="00CE5F7A" w:rsidRDefault="00CE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F58C1"/>
    <w:multiLevelType w:val="hybridMultilevel"/>
    <w:tmpl w:val="77F20D28"/>
    <w:lvl w:ilvl="0" w:tplc="18AABB86">
      <w:start w:val="1"/>
      <w:numFmt w:val="lowerRoman"/>
      <w:lvlText w:val="%1."/>
      <w:lvlJc w:val="left"/>
      <w:pPr>
        <w:ind w:left="823" w:hanging="464"/>
        <w:jc w:val="right"/>
      </w:pPr>
      <w:rPr>
        <w:rFonts w:ascii="Arial" w:eastAsia="Arial" w:hAnsi="Arial" w:hint="default"/>
        <w:w w:val="100"/>
        <w:sz w:val="21"/>
        <w:szCs w:val="21"/>
      </w:rPr>
    </w:lvl>
    <w:lvl w:ilvl="1" w:tplc="95BA6F1A">
      <w:start w:val="1"/>
      <w:numFmt w:val="bullet"/>
      <w:lvlText w:val="•"/>
      <w:lvlJc w:val="left"/>
      <w:pPr>
        <w:ind w:left="1502" w:hanging="464"/>
      </w:pPr>
      <w:rPr>
        <w:rFonts w:hint="default"/>
      </w:rPr>
    </w:lvl>
    <w:lvl w:ilvl="2" w:tplc="C346FB1E">
      <w:start w:val="1"/>
      <w:numFmt w:val="bullet"/>
      <w:lvlText w:val="•"/>
      <w:lvlJc w:val="left"/>
      <w:pPr>
        <w:ind w:left="2184" w:hanging="464"/>
      </w:pPr>
      <w:rPr>
        <w:rFonts w:hint="default"/>
      </w:rPr>
    </w:lvl>
    <w:lvl w:ilvl="3" w:tplc="503CA29A">
      <w:start w:val="1"/>
      <w:numFmt w:val="bullet"/>
      <w:lvlText w:val="•"/>
      <w:lvlJc w:val="left"/>
      <w:pPr>
        <w:ind w:left="2866" w:hanging="464"/>
      </w:pPr>
      <w:rPr>
        <w:rFonts w:hint="default"/>
      </w:rPr>
    </w:lvl>
    <w:lvl w:ilvl="4" w:tplc="741AA306">
      <w:start w:val="1"/>
      <w:numFmt w:val="bullet"/>
      <w:lvlText w:val="•"/>
      <w:lvlJc w:val="left"/>
      <w:pPr>
        <w:ind w:left="3548" w:hanging="464"/>
      </w:pPr>
      <w:rPr>
        <w:rFonts w:hint="default"/>
      </w:rPr>
    </w:lvl>
    <w:lvl w:ilvl="5" w:tplc="8AFA1C86">
      <w:start w:val="1"/>
      <w:numFmt w:val="bullet"/>
      <w:lvlText w:val="•"/>
      <w:lvlJc w:val="left"/>
      <w:pPr>
        <w:ind w:left="4230" w:hanging="464"/>
      </w:pPr>
      <w:rPr>
        <w:rFonts w:hint="default"/>
      </w:rPr>
    </w:lvl>
    <w:lvl w:ilvl="6" w:tplc="A6766AE0">
      <w:start w:val="1"/>
      <w:numFmt w:val="bullet"/>
      <w:lvlText w:val="•"/>
      <w:lvlJc w:val="left"/>
      <w:pPr>
        <w:ind w:left="4912" w:hanging="464"/>
      </w:pPr>
      <w:rPr>
        <w:rFonts w:hint="default"/>
      </w:rPr>
    </w:lvl>
    <w:lvl w:ilvl="7" w:tplc="8188DE52">
      <w:start w:val="1"/>
      <w:numFmt w:val="bullet"/>
      <w:lvlText w:val="•"/>
      <w:lvlJc w:val="left"/>
      <w:pPr>
        <w:ind w:left="5594" w:hanging="464"/>
      </w:pPr>
      <w:rPr>
        <w:rFonts w:hint="default"/>
      </w:rPr>
    </w:lvl>
    <w:lvl w:ilvl="8" w:tplc="7998337A">
      <w:start w:val="1"/>
      <w:numFmt w:val="bullet"/>
      <w:lvlText w:val="•"/>
      <w:lvlJc w:val="left"/>
      <w:pPr>
        <w:ind w:left="6276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700E"/>
    <w:rsid w:val="00060401"/>
    <w:rsid w:val="00085DF5"/>
    <w:rsid w:val="002B33C5"/>
    <w:rsid w:val="004C28A6"/>
    <w:rsid w:val="0050700E"/>
    <w:rsid w:val="005E1ABA"/>
    <w:rsid w:val="00762E41"/>
    <w:rsid w:val="00C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B7AA775-FEB2-4C15-927C-25DB139C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hanging="998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- 207290251_7</vt:lpstr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- 207290251_7</dc:title>
  <dc:creator>sflanaga</dc:creator>
  <cp:lastModifiedBy>donna austin</cp:lastModifiedBy>
  <cp:revision>4</cp:revision>
  <dcterms:created xsi:type="dcterms:W3CDTF">2015-05-07T21:53:00Z</dcterms:created>
  <dcterms:modified xsi:type="dcterms:W3CDTF">2015-05-07T22:23:00Z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2015-05-07T00:00:00Z</vt:filetime>
  </property>
</Properties>
</file>