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0E" w:rsidRDefault="0050700E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50700E" w:rsidRDefault="00214FE6">
      <w:pPr>
        <w:pStyle w:val="BodyText"/>
        <w:ind w:right="217" w:firstLine="0"/>
        <w:jc w:val="right"/>
      </w:pPr>
      <w:r>
        <w:t>Sidley Draft: May 6,</w:t>
      </w:r>
      <w:r>
        <w:rPr>
          <w:spacing w:val="-8"/>
        </w:rPr>
        <w:t xml:space="preserve"> </w:t>
      </w:r>
      <w:r>
        <w:t>2015</w:t>
      </w:r>
    </w:p>
    <w:p w:rsidR="00060401" w:rsidRDefault="00060401">
      <w:pPr>
        <w:pStyle w:val="BodyText"/>
        <w:ind w:right="217" w:firstLine="0"/>
        <w:jc w:val="right"/>
        <w:rPr>
          <w:b w:val="0"/>
          <w:bCs w:val="0"/>
        </w:rPr>
      </w:pPr>
      <w:r>
        <w:t>DA revised May 7 2015</w:t>
      </w:r>
    </w:p>
    <w:p w:rsidR="0050700E" w:rsidRDefault="0050700E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50700E" w:rsidRDefault="00214FE6">
      <w:pPr>
        <w:pStyle w:val="BodyText"/>
        <w:ind w:left="4879" w:right="3387"/>
        <w:rPr>
          <w:b w:val="0"/>
          <w:bCs w:val="0"/>
        </w:rPr>
      </w:pPr>
      <w:r>
        <w:t>“Punch List”/Open Items on Post-Transition IANA</w:t>
      </w:r>
      <w:r>
        <w:rPr>
          <w:spacing w:val="-33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Items for CWG Discussion and</w:t>
      </w:r>
      <w:r>
        <w:rPr>
          <w:spacing w:val="-24"/>
        </w:rPr>
        <w:t xml:space="preserve"> </w:t>
      </w:r>
      <w:r>
        <w:t>Input</w:t>
      </w:r>
    </w:p>
    <w:p w:rsidR="0050700E" w:rsidRDefault="0050700E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50700E" w:rsidRDefault="0050700E">
      <w:pPr>
        <w:spacing w:before="10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28"/>
        <w:gridCol w:w="851"/>
        <w:gridCol w:w="7749"/>
      </w:tblGrid>
      <w:tr w:rsidR="0050700E" w:rsidTr="00487EA3">
        <w:trPr>
          <w:trHeight w:hRule="exact" w:val="73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B3E2"/>
          </w:tcPr>
          <w:p w:rsidR="0050700E" w:rsidRDefault="0050700E"/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B3E2"/>
          </w:tcPr>
          <w:p w:rsidR="0050700E" w:rsidRDefault="00214FE6">
            <w:pPr>
              <w:pStyle w:val="TableParagraph"/>
              <w:spacing w:before="120"/>
              <w:ind w:righ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Task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B3E2"/>
          </w:tcPr>
          <w:p w:rsidR="0050700E" w:rsidRDefault="00487EA3">
            <w:pPr>
              <w:pStyle w:val="TableParagraph"/>
              <w:spacing w:before="120"/>
              <w:ind w:left="180" w:right="177" w:firstLine="1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DT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B3E2"/>
          </w:tcPr>
          <w:p w:rsidR="0050700E" w:rsidRDefault="00487EA3">
            <w:pPr>
              <w:pStyle w:val="TableParagraph"/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DT-C</w:t>
            </w:r>
            <w:r w:rsidR="00060401">
              <w:rPr>
                <w:rFonts w:ascii="Arial"/>
                <w:b/>
                <w:sz w:val="21"/>
              </w:rPr>
              <w:t xml:space="preserve"> Comment</w:t>
            </w:r>
            <w:r>
              <w:rPr>
                <w:rFonts w:ascii="Arial"/>
                <w:b/>
                <w:sz w:val="21"/>
              </w:rPr>
              <w:t>s</w:t>
            </w:r>
          </w:p>
        </w:tc>
      </w:tr>
      <w:tr w:rsidR="0050700E">
        <w:trPr>
          <w:trHeight w:hRule="exact" w:val="492"/>
        </w:trPr>
        <w:tc>
          <w:tcPr>
            <w:tcW w:w="1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0700E" w:rsidRDefault="00214FE6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IANA Function Review</w:t>
            </w:r>
            <w:r>
              <w:rPr>
                <w:rFonts w:ascii="Arial"/>
                <w:b/>
                <w:spacing w:val="-1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(IFR)</w:t>
            </w:r>
          </w:p>
        </w:tc>
      </w:tr>
      <w:tr w:rsidR="0050700E" w:rsidTr="00487EA3">
        <w:trPr>
          <w:trHeight w:hRule="exact" w:val="1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6.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0"/>
              <w:ind w:left="103" w:right="2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Proposal contemplates that a Special Review may also be initiated by TLDs</w:t>
            </w:r>
            <w:r>
              <w:rPr>
                <w:rFonts w:ascii="Arial"/>
                <w:spacing w:val="-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on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concerns raised by TLDs directly with the ccNSO or the GNSO.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(Section III.A.i.d.)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DT-N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085DF5">
            <w:r>
              <w:t>Do</w:t>
            </w:r>
            <w:r w:rsidR="00060401">
              <w:t xml:space="preserve"> we have any views on this?</w:t>
            </w:r>
          </w:p>
        </w:tc>
      </w:tr>
      <w:tr w:rsidR="0050700E">
        <w:trPr>
          <w:trHeight w:hRule="exact" w:val="491"/>
        </w:trPr>
        <w:tc>
          <w:tcPr>
            <w:tcW w:w="1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0700E" w:rsidRDefault="00214FE6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>Customer Standing Committee</w:t>
            </w:r>
            <w:r>
              <w:rPr>
                <w:rFonts w:ascii="Arial"/>
                <w:b/>
                <w:i/>
                <w:spacing w:val="-27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(CSC)</w:t>
            </w:r>
          </w:p>
        </w:tc>
      </w:tr>
      <w:tr w:rsidR="0050700E" w:rsidTr="0098661A">
        <w:trPr>
          <w:trHeight w:hRule="exact" w:val="26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 w:right="6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Composition: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who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will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select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TLD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representative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that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not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ccTLD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or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gTLD registry? (Annex G, page</w:t>
            </w:r>
            <w:r>
              <w:rPr>
                <w:rFonts w:ascii="Arial"/>
                <w:spacing w:val="-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59)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DT-C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060401">
            <w:r>
              <w:t xml:space="preserve">An Expression of Interest </w:t>
            </w:r>
            <w:r w:rsidR="00B450CE">
              <w:t>must be submitted to be considered eligible for the CSC. For a person seeking to represent a TLD not considered</w:t>
            </w:r>
            <w:r w:rsidR="009F7374">
              <w:t xml:space="preserve"> to be either a</w:t>
            </w:r>
            <w:r w:rsidR="00B450CE">
              <w:t xml:space="preserve"> cc or gTLD registry, the Expression of Interest must have the support of the </w:t>
            </w:r>
            <w:r w:rsidR="009F7374">
              <w:t xml:space="preserve">relevant registry, which will serve as a recommendation for appointment to the CSC. As the ccNSO and GNSO </w:t>
            </w:r>
            <w:r w:rsidR="0098661A">
              <w:t xml:space="preserve">Councils </w:t>
            </w:r>
            <w:r w:rsidR="009F7374">
              <w:t>are responsible for approving the full membership of the CSC, the EOI will be considered as part of that approval proces</w:t>
            </w:r>
            <w:r w:rsidR="0098661A">
              <w:t>s</w:t>
            </w:r>
            <w:r w:rsidR="009F7374">
              <w:t>.</w:t>
            </w:r>
          </w:p>
          <w:p w:rsidR="0098661A" w:rsidRDefault="0098661A"/>
          <w:p w:rsidR="0098661A" w:rsidRDefault="0098661A" w:rsidP="0098661A">
            <w:r>
              <w:t>NB: References to ccNSO and GNSO should be changed to ccNSO Council and GNSO Council.</w:t>
            </w:r>
          </w:p>
        </w:tc>
      </w:tr>
      <w:tr w:rsidR="0050700E" w:rsidTr="00487EA3">
        <w:trPr>
          <w:trHeight w:hRule="exact" w:val="1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0"/>
              <w:ind w:left="103" w:right="10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Full membership of CSC is approved by ccNSO and GNSO. By</w:t>
            </w:r>
            <w:r>
              <w:rPr>
                <w:rFonts w:ascii="Arial"/>
                <w:spacing w:val="-3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what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percentage? (Annex G, page</w:t>
            </w:r>
            <w:r>
              <w:rPr>
                <w:rFonts w:ascii="Arial"/>
                <w:spacing w:val="-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60)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DT-C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1A" w:rsidRDefault="0098661A">
            <w:r>
              <w:t>Full membership of the CSC is to be approved by the ccNSO Council and GNSO Council in accordance with their own rules and procedures.</w:t>
            </w:r>
          </w:p>
          <w:p w:rsidR="0098661A" w:rsidRDefault="0098661A"/>
          <w:p w:rsidR="0050700E" w:rsidRDefault="0098661A">
            <w:r>
              <w:t>The approval process should include some form of consultation between the two Councils.</w:t>
            </w:r>
            <w:r w:rsidR="002B33C5">
              <w:t xml:space="preserve"> </w:t>
            </w:r>
          </w:p>
        </w:tc>
      </w:tr>
      <w:tr w:rsidR="0050700E" w:rsidTr="00487EA3">
        <w:trPr>
          <w:trHeight w:hRule="exact" w:val="20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0"/>
              <w:ind w:left="103" w:right="4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If ccTLD or gTLD representative is recalled, can meetings continue before</w:t>
            </w:r>
            <w:r>
              <w:rPr>
                <w:rFonts w:ascii="Arial"/>
                <w:spacing w:val="-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 replacement is named?  (Annex G, page</w:t>
            </w:r>
            <w:r>
              <w:rPr>
                <w:rFonts w:ascii="Arial"/>
                <w:spacing w:val="-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60)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DT-C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98661A">
            <w:r>
              <w:t>In the event that a ccTLD or gTLD representative to the CSC is recalled, the appointing party can provide a temporary replacement while they endeavor to fill the vacancy</w:t>
            </w:r>
            <w:r w:rsidR="005E1ABA">
              <w:t>.</w:t>
            </w:r>
            <w:r>
              <w:t xml:space="preserve"> As the CSC will be meeting regularly on a monthly basis, best efforts should be made to fill the vacancy within one month of the </w:t>
            </w:r>
            <w:r w:rsidR="005660B7">
              <w:t>recall.</w:t>
            </w:r>
            <w:r w:rsidR="002B33C5">
              <w:t xml:space="preserve"> </w:t>
            </w:r>
          </w:p>
        </w:tc>
      </w:tr>
      <w:tr w:rsidR="0050700E" w:rsidTr="00487EA3">
        <w:trPr>
          <w:trHeight w:hRule="exact" w:val="31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14.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0"/>
              <w:ind w:left="103" w:right="379" w:hanging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Determine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how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CSC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will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decide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on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who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will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liaison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IFR.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(Annex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F,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page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52)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DT-C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B33C5" w:rsidP="005660B7">
            <w:r>
              <w:t xml:space="preserve">The CSC </w:t>
            </w:r>
            <w:r w:rsidR="005660B7">
              <w:t>as a whole will decide who will serve as the Liaison to the IFR. Preference should be given to the Liaison being a registry representative given that technical expertise is anticipated to be valuable in the role.</w:t>
            </w:r>
            <w:r>
              <w:t xml:space="preserve">  </w:t>
            </w:r>
          </w:p>
        </w:tc>
      </w:tr>
      <w:tr w:rsidR="0050700E" w:rsidTr="00487EA3">
        <w:trPr>
          <w:trHeight w:hRule="exact" w:val="13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15.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Proposed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Remedial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Action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Procedures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noted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as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item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agreed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upon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by</w:t>
            </w:r>
            <w:r w:rsidR="00060401">
              <w:rPr>
                <w:rFonts w:ascii="Arial"/>
                <w:sz w:val="21"/>
              </w:rPr>
              <w:t xml:space="preserve"> CSC and PTI.  Will this happen prior to transition?  (Annex F, page</w:t>
            </w:r>
            <w:r w:rsidR="00060401">
              <w:rPr>
                <w:rFonts w:ascii="Arial"/>
                <w:spacing w:val="-23"/>
                <w:sz w:val="21"/>
              </w:rPr>
              <w:t xml:space="preserve"> </w:t>
            </w:r>
            <w:r w:rsidR="00060401">
              <w:rPr>
                <w:rFonts w:ascii="Arial"/>
                <w:sz w:val="21"/>
              </w:rPr>
              <w:t>62)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DT-C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BA" w:rsidRDefault="00F20E0E">
            <w:r>
              <w:t>It is expected that the CSC and the PTI will agree to Remedial Action Procedures post transition once the two entities are formed.</w:t>
            </w:r>
          </w:p>
          <w:p w:rsidR="00F20E0E" w:rsidRDefault="00F20E0E"/>
          <w:p w:rsidR="00F20E0E" w:rsidRDefault="00F20E0E">
            <w:r>
              <w:t>It is important</w:t>
            </w:r>
            <w:r w:rsidR="00FA21B3">
              <w:t xml:space="preserve"> to note that the agreement should</w:t>
            </w:r>
            <w:r>
              <w:t xml:space="preserve"> be between the CSC and PTI, not the CSC and PTI Board.</w:t>
            </w:r>
          </w:p>
        </w:tc>
      </w:tr>
      <w:tr w:rsidR="0050700E" w:rsidTr="00487EA3">
        <w:trPr>
          <w:trHeight w:hRule="exact" w:val="25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16.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 w:right="27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IANA Problem Resolution Process: contemplates that CSC can escalate</w:t>
            </w:r>
            <w:r>
              <w:rPr>
                <w:rFonts w:ascii="Arial" w:eastAsia="Arial" w:hAnsi="Arial" w:cs="Arial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ccNSO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GNSO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which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may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then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decide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take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further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action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“using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agreed consultation and escalation processes”. What will these processes be and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anything contemplated beyond a Special Review?  (Annex J, page</w:t>
            </w:r>
            <w:r>
              <w:rPr>
                <w:rFonts w:ascii="Arial" w:eastAsia="Arial" w:hAnsi="Arial" w:cs="Arial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DT-C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B91FF5">
            <w:r>
              <w:t xml:space="preserve">The ccNSO and GNSO will be responsible for developing their </w:t>
            </w:r>
            <w:r w:rsidR="00F4388A">
              <w:t>own procedures, which will be done post-transition. It is envis</w:t>
            </w:r>
            <w:r w:rsidR="00FA21B3">
              <w:t xml:space="preserve">aged that the Special Review will </w:t>
            </w:r>
            <w:r w:rsidR="00F4388A">
              <w:t>not</w:t>
            </w:r>
            <w:r w:rsidR="00FA21B3">
              <w:t xml:space="preserve"> be</w:t>
            </w:r>
            <w:r w:rsidR="00F4388A">
              <w:t xml:space="preserve"> the only possible escalation path available, for example the ccNSO and GNSO could seek a meeting with the ICANN Board as a mechanism to resolve issues.</w:t>
            </w:r>
          </w:p>
        </w:tc>
      </w:tr>
      <w:tr w:rsidR="0050700E">
        <w:trPr>
          <w:trHeight w:hRule="exact" w:val="491"/>
        </w:trPr>
        <w:tc>
          <w:tcPr>
            <w:tcW w:w="1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0700E" w:rsidRDefault="00214FE6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ICANN/PTI Contract; Statement of Work and</w:t>
            </w:r>
            <w:r>
              <w:rPr>
                <w:rFonts w:ascii="Arial"/>
                <w:b/>
                <w:spacing w:val="-3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SLEs</w:t>
            </w:r>
          </w:p>
        </w:tc>
      </w:tr>
      <w:tr w:rsidR="0050700E" w:rsidTr="003E1391">
        <w:trPr>
          <w:trHeight w:hRule="exact" w:val="18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17.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 w:right="9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Determine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what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extent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ICANN/PTI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contract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will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enforceability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mechanism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(vs.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CSC,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IFR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or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other</w:t>
            </w:r>
            <w:r>
              <w:rPr>
                <w:rFonts w:ascii="Arial"/>
                <w:spacing w:val="-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ICANN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accountability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mechanisms).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(Section III.A.i. and Section III.A.i.c. See also Annex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CWG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50700E"/>
        </w:tc>
      </w:tr>
      <w:tr w:rsidR="0050700E" w:rsidTr="003E1391">
        <w:trPr>
          <w:trHeight w:hRule="exact" w:val="18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18.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 w:right="2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Determine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which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rights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under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existing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NTIA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contract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will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implemented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 ICANN governance documents and which will be in the new</w:t>
            </w:r>
            <w:r>
              <w:rPr>
                <w:rFonts w:ascii="Arial"/>
                <w:spacing w:val="-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ICANN/PTI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contract. (Section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III.A.i.c.)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CWG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50700E"/>
        </w:tc>
      </w:tr>
      <w:tr w:rsidR="0050700E" w:rsidTr="003E1391">
        <w:trPr>
          <w:trHeight w:hRule="exact" w:val="18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19.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Determine who will have the right to trigger remedies for breaches of,</w:t>
            </w:r>
            <w:r>
              <w:rPr>
                <w:rFonts w:ascii="Arial"/>
                <w:spacing w:val="-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otherwise enforce, ICANN/PTI Contract (i.e., will PTI Board exercise this right</w:t>
            </w:r>
            <w:r>
              <w:rPr>
                <w:rFonts w:ascii="Arial"/>
                <w:spacing w:val="-1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or will this require CSC or IFR). (Sections  III.A.i.b, c, and</w:t>
            </w:r>
            <w:r>
              <w:rPr>
                <w:rFonts w:ascii="Arial"/>
                <w:spacing w:val="-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CWG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50700E"/>
        </w:tc>
      </w:tr>
      <w:tr w:rsidR="0050700E" w:rsidTr="003E1391">
        <w:trPr>
          <w:trHeight w:hRule="exact" w:val="12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 w:right="3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DT-A SLE documentation following receipt of additional IANA</w:t>
            </w:r>
            <w:r>
              <w:rPr>
                <w:rFonts w:ascii="Arial"/>
                <w:spacing w:val="-4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documentation.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(Section III.A.ii.b. and Annex</w:t>
            </w:r>
            <w:r>
              <w:rPr>
                <w:rFonts w:ascii="Arial"/>
                <w:spacing w:val="-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DT-A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50700E"/>
        </w:tc>
      </w:tr>
      <w:tr w:rsidR="0050700E">
        <w:trPr>
          <w:trHeight w:hRule="exact" w:val="492"/>
        </w:trPr>
        <w:tc>
          <w:tcPr>
            <w:tcW w:w="1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0700E" w:rsidRDefault="00214FE6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Escalation mechanisms</w:t>
            </w:r>
          </w:p>
        </w:tc>
      </w:tr>
      <w:tr w:rsidR="0050700E" w:rsidTr="00487EA3">
        <w:trPr>
          <w:trHeight w:hRule="exact" w:val="13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0"/>
              <w:ind w:left="103" w:right="2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Who does ccNSO/GNSO escalate unresolved issues to? Will there be an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IRP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process?  (Section III.A.ii.a. and Annex J, footnote</w:t>
            </w:r>
            <w:r>
              <w:rPr>
                <w:rFonts w:ascii="Arial"/>
                <w:spacing w:val="-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22)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0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DT-M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FA21B3">
            <w:r>
              <w:t>This is related to Q. 16 and will be dependent upon the procedures developed by the ccNSO and GNSO, which are expected to happen post-transition.</w:t>
            </w:r>
          </w:p>
        </w:tc>
      </w:tr>
      <w:tr w:rsidR="0050700E" w:rsidTr="00557B87">
        <w:trPr>
          <w:trHeight w:hRule="exact" w:val="26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 w:right="3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Additional detail on how a persistent performance issue/systemic problem</w:t>
            </w:r>
            <w:r>
              <w:rPr>
                <w:rFonts w:ascii="Arial"/>
                <w:spacing w:val="-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will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defined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(e.g.,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discretion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given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CSC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or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some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principles-based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standard)? (Section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III.A.ii.c.)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DT-M and</w:t>
            </w:r>
            <w:r>
              <w:rPr>
                <w:rFonts w:ascii="Arial"/>
                <w:spacing w:val="-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DT-C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FA21B3">
            <w:r>
              <w:t>This is related to Q15 and should also be considered in the context of the SLAs contained in the contract</w:t>
            </w:r>
            <w:r w:rsidR="005E1ABA">
              <w:t>.</w:t>
            </w:r>
          </w:p>
          <w:p w:rsidR="00FA21B3" w:rsidRDefault="00FA21B3"/>
          <w:p w:rsidR="00FA21B3" w:rsidRDefault="0064187C" w:rsidP="00557B87">
            <w:r>
              <w:t xml:space="preserve">The Remedial Action Procedures should contain a threshold of what is regarded persistent or systemic problems, </w:t>
            </w:r>
            <w:r w:rsidR="00557B87">
              <w:t>for example if reports reveal that an SLA has not be met for 6 continuous months this would be considered a persistent performance issue</w:t>
            </w:r>
            <w:r>
              <w:t xml:space="preserve">; however, it should be recognized that the CSC will have the discretion </w:t>
            </w:r>
            <w:r w:rsidR="00557B87">
              <w:t>to determine</w:t>
            </w:r>
            <w:r>
              <w:t xml:space="preserve"> whether </w:t>
            </w:r>
            <w:r w:rsidR="00557B87">
              <w:t>this is a trivial or serious matter, and agree a course of action appropriate to</w:t>
            </w:r>
            <w:r>
              <w:t xml:space="preserve"> the circumstances.  </w:t>
            </w:r>
          </w:p>
        </w:tc>
      </w:tr>
      <w:tr w:rsidR="0050700E" w:rsidTr="00487EA3">
        <w:trPr>
          <w:trHeight w:hRule="exact" w:val="10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Customer complaints, Phase 2: additional detail on customer mediation</w:t>
            </w:r>
            <w:r>
              <w:rPr>
                <w:rFonts w:ascii="Arial"/>
                <w:spacing w:val="-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process</w:t>
            </w:r>
            <w:r w:rsidR="00060401">
              <w:rPr>
                <w:rFonts w:ascii="Arial"/>
                <w:sz w:val="21"/>
              </w:rPr>
              <w:t xml:space="preserve"> and ability to initiate an IRP. (Annex I, page</w:t>
            </w:r>
            <w:r w:rsidR="00060401">
              <w:rPr>
                <w:rFonts w:ascii="Arial"/>
                <w:spacing w:val="-3"/>
                <w:sz w:val="21"/>
              </w:rPr>
              <w:t xml:space="preserve"> </w:t>
            </w:r>
            <w:r w:rsidR="00060401">
              <w:rPr>
                <w:rFonts w:ascii="Arial"/>
                <w:sz w:val="21"/>
              </w:rPr>
              <w:t>66)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DT-M and</w:t>
            </w:r>
            <w:r>
              <w:rPr>
                <w:rFonts w:ascii="Arial"/>
                <w:spacing w:val="-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DT-C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557B87" w:rsidP="00557B87">
            <w:r>
              <w:t>It appears that this question relates to a) and c) and as such is outside the remit of the CSC</w:t>
            </w:r>
            <w:r w:rsidR="005E1ABA">
              <w:t>.</w:t>
            </w:r>
          </w:p>
          <w:p w:rsidR="00557B87" w:rsidRDefault="00557B87" w:rsidP="00557B87"/>
          <w:p w:rsidR="00557B87" w:rsidRDefault="00557B87" w:rsidP="00557B87"/>
        </w:tc>
      </w:tr>
      <w:tr w:rsidR="0050700E" w:rsidTr="00557B87">
        <w:trPr>
          <w:trHeight w:hRule="exact" w:val="3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37.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 w:right="3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Customer Standing Committee (CSC) – A CSC should be created</w:t>
            </w:r>
            <w:r>
              <w:rPr>
                <w:rFonts w:ascii="Arial" w:eastAsia="Arial" w:hAnsi="Arial" w:cs="Arial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empowered to monitor the performance of the IANA functions and</w:t>
            </w:r>
            <w:r>
              <w:rPr>
                <w:rFonts w:ascii="Arial" w:eastAsia="Arial" w:hAnsi="Arial" w:cs="Arial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escalate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non-remediated issues to the ccNSO and GNSO. The CSC should</w:t>
            </w:r>
            <w:r>
              <w:rPr>
                <w:rFonts w:ascii="Arial" w:eastAsia="Arial" w:hAnsi="Arial" w:cs="Arial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contemplated by the ICANN bylaws. If not currently within the mandate,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ccNSO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and/or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GNSO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should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empowered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address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matters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escalated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the CSC.  Section III.A.ii.a.; Annex G and Annex</w:t>
            </w:r>
            <w:r>
              <w:rPr>
                <w:rFonts w:ascii="Arial" w:eastAsia="Arial" w:hAnsi="Arial" w:cs="Arial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CWG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E" w:rsidRDefault="00214FE6">
            <w:pPr>
              <w:pStyle w:val="TableParagraph"/>
              <w:spacing w:before="121"/>
              <w:ind w:left="103" w:right="5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z w:val="21"/>
              </w:rPr>
              <w:t>Note: Continue</w:t>
            </w:r>
            <w:r>
              <w:rPr>
                <w:rFonts w:ascii="Arial"/>
                <w:i/>
                <w:spacing w:val="-1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to</w:t>
            </w:r>
            <w:r>
              <w:rPr>
                <w:rFonts w:asci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monitor</w:t>
            </w:r>
          </w:p>
        </w:tc>
      </w:tr>
    </w:tbl>
    <w:p w:rsidR="00214FE6" w:rsidRDefault="00214FE6"/>
    <w:sectPr w:rsidR="00214FE6">
      <w:footerReference w:type="default" r:id="rId7"/>
      <w:pgSz w:w="15840" w:h="12240" w:orient="landscape"/>
      <w:pgMar w:top="1140" w:right="1220" w:bottom="1060" w:left="1220" w:header="0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34" w:rsidRDefault="00695534">
      <w:r>
        <w:separator/>
      </w:r>
    </w:p>
  </w:endnote>
  <w:endnote w:type="continuationSeparator" w:id="0">
    <w:p w:rsidR="00695534" w:rsidRDefault="0069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0E" w:rsidRDefault="0069553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1.35pt;margin-top:556.2pt;width:9.35pt;height:12.5pt;z-index:-18616;mso-position-horizontal-relative:page;mso-position-vertical-relative:page" filled="f" stroked="f">
          <v:textbox inset="0,0,0,0">
            <w:txbxContent>
              <w:p w:rsidR="0050700E" w:rsidRDefault="00214FE6">
                <w:pPr>
                  <w:spacing w:line="234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455FDF">
                  <w:rPr>
                    <w:rFonts w:ascii="Calibri"/>
                    <w:noProof/>
                    <w:w w:val="99"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pt;margin-top:567.75pt;width:64.3pt;height:9.05pt;z-index:-18592;mso-position-horizontal-relative:page;mso-position-vertical-relative:page" filled="f" stroked="f">
          <v:textbox inset="0,0,0,0">
            <w:txbxContent>
              <w:p w:rsidR="0050700E" w:rsidRDefault="00214FE6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pacing w:val="-1"/>
                    <w:sz w:val="14"/>
                  </w:rPr>
                  <w:t>ACTIV</w:t>
                </w:r>
                <w:r>
                  <w:rPr>
                    <w:rFonts w:ascii="Arial"/>
                    <w:sz w:val="14"/>
                  </w:rPr>
                  <w:t xml:space="preserve">E </w:t>
                </w:r>
                <w:r>
                  <w:rPr>
                    <w:rFonts w:ascii="Arial"/>
                    <w:spacing w:val="-1"/>
                    <w:sz w:val="14"/>
                  </w:rPr>
                  <w:t>2</w:t>
                </w:r>
                <w:r>
                  <w:rPr>
                    <w:rFonts w:ascii="Arial"/>
                    <w:spacing w:val="-2"/>
                    <w:sz w:val="14"/>
                  </w:rPr>
                  <w:t>0</w:t>
                </w:r>
                <w:r>
                  <w:rPr>
                    <w:rFonts w:ascii="Arial"/>
                    <w:spacing w:val="-1"/>
                    <w:sz w:val="14"/>
                  </w:rPr>
                  <w:t>72902</w:t>
                </w:r>
                <w:r>
                  <w:rPr>
                    <w:rFonts w:ascii="Arial"/>
                    <w:spacing w:val="-2"/>
                    <w:sz w:val="14"/>
                  </w:rPr>
                  <w:t>5</w:t>
                </w:r>
                <w:r>
                  <w:rPr>
                    <w:rFonts w:ascii="Arial"/>
                    <w:sz w:val="1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34" w:rsidRDefault="00695534">
      <w:r>
        <w:separator/>
      </w:r>
    </w:p>
  </w:footnote>
  <w:footnote w:type="continuationSeparator" w:id="0">
    <w:p w:rsidR="00695534" w:rsidRDefault="00695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F58C1"/>
    <w:multiLevelType w:val="hybridMultilevel"/>
    <w:tmpl w:val="77F20D28"/>
    <w:lvl w:ilvl="0" w:tplc="18AABB86">
      <w:start w:val="1"/>
      <w:numFmt w:val="lowerRoman"/>
      <w:lvlText w:val="%1."/>
      <w:lvlJc w:val="left"/>
      <w:pPr>
        <w:ind w:left="823" w:hanging="464"/>
        <w:jc w:val="right"/>
      </w:pPr>
      <w:rPr>
        <w:rFonts w:ascii="Arial" w:eastAsia="Arial" w:hAnsi="Arial" w:hint="default"/>
        <w:w w:val="100"/>
        <w:sz w:val="21"/>
        <w:szCs w:val="21"/>
      </w:rPr>
    </w:lvl>
    <w:lvl w:ilvl="1" w:tplc="95BA6F1A">
      <w:start w:val="1"/>
      <w:numFmt w:val="bullet"/>
      <w:lvlText w:val="•"/>
      <w:lvlJc w:val="left"/>
      <w:pPr>
        <w:ind w:left="1502" w:hanging="464"/>
      </w:pPr>
      <w:rPr>
        <w:rFonts w:hint="default"/>
      </w:rPr>
    </w:lvl>
    <w:lvl w:ilvl="2" w:tplc="C346FB1E">
      <w:start w:val="1"/>
      <w:numFmt w:val="bullet"/>
      <w:lvlText w:val="•"/>
      <w:lvlJc w:val="left"/>
      <w:pPr>
        <w:ind w:left="2184" w:hanging="464"/>
      </w:pPr>
      <w:rPr>
        <w:rFonts w:hint="default"/>
      </w:rPr>
    </w:lvl>
    <w:lvl w:ilvl="3" w:tplc="503CA29A">
      <w:start w:val="1"/>
      <w:numFmt w:val="bullet"/>
      <w:lvlText w:val="•"/>
      <w:lvlJc w:val="left"/>
      <w:pPr>
        <w:ind w:left="2866" w:hanging="464"/>
      </w:pPr>
      <w:rPr>
        <w:rFonts w:hint="default"/>
      </w:rPr>
    </w:lvl>
    <w:lvl w:ilvl="4" w:tplc="741AA306">
      <w:start w:val="1"/>
      <w:numFmt w:val="bullet"/>
      <w:lvlText w:val="•"/>
      <w:lvlJc w:val="left"/>
      <w:pPr>
        <w:ind w:left="3548" w:hanging="464"/>
      </w:pPr>
      <w:rPr>
        <w:rFonts w:hint="default"/>
      </w:rPr>
    </w:lvl>
    <w:lvl w:ilvl="5" w:tplc="8AFA1C86">
      <w:start w:val="1"/>
      <w:numFmt w:val="bullet"/>
      <w:lvlText w:val="•"/>
      <w:lvlJc w:val="left"/>
      <w:pPr>
        <w:ind w:left="4230" w:hanging="464"/>
      </w:pPr>
      <w:rPr>
        <w:rFonts w:hint="default"/>
      </w:rPr>
    </w:lvl>
    <w:lvl w:ilvl="6" w:tplc="A6766AE0">
      <w:start w:val="1"/>
      <w:numFmt w:val="bullet"/>
      <w:lvlText w:val="•"/>
      <w:lvlJc w:val="left"/>
      <w:pPr>
        <w:ind w:left="4912" w:hanging="464"/>
      </w:pPr>
      <w:rPr>
        <w:rFonts w:hint="default"/>
      </w:rPr>
    </w:lvl>
    <w:lvl w:ilvl="7" w:tplc="8188DE52">
      <w:start w:val="1"/>
      <w:numFmt w:val="bullet"/>
      <w:lvlText w:val="•"/>
      <w:lvlJc w:val="left"/>
      <w:pPr>
        <w:ind w:left="5594" w:hanging="464"/>
      </w:pPr>
      <w:rPr>
        <w:rFonts w:hint="default"/>
      </w:rPr>
    </w:lvl>
    <w:lvl w:ilvl="8" w:tplc="7998337A">
      <w:start w:val="1"/>
      <w:numFmt w:val="bullet"/>
      <w:lvlText w:val="•"/>
      <w:lvlJc w:val="left"/>
      <w:pPr>
        <w:ind w:left="6276" w:hanging="4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700E"/>
    <w:rsid w:val="00060401"/>
    <w:rsid w:val="00085DF5"/>
    <w:rsid w:val="00214FE6"/>
    <w:rsid w:val="002B33C5"/>
    <w:rsid w:val="003E1391"/>
    <w:rsid w:val="00455FDF"/>
    <w:rsid w:val="00487EA3"/>
    <w:rsid w:val="004C28A6"/>
    <w:rsid w:val="0050700E"/>
    <w:rsid w:val="00557B87"/>
    <w:rsid w:val="005660B7"/>
    <w:rsid w:val="005E1ABA"/>
    <w:rsid w:val="0064187C"/>
    <w:rsid w:val="00695534"/>
    <w:rsid w:val="0098661A"/>
    <w:rsid w:val="009F7374"/>
    <w:rsid w:val="00B450CE"/>
    <w:rsid w:val="00B91FF5"/>
    <w:rsid w:val="00C02FA9"/>
    <w:rsid w:val="00F20E0E"/>
    <w:rsid w:val="00F4388A"/>
    <w:rsid w:val="00FA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B7AA775-FEB2-4C15-927C-25DB139C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hanging="998"/>
    </w:pPr>
    <w:rPr>
      <w:rFonts w:ascii="Arial" w:eastAsia="Arial" w:hAnsi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- 207290251_7</vt:lpstr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- 207290251_7</dc:title>
  <dc:creator>sflanaga</dc:creator>
  <cp:lastModifiedBy>donna austin</cp:lastModifiedBy>
  <cp:revision>3</cp:revision>
  <dcterms:created xsi:type="dcterms:W3CDTF">2015-05-08T23:31:00Z</dcterms:created>
  <dcterms:modified xsi:type="dcterms:W3CDTF">2015-05-08T23:36:00Z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2015-05-07T00:00:00Z</vt:filetime>
  </property>
</Properties>
</file>