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3DA9F9F4" w:rsidR="00D30989" w:rsidRPr="000F202A" w:rsidRDefault="00D30989" w:rsidP="00B255F9">
      <w:pPr>
        <w:spacing w:after="0" w:line="240" w:lineRule="auto"/>
        <w:rPr>
          <w:b/>
        </w:rPr>
      </w:pPr>
      <w:r w:rsidRPr="000F202A">
        <w:rPr>
          <w:b/>
        </w:rPr>
        <w:t>Title of Effort:</w:t>
      </w:r>
      <w:r w:rsidRPr="000F202A">
        <w:t xml:space="preserve"> </w:t>
      </w:r>
      <w:r w:rsidR="00B255F9">
        <w:t xml:space="preserve"> </w:t>
      </w:r>
      <w:r w:rsidR="002C1866" w:rsidRPr="002C1866">
        <w:t>PDP – AGP (Add Grace Period) Limits Policy (also known as Domain Tasting)</w:t>
      </w:r>
    </w:p>
    <w:p w14:paraId="07618C3D" w14:textId="250CA23A" w:rsidR="00F2578A" w:rsidRPr="000F202A" w:rsidRDefault="00F2578A" w:rsidP="00B255F9">
      <w:pPr>
        <w:spacing w:after="0" w:line="240" w:lineRule="auto"/>
        <w:rPr>
          <w:b/>
        </w:rPr>
      </w:pPr>
      <w:r w:rsidRPr="000F202A">
        <w:rPr>
          <w:b/>
        </w:rPr>
        <w:t xml:space="preserve">Start &amp; End Dates: </w:t>
      </w:r>
      <w:r w:rsidRPr="000F202A">
        <w:t xml:space="preserve"> </w:t>
      </w:r>
      <w:r w:rsidR="002C1866">
        <w:t>MAY</w:t>
      </w:r>
      <w:r w:rsidR="00CB6617" w:rsidRPr="000F202A">
        <w:t xml:space="preserve"> 200</w:t>
      </w:r>
      <w:r w:rsidR="002C1866">
        <w:t>7</w:t>
      </w:r>
      <w:r w:rsidR="00CB6617" w:rsidRPr="000F202A">
        <w:t xml:space="preserve"> – </w:t>
      </w:r>
      <w:r w:rsidR="008E1CDB">
        <w:t>DEC</w:t>
      </w:r>
      <w:r w:rsidR="002C1866">
        <w:t xml:space="preserve"> 200</w:t>
      </w:r>
      <w:r w:rsidR="008E1CDB">
        <w:t>9</w:t>
      </w:r>
    </w:p>
    <w:p w14:paraId="65F45967" w14:textId="46D286F2" w:rsidR="00D30989" w:rsidRPr="000F202A" w:rsidRDefault="00D30989" w:rsidP="00B255F9">
      <w:pPr>
        <w:spacing w:after="0" w:line="240" w:lineRule="auto"/>
        <w:rPr>
          <w:b/>
        </w:rPr>
      </w:pPr>
      <w:r w:rsidRPr="000F202A">
        <w:rPr>
          <w:b/>
        </w:rPr>
        <w:t>Link to Effort:</w:t>
      </w:r>
      <w:r w:rsidRPr="00B255F9">
        <w:t xml:space="preserve">  </w:t>
      </w:r>
      <w:hyperlink r:id="rId6" w:history="1">
        <w:r w:rsidR="002C1866" w:rsidRPr="00D632CF">
          <w:rPr>
            <w:rStyle w:val="Hyperlink"/>
          </w:rPr>
          <w:t>http://gnso.icann.org/en/group-activities/</w:t>
        </w:r>
        <w:r w:rsidR="002C1866" w:rsidRPr="00D632CF">
          <w:rPr>
            <w:rStyle w:val="Hyperlink"/>
          </w:rPr>
          <w:t>i</w:t>
        </w:r>
        <w:r w:rsidR="002C1866" w:rsidRPr="00D632CF">
          <w:rPr>
            <w:rStyle w:val="Hyperlink"/>
          </w:rPr>
          <w:t>nactive/2008/domain-tasting</w:t>
        </w:r>
      </w:hyperlink>
      <w:r w:rsidR="002C1866">
        <w:t xml:space="preserve"> </w:t>
      </w:r>
    </w:p>
    <w:p w14:paraId="031800C1" w14:textId="42D9F84A" w:rsidR="00D30989" w:rsidRPr="000F202A" w:rsidRDefault="005915B6" w:rsidP="00B255F9">
      <w:pPr>
        <w:spacing w:after="0" w:line="240" w:lineRule="auto"/>
        <w:rPr>
          <w:b/>
        </w:rPr>
      </w:pPr>
      <w:r w:rsidRPr="000F202A">
        <w:rPr>
          <w:b/>
        </w:rPr>
        <w:t>Key Contributors:</w:t>
      </w:r>
      <w:r w:rsidR="000F202A">
        <w:rPr>
          <w:b/>
        </w:rPr>
        <w:t xml:space="preserve"> </w:t>
      </w:r>
      <w:r w:rsidR="000F202A" w:rsidRPr="000F202A">
        <w:t xml:space="preserve"> </w:t>
      </w:r>
      <w:r w:rsidR="00FF6BA7">
        <w:t>Chair (</w:t>
      </w:r>
      <w:r w:rsidR="002C1866">
        <w:t xml:space="preserve">Mike </w:t>
      </w:r>
      <w:proofErr w:type="spellStart"/>
      <w:r w:rsidR="002C1866">
        <w:t>Rodenbaugh</w:t>
      </w:r>
      <w:proofErr w:type="spellEnd"/>
      <w:r w:rsidR="00FF6BA7">
        <w:t>)</w:t>
      </w:r>
      <w:proofErr w:type="gramStart"/>
      <w:r w:rsidR="00FF6BA7">
        <w:t>;  Staff</w:t>
      </w:r>
      <w:proofErr w:type="gramEnd"/>
      <w:r w:rsidR="00FF6BA7">
        <w:t xml:space="preserve"> (</w:t>
      </w:r>
      <w:r w:rsidR="002C1866">
        <w:t xml:space="preserve">Liz </w:t>
      </w:r>
      <w:proofErr w:type="spellStart"/>
      <w:r w:rsidR="002C1866">
        <w:t>Gasster</w:t>
      </w:r>
      <w:proofErr w:type="spellEnd"/>
      <w:r w:rsidR="00FF6BA7">
        <w:t>)</w:t>
      </w:r>
    </w:p>
    <w:tbl>
      <w:tblPr>
        <w:tblStyle w:val="TableGrid"/>
        <w:tblW w:w="0" w:type="auto"/>
        <w:tblLook w:val="04A0" w:firstRow="1" w:lastRow="0" w:firstColumn="1" w:lastColumn="0" w:noHBand="0" w:noVBand="1"/>
      </w:tblPr>
      <w:tblGrid>
        <w:gridCol w:w="1859"/>
        <w:gridCol w:w="4845"/>
        <w:gridCol w:w="7912"/>
      </w:tblGrid>
      <w:tr w:rsidR="0018183C" w14:paraId="59E9C4F1" w14:textId="77777777" w:rsidTr="00B022DC">
        <w:trPr>
          <w:tblHeader/>
        </w:trPr>
        <w:tc>
          <w:tcPr>
            <w:tcW w:w="1859" w:type="dxa"/>
            <w:shd w:val="clear" w:color="auto" w:fill="A6A6A6" w:themeFill="background1" w:themeFillShade="A6"/>
          </w:tcPr>
          <w:p w14:paraId="4AE191F4" w14:textId="3BB0B991" w:rsidR="005915B6" w:rsidRPr="005915B6" w:rsidRDefault="0019479F" w:rsidP="005915B6">
            <w:pPr>
              <w:jc w:val="center"/>
              <w:rPr>
                <w:b/>
              </w:rPr>
            </w:pPr>
            <w:r>
              <w:rPr>
                <w:b/>
              </w:rPr>
              <w:t>Work Product</w:t>
            </w:r>
          </w:p>
        </w:tc>
        <w:tc>
          <w:tcPr>
            <w:tcW w:w="4845"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12"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B022DC">
        <w:tc>
          <w:tcPr>
            <w:tcW w:w="1859" w:type="dxa"/>
            <w:shd w:val="clear" w:color="auto" w:fill="auto"/>
          </w:tcPr>
          <w:p w14:paraId="78353940" w14:textId="6EF87A36" w:rsidR="005915B6" w:rsidRPr="00222B6B" w:rsidRDefault="0019479F" w:rsidP="005915B6">
            <w:pPr>
              <w:rPr>
                <w:b/>
                <w:sz w:val="20"/>
                <w:szCs w:val="20"/>
              </w:rPr>
            </w:pPr>
            <w:r>
              <w:rPr>
                <w:b/>
                <w:sz w:val="20"/>
                <w:szCs w:val="20"/>
              </w:rPr>
              <w:t>NA</w:t>
            </w:r>
          </w:p>
        </w:tc>
        <w:tc>
          <w:tcPr>
            <w:tcW w:w="4845" w:type="dxa"/>
            <w:shd w:val="clear" w:color="auto" w:fill="auto"/>
          </w:tcPr>
          <w:p w14:paraId="2CE23514" w14:textId="77777777" w:rsidR="005915B6" w:rsidRDefault="005915B6" w:rsidP="00D30989">
            <w:pPr>
              <w:rPr>
                <w:sz w:val="20"/>
                <w:szCs w:val="20"/>
              </w:rPr>
            </w:pPr>
            <w:r w:rsidRPr="005915B6">
              <w:rPr>
                <w:sz w:val="20"/>
                <w:szCs w:val="20"/>
              </w:rPr>
              <w:t>Was this effort a PDP or non-PDP?</w:t>
            </w:r>
          </w:p>
          <w:p w14:paraId="58C82A12" w14:textId="77777777" w:rsidR="0019479F" w:rsidRDefault="0019479F" w:rsidP="0019479F">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7D1AF83C" w14:textId="77777777" w:rsidR="005915B6" w:rsidRPr="005915B6" w:rsidRDefault="005915B6" w:rsidP="00D30989">
            <w:pPr>
              <w:rPr>
                <w:sz w:val="20"/>
                <w:szCs w:val="20"/>
              </w:rPr>
            </w:pPr>
          </w:p>
        </w:tc>
        <w:tc>
          <w:tcPr>
            <w:tcW w:w="7912" w:type="dxa"/>
          </w:tcPr>
          <w:p w14:paraId="119746B2" w14:textId="2AB7FA4C" w:rsidR="005915B6" w:rsidRDefault="008E1CDB" w:rsidP="00CB6617">
            <w:pPr>
              <w:rPr>
                <w:sz w:val="20"/>
                <w:szCs w:val="20"/>
              </w:rPr>
            </w:pPr>
            <w:proofErr w:type="spellStart"/>
            <w:r>
              <w:rPr>
                <w:sz w:val="20"/>
                <w:szCs w:val="20"/>
              </w:rPr>
              <w:t>Adhoc</w:t>
            </w:r>
            <w:proofErr w:type="spellEnd"/>
            <w:r>
              <w:rPr>
                <w:sz w:val="20"/>
                <w:szCs w:val="20"/>
              </w:rPr>
              <w:t xml:space="preserve"> Group</w:t>
            </w:r>
            <w:r w:rsidR="00932ED4">
              <w:rPr>
                <w:sz w:val="20"/>
                <w:szCs w:val="20"/>
              </w:rPr>
              <w:t xml:space="preserve"> – initiated </w:t>
            </w:r>
            <w:r w:rsidR="00CB6617">
              <w:rPr>
                <w:sz w:val="20"/>
                <w:szCs w:val="20"/>
              </w:rPr>
              <w:t>2</w:t>
            </w:r>
            <w:r w:rsidR="002E3D76">
              <w:rPr>
                <w:sz w:val="20"/>
                <w:szCs w:val="20"/>
              </w:rPr>
              <w:t>7</w:t>
            </w:r>
            <w:r w:rsidR="00932ED4">
              <w:rPr>
                <w:sz w:val="20"/>
                <w:szCs w:val="20"/>
              </w:rPr>
              <w:t xml:space="preserve"> </w:t>
            </w:r>
            <w:r w:rsidR="00CB6617">
              <w:rPr>
                <w:sz w:val="20"/>
                <w:szCs w:val="20"/>
              </w:rPr>
              <w:t>June</w:t>
            </w:r>
            <w:r w:rsidR="00932ED4">
              <w:rPr>
                <w:sz w:val="20"/>
                <w:szCs w:val="20"/>
              </w:rPr>
              <w:t xml:space="preserve"> 200</w:t>
            </w:r>
            <w:r w:rsidR="002E3D76">
              <w:rPr>
                <w:sz w:val="20"/>
                <w:szCs w:val="20"/>
              </w:rPr>
              <w:t>7</w:t>
            </w:r>
            <w:r>
              <w:rPr>
                <w:sz w:val="20"/>
                <w:szCs w:val="20"/>
              </w:rPr>
              <w:t>; PDP initiated 31 OCT 2007</w:t>
            </w:r>
          </w:p>
          <w:p w14:paraId="737FE165" w14:textId="77777777" w:rsidR="0019479F" w:rsidRDefault="0019479F" w:rsidP="0019479F">
            <w:pPr>
              <w:rPr>
                <w:sz w:val="20"/>
                <w:szCs w:val="20"/>
              </w:rPr>
            </w:pPr>
            <w:r>
              <w:rPr>
                <w:sz w:val="20"/>
                <w:szCs w:val="20"/>
              </w:rPr>
              <w:t>Yes, Consensus Policy recommendations were made</w:t>
            </w:r>
          </w:p>
          <w:p w14:paraId="0EB209F0" w14:textId="3B99D351" w:rsidR="0019479F" w:rsidRPr="005915B6" w:rsidRDefault="0019479F" w:rsidP="00CB6617">
            <w:pPr>
              <w:rPr>
                <w:sz w:val="20"/>
                <w:szCs w:val="20"/>
              </w:rPr>
            </w:pPr>
          </w:p>
        </w:tc>
      </w:tr>
      <w:tr w:rsidR="00AA4694" w14:paraId="17E0351F" w14:textId="77777777" w:rsidTr="00B022DC">
        <w:tc>
          <w:tcPr>
            <w:tcW w:w="1859" w:type="dxa"/>
            <w:shd w:val="clear" w:color="auto" w:fill="auto"/>
          </w:tcPr>
          <w:p w14:paraId="27ECEE0C" w14:textId="7CFB13FA" w:rsidR="00AA4694" w:rsidRPr="00222B6B" w:rsidRDefault="0019479F" w:rsidP="005915B6">
            <w:pPr>
              <w:rPr>
                <w:b/>
                <w:sz w:val="20"/>
                <w:szCs w:val="20"/>
              </w:rPr>
            </w:pPr>
            <w:r>
              <w:rPr>
                <w:b/>
                <w:sz w:val="20"/>
                <w:szCs w:val="20"/>
              </w:rPr>
              <w:t>NA</w:t>
            </w:r>
          </w:p>
        </w:tc>
        <w:tc>
          <w:tcPr>
            <w:tcW w:w="4845" w:type="dxa"/>
            <w:shd w:val="clear" w:color="auto" w:fill="auto"/>
          </w:tcPr>
          <w:p w14:paraId="1808E167" w14:textId="77777777" w:rsidR="00AA4694" w:rsidRDefault="00AA4694" w:rsidP="00D30989">
            <w:pPr>
              <w:rPr>
                <w:sz w:val="20"/>
                <w:szCs w:val="20"/>
              </w:rPr>
            </w:pPr>
            <w:r>
              <w:rPr>
                <w:sz w:val="20"/>
                <w:szCs w:val="20"/>
              </w:rPr>
              <w:t>What is the summary of issue/problem addressed by the Working Group?</w:t>
            </w:r>
          </w:p>
          <w:p w14:paraId="4774FA7B" w14:textId="7B15F4BF" w:rsidR="00B34631" w:rsidRDefault="00B34631" w:rsidP="00D30989">
            <w:pPr>
              <w:rPr>
                <w:sz w:val="20"/>
                <w:szCs w:val="20"/>
              </w:rPr>
            </w:pPr>
          </w:p>
        </w:tc>
        <w:tc>
          <w:tcPr>
            <w:tcW w:w="7912" w:type="dxa"/>
          </w:tcPr>
          <w:p w14:paraId="048D55F7" w14:textId="0F4261B0" w:rsidR="00382B72" w:rsidRPr="00382B72" w:rsidRDefault="00382B72" w:rsidP="00382B72">
            <w:pPr>
              <w:rPr>
                <w:sz w:val="20"/>
                <w:szCs w:val="20"/>
              </w:rPr>
            </w:pPr>
            <w:r w:rsidRPr="00382B72">
              <w:rPr>
                <w:sz w:val="20"/>
                <w:szCs w:val="20"/>
              </w:rPr>
              <w:t xml:space="preserve">The practice of domain tasting (using the add grace period to register domain names in order to test their profitability) escalated significantly </w:t>
            </w:r>
            <w:r w:rsidR="007144EB">
              <w:rPr>
                <w:sz w:val="20"/>
                <w:szCs w:val="20"/>
              </w:rPr>
              <w:t>at the time</w:t>
            </w:r>
            <w:r w:rsidRPr="00382B72">
              <w:rPr>
                <w:sz w:val="20"/>
                <w:szCs w:val="20"/>
              </w:rPr>
              <w:t xml:space="preserve">. ICANN community stakeholders </w:t>
            </w:r>
            <w:r w:rsidR="007144EB">
              <w:rPr>
                <w:sz w:val="20"/>
                <w:szCs w:val="20"/>
              </w:rPr>
              <w:t>were</w:t>
            </w:r>
            <w:r w:rsidRPr="00382B72">
              <w:rPr>
                <w:sz w:val="20"/>
                <w:szCs w:val="20"/>
              </w:rPr>
              <w:t xml:space="preserve"> increasingly concerned about the negative effects of domain tasting and in the spring of 2007 the At Large Advisory Committee (ALAC) asked that the domain tasting issue be studied further by the GNSO Council. </w:t>
            </w:r>
          </w:p>
          <w:p w14:paraId="3D27894C" w14:textId="77777777" w:rsidR="00382B72" w:rsidRPr="00382B72" w:rsidRDefault="00382B72" w:rsidP="00382B72">
            <w:pPr>
              <w:rPr>
                <w:sz w:val="20"/>
                <w:szCs w:val="20"/>
              </w:rPr>
            </w:pPr>
            <w:r w:rsidRPr="00382B72">
              <w:rPr>
                <w:sz w:val="20"/>
                <w:szCs w:val="20"/>
              </w:rPr>
              <w:t xml:space="preserve">The ALAC request enumerated five areas of potential concern for Internet users: </w:t>
            </w:r>
          </w:p>
          <w:p w14:paraId="30CAF4AA" w14:textId="77777777" w:rsidR="00382B72" w:rsidRPr="00382B72" w:rsidRDefault="00382B72" w:rsidP="00382B72">
            <w:pPr>
              <w:rPr>
                <w:sz w:val="20"/>
                <w:szCs w:val="20"/>
              </w:rPr>
            </w:pPr>
            <w:r w:rsidRPr="00382B72">
              <w:rPr>
                <w:sz w:val="20"/>
                <w:szCs w:val="20"/>
              </w:rPr>
              <w:t xml:space="preserve">1. Potential destabilization of the domain name system through excessive operational load on registry systems; </w:t>
            </w:r>
          </w:p>
          <w:p w14:paraId="7518DF3E" w14:textId="77777777" w:rsidR="00382B72" w:rsidRPr="00382B72" w:rsidRDefault="00382B72" w:rsidP="00382B72">
            <w:pPr>
              <w:rPr>
                <w:sz w:val="20"/>
                <w:szCs w:val="20"/>
              </w:rPr>
            </w:pPr>
            <w:r w:rsidRPr="00382B72">
              <w:rPr>
                <w:sz w:val="20"/>
                <w:szCs w:val="20"/>
              </w:rPr>
              <w:t xml:space="preserve">2. Creation of consumer confusion as names quickly appear and disappear, or as users are redirected to advertising or otherwise confusing sites; </w:t>
            </w:r>
          </w:p>
          <w:p w14:paraId="56394449" w14:textId="77777777" w:rsidR="00382B72" w:rsidRPr="00382B72" w:rsidRDefault="00382B72" w:rsidP="00382B72">
            <w:pPr>
              <w:rPr>
                <w:sz w:val="20"/>
                <w:szCs w:val="20"/>
              </w:rPr>
            </w:pPr>
            <w:r w:rsidRPr="00382B72">
              <w:rPr>
                <w:sz w:val="20"/>
                <w:szCs w:val="20"/>
              </w:rPr>
              <w:t xml:space="preserve">3. Potential increased costs and burdens of legitimate registrants and service providers; </w:t>
            </w:r>
          </w:p>
          <w:p w14:paraId="6DFD7A9C" w14:textId="77777777" w:rsidR="00382B72" w:rsidRPr="00382B72" w:rsidRDefault="00382B72" w:rsidP="00382B72">
            <w:pPr>
              <w:rPr>
                <w:sz w:val="20"/>
                <w:szCs w:val="20"/>
              </w:rPr>
            </w:pPr>
            <w:r w:rsidRPr="00382B72">
              <w:rPr>
                <w:sz w:val="20"/>
                <w:szCs w:val="20"/>
              </w:rPr>
              <w:t xml:space="preserve">4. Facilitation of trademark abuse, where existing dispute resolution mechanisms may not be sufficiently timely or cost-effective for trademark holders to use against short-term infringement; and </w:t>
            </w:r>
          </w:p>
          <w:p w14:paraId="610A0093" w14:textId="77777777" w:rsidR="00AA4694" w:rsidRDefault="00382B72" w:rsidP="00382B72">
            <w:pPr>
              <w:rPr>
                <w:sz w:val="20"/>
                <w:szCs w:val="20"/>
              </w:rPr>
            </w:pPr>
            <w:r w:rsidRPr="00382B72">
              <w:rPr>
                <w:sz w:val="20"/>
                <w:szCs w:val="20"/>
              </w:rPr>
              <w:t>5. Facilitation of criminal activity including phishing and pharming.</w:t>
            </w:r>
          </w:p>
          <w:p w14:paraId="57C4E942" w14:textId="77777777" w:rsidR="00382B72" w:rsidRDefault="00382B72" w:rsidP="00382B72">
            <w:pPr>
              <w:rPr>
                <w:sz w:val="20"/>
                <w:szCs w:val="20"/>
              </w:rPr>
            </w:pPr>
          </w:p>
          <w:p w14:paraId="4FA19428" w14:textId="100A4F94" w:rsidR="00B022DC" w:rsidRDefault="00B022DC" w:rsidP="00382B72">
            <w:pPr>
              <w:rPr>
                <w:sz w:val="20"/>
                <w:szCs w:val="20"/>
              </w:rPr>
            </w:pPr>
            <w:r>
              <w:rPr>
                <w:sz w:val="20"/>
                <w:szCs w:val="20"/>
              </w:rPr>
              <w:t>It appears that the ALAC request was in response to the issue being identified by PIR and subsequent SSAC advisory on the issue.</w:t>
            </w:r>
            <w:r w:rsidR="00B81B41">
              <w:rPr>
                <w:sz w:val="20"/>
                <w:szCs w:val="20"/>
              </w:rPr>
              <w:t xml:space="preserve">  PIR created an RSEP for a 5 cent excess deletion fee with abuses of the AGP, but necessarily Domain Tasting.</w:t>
            </w:r>
          </w:p>
          <w:p w14:paraId="04BDA13F" w14:textId="77777777" w:rsidR="00B022DC" w:rsidRDefault="00B022DC" w:rsidP="00382B72">
            <w:pPr>
              <w:rPr>
                <w:sz w:val="20"/>
                <w:szCs w:val="20"/>
              </w:rPr>
            </w:pPr>
          </w:p>
          <w:p w14:paraId="6DBA1C65" w14:textId="28CB819E" w:rsidR="00382B72" w:rsidRDefault="00382B72" w:rsidP="00382B72">
            <w:pPr>
              <w:rPr>
                <w:sz w:val="20"/>
                <w:szCs w:val="20"/>
              </w:rPr>
            </w:pPr>
            <w:r w:rsidRPr="00382B72">
              <w:rPr>
                <w:sz w:val="20"/>
                <w:szCs w:val="20"/>
              </w:rPr>
              <w:t xml:space="preserve">Domain Tasting – Domain tasting is a </w:t>
            </w:r>
            <w:r w:rsidR="007144EB" w:rsidRPr="00382B72">
              <w:rPr>
                <w:sz w:val="20"/>
                <w:szCs w:val="20"/>
              </w:rPr>
              <w:t>monetization</w:t>
            </w:r>
            <w:r w:rsidRPr="00382B72">
              <w:rPr>
                <w:sz w:val="20"/>
                <w:szCs w:val="20"/>
              </w:rPr>
              <w:t xml:space="preserve"> practice employed by registrants to use the add-grace period to register domain names in order to test their profitability. During this period, registrants conduct a cost-benefit analysis to determine if the tested domain names return enough traffic to offset the registration fee paid to the registry over the course of the registration period (e.g., currently $6 US for a .NAME domain name).</w:t>
            </w:r>
          </w:p>
        </w:tc>
      </w:tr>
      <w:tr w:rsidR="0019479F" w14:paraId="5E353B43" w14:textId="77777777" w:rsidTr="00B022DC">
        <w:tc>
          <w:tcPr>
            <w:tcW w:w="1859" w:type="dxa"/>
            <w:shd w:val="clear" w:color="auto" w:fill="F2F2F2" w:themeFill="background1" w:themeFillShade="F2"/>
          </w:tcPr>
          <w:p w14:paraId="187DB77E" w14:textId="05CBD129" w:rsidR="0019479F" w:rsidRPr="00222B6B" w:rsidRDefault="0019479F" w:rsidP="005915B6">
            <w:pPr>
              <w:rPr>
                <w:b/>
                <w:sz w:val="20"/>
                <w:szCs w:val="20"/>
              </w:rPr>
            </w:pPr>
            <w:r>
              <w:rPr>
                <w:b/>
                <w:sz w:val="20"/>
                <w:szCs w:val="20"/>
              </w:rPr>
              <w:t>Final Issue Report</w:t>
            </w:r>
          </w:p>
        </w:tc>
        <w:tc>
          <w:tcPr>
            <w:tcW w:w="4845" w:type="dxa"/>
            <w:shd w:val="clear" w:color="auto" w:fill="F2F2F2" w:themeFill="background1" w:themeFillShade="F2"/>
          </w:tcPr>
          <w:p w14:paraId="38E45F56" w14:textId="710760B3" w:rsidR="0019479F" w:rsidRDefault="0019479F" w:rsidP="0019479F">
            <w:pPr>
              <w:rPr>
                <w:sz w:val="20"/>
                <w:szCs w:val="20"/>
              </w:rPr>
            </w:pPr>
            <w:r w:rsidRPr="005915B6">
              <w:rPr>
                <w:sz w:val="20"/>
                <w:szCs w:val="20"/>
              </w:rPr>
              <w:t xml:space="preserve">Was data </w:t>
            </w:r>
            <w:r>
              <w:rPr>
                <w:sz w:val="20"/>
                <w:szCs w:val="20"/>
              </w:rPr>
              <w:t xml:space="preserve">readily available or specifically </w:t>
            </w:r>
            <w:r w:rsidRPr="005915B6">
              <w:rPr>
                <w:sz w:val="20"/>
                <w:szCs w:val="20"/>
              </w:rPr>
              <w:t xml:space="preserve">collected for this </w:t>
            </w:r>
            <w:r>
              <w:rPr>
                <w:sz w:val="20"/>
                <w:szCs w:val="20"/>
              </w:rPr>
              <w:t>report?</w:t>
            </w:r>
            <w:r w:rsidRPr="005915B6">
              <w:rPr>
                <w:sz w:val="20"/>
                <w:szCs w:val="20"/>
              </w:rPr>
              <w:t xml:space="preserve"> (</w:t>
            </w:r>
            <w:r>
              <w:rPr>
                <w:sz w:val="20"/>
                <w:szCs w:val="20"/>
              </w:rPr>
              <w:t>i.e. was data identified, collected and analyzed during the WG deliberations)</w:t>
            </w:r>
          </w:p>
          <w:p w14:paraId="65CC8B6E" w14:textId="77777777" w:rsidR="0019479F" w:rsidRDefault="0019479F" w:rsidP="00D30989">
            <w:pPr>
              <w:rPr>
                <w:sz w:val="20"/>
                <w:szCs w:val="20"/>
              </w:rPr>
            </w:pPr>
          </w:p>
          <w:p w14:paraId="7D86872B" w14:textId="77777777" w:rsidR="0019479F" w:rsidRDefault="0019479F" w:rsidP="00D30989">
            <w:pPr>
              <w:rPr>
                <w:sz w:val="20"/>
                <w:szCs w:val="20"/>
              </w:rPr>
            </w:pPr>
            <w:r>
              <w:rPr>
                <w:sz w:val="20"/>
                <w:szCs w:val="20"/>
              </w:rPr>
              <w:t xml:space="preserve">If collected, </w:t>
            </w:r>
            <w:r w:rsidRPr="005915B6">
              <w:rPr>
                <w:sz w:val="20"/>
                <w:szCs w:val="20"/>
              </w:rPr>
              <w:t xml:space="preserve">how was </w:t>
            </w:r>
            <w:r>
              <w:rPr>
                <w:sz w:val="20"/>
                <w:szCs w:val="20"/>
              </w:rPr>
              <w:t>it collected, how long did it take and how much did it cost (if any, considering the type of cost (direct bill vs. significant time/effort))</w:t>
            </w:r>
            <w:r w:rsidRPr="005915B6">
              <w:rPr>
                <w:sz w:val="20"/>
                <w:szCs w:val="20"/>
              </w:rPr>
              <w:t>?</w:t>
            </w:r>
          </w:p>
          <w:p w14:paraId="29F528D4" w14:textId="31ECD5A3" w:rsidR="00B92D37" w:rsidRDefault="00B92D37" w:rsidP="00D30989">
            <w:pPr>
              <w:rPr>
                <w:sz w:val="20"/>
                <w:szCs w:val="20"/>
              </w:rPr>
            </w:pPr>
          </w:p>
        </w:tc>
        <w:tc>
          <w:tcPr>
            <w:tcW w:w="7912" w:type="dxa"/>
            <w:shd w:val="clear" w:color="auto" w:fill="F2F2F2" w:themeFill="background1" w:themeFillShade="F2"/>
          </w:tcPr>
          <w:p w14:paraId="7B7ECDC4" w14:textId="77777777" w:rsidR="0019479F" w:rsidRDefault="00C81473" w:rsidP="00970414">
            <w:pPr>
              <w:rPr>
                <w:sz w:val="20"/>
                <w:szCs w:val="20"/>
              </w:rPr>
            </w:pPr>
            <w:r>
              <w:rPr>
                <w:sz w:val="20"/>
                <w:szCs w:val="20"/>
              </w:rPr>
              <w:t>Issue Report Link (</w:t>
            </w:r>
            <w:r w:rsidR="00970414">
              <w:rPr>
                <w:sz w:val="20"/>
                <w:szCs w:val="20"/>
              </w:rPr>
              <w:t>14</w:t>
            </w:r>
            <w:r>
              <w:rPr>
                <w:sz w:val="20"/>
                <w:szCs w:val="20"/>
              </w:rPr>
              <w:t xml:space="preserve"> </w:t>
            </w:r>
            <w:r w:rsidR="00970414">
              <w:rPr>
                <w:sz w:val="20"/>
                <w:szCs w:val="20"/>
              </w:rPr>
              <w:t>JUN</w:t>
            </w:r>
            <w:r>
              <w:rPr>
                <w:sz w:val="20"/>
                <w:szCs w:val="20"/>
              </w:rPr>
              <w:t xml:space="preserve"> </w:t>
            </w:r>
            <w:r w:rsidR="00970414">
              <w:rPr>
                <w:sz w:val="20"/>
                <w:szCs w:val="20"/>
              </w:rPr>
              <w:t>2007</w:t>
            </w:r>
            <w:r>
              <w:rPr>
                <w:sz w:val="20"/>
                <w:szCs w:val="20"/>
              </w:rPr>
              <w:t>)</w:t>
            </w:r>
            <w:r w:rsidR="009F772B">
              <w:rPr>
                <w:sz w:val="20"/>
                <w:szCs w:val="20"/>
              </w:rPr>
              <w:t xml:space="preserve">: </w:t>
            </w:r>
            <w:hyperlink r:id="rId7" w:history="1">
              <w:r w:rsidR="00970414" w:rsidRPr="00D632CF">
                <w:rPr>
                  <w:rStyle w:val="Hyperlink"/>
                  <w:sz w:val="20"/>
                  <w:szCs w:val="20"/>
                </w:rPr>
                <w:t>http://gnso.icann.org/issues/domain-tasting/gnso-domain-tasting-report-14jun07.pdf</w:t>
              </w:r>
            </w:hyperlink>
            <w:r w:rsidR="00970414">
              <w:rPr>
                <w:sz w:val="20"/>
                <w:szCs w:val="20"/>
              </w:rPr>
              <w:t xml:space="preserve"> </w:t>
            </w:r>
          </w:p>
          <w:p w14:paraId="4AA8C84C" w14:textId="77777777" w:rsidR="00382B72" w:rsidRDefault="00382B72" w:rsidP="00970414">
            <w:pPr>
              <w:rPr>
                <w:sz w:val="20"/>
                <w:szCs w:val="20"/>
              </w:rPr>
            </w:pPr>
          </w:p>
          <w:p w14:paraId="360FB688" w14:textId="77777777" w:rsidR="00B022DC" w:rsidRDefault="00B022DC" w:rsidP="00970414">
            <w:pPr>
              <w:rPr>
                <w:sz w:val="20"/>
                <w:szCs w:val="20"/>
              </w:rPr>
            </w:pPr>
            <w:r>
              <w:rPr>
                <w:sz w:val="20"/>
                <w:szCs w:val="20"/>
              </w:rPr>
              <w:t xml:space="preserve">The issue report does make limited reference to the quantity of deletions for .COM, .NET and .ORG via the monthly Registry reports submitted to ICANN.  It was derived from the reports (top Registrars referenced) that a large percentage of the deletes for the defined period were indeed associated to Domain Tasting.  This was only an initial analysis.  </w:t>
            </w:r>
          </w:p>
          <w:p w14:paraId="3ABE3623" w14:textId="77777777" w:rsidR="00B022DC" w:rsidRDefault="00B022DC" w:rsidP="00970414">
            <w:pPr>
              <w:rPr>
                <w:sz w:val="20"/>
                <w:szCs w:val="20"/>
              </w:rPr>
            </w:pPr>
          </w:p>
          <w:p w14:paraId="4C905EBA" w14:textId="21E0FEF4" w:rsidR="00B022DC" w:rsidRDefault="00B022DC" w:rsidP="00970414">
            <w:pPr>
              <w:rPr>
                <w:sz w:val="20"/>
                <w:szCs w:val="20"/>
              </w:rPr>
            </w:pPr>
            <w:r>
              <w:rPr>
                <w:sz w:val="20"/>
                <w:szCs w:val="20"/>
              </w:rPr>
              <w:lastRenderedPageBreak/>
              <w:t xml:space="preserve">The report also recommended that if a PDP be launched that </w:t>
            </w:r>
            <w:r w:rsidRPr="00B022DC">
              <w:rPr>
                <w:sz w:val="20"/>
                <w:szCs w:val="20"/>
              </w:rPr>
              <w:t>"the completion of concrete fact-finding and research will be critical in informing the community’s deliberations."</w:t>
            </w:r>
            <w:r>
              <w:rPr>
                <w:sz w:val="20"/>
                <w:szCs w:val="20"/>
              </w:rPr>
              <w:t xml:space="preserve">   Staff did recommend that a PDP be initiated</w:t>
            </w:r>
          </w:p>
          <w:p w14:paraId="3D2C0E81" w14:textId="27C8C531" w:rsidR="00B022DC" w:rsidRDefault="00B022DC" w:rsidP="00970414">
            <w:pPr>
              <w:rPr>
                <w:sz w:val="20"/>
                <w:szCs w:val="20"/>
              </w:rPr>
            </w:pPr>
          </w:p>
        </w:tc>
      </w:tr>
      <w:tr w:rsidR="0019479F" w14:paraId="0A13A0FD" w14:textId="77777777" w:rsidTr="00B022DC">
        <w:tc>
          <w:tcPr>
            <w:tcW w:w="1859" w:type="dxa"/>
            <w:shd w:val="clear" w:color="auto" w:fill="F2F2F2" w:themeFill="background1" w:themeFillShade="F2"/>
          </w:tcPr>
          <w:p w14:paraId="02F9DED1" w14:textId="04FF932F" w:rsidR="0019479F" w:rsidRDefault="0019479F" w:rsidP="005915B6">
            <w:pPr>
              <w:rPr>
                <w:b/>
                <w:sz w:val="20"/>
                <w:szCs w:val="20"/>
              </w:rPr>
            </w:pPr>
            <w:r>
              <w:rPr>
                <w:b/>
                <w:sz w:val="20"/>
                <w:szCs w:val="20"/>
              </w:rPr>
              <w:lastRenderedPageBreak/>
              <w:t>Final Issue Report</w:t>
            </w:r>
          </w:p>
        </w:tc>
        <w:tc>
          <w:tcPr>
            <w:tcW w:w="4845" w:type="dxa"/>
            <w:shd w:val="clear" w:color="auto" w:fill="F2F2F2" w:themeFill="background1" w:themeFillShade="F2"/>
          </w:tcPr>
          <w:p w14:paraId="7EDDF590" w14:textId="36A4961F" w:rsidR="00C81473" w:rsidRDefault="00A14056" w:rsidP="00C81473">
            <w:pPr>
              <w:rPr>
                <w:sz w:val="20"/>
                <w:szCs w:val="20"/>
              </w:rPr>
            </w:pPr>
            <w:r>
              <w:rPr>
                <w:sz w:val="20"/>
                <w:szCs w:val="20"/>
              </w:rPr>
              <w:t>If collected, w</w:t>
            </w:r>
            <w:r w:rsidR="00C81473" w:rsidRPr="005915B6">
              <w:rPr>
                <w:sz w:val="20"/>
                <w:szCs w:val="20"/>
              </w:rPr>
              <w:t>hat w</w:t>
            </w:r>
            <w:r w:rsidR="00C81473">
              <w:rPr>
                <w:sz w:val="20"/>
                <w:szCs w:val="20"/>
              </w:rPr>
              <w:t xml:space="preserve">ere </w:t>
            </w:r>
            <w:r w:rsidR="00C81473" w:rsidRPr="005915B6">
              <w:rPr>
                <w:sz w:val="20"/>
                <w:szCs w:val="20"/>
              </w:rPr>
              <w:t xml:space="preserve">the </w:t>
            </w:r>
            <w:r w:rsidR="00C81473">
              <w:rPr>
                <w:sz w:val="20"/>
                <w:szCs w:val="20"/>
              </w:rPr>
              <w:t xml:space="preserve">primary </w:t>
            </w:r>
            <w:r w:rsidR="00C81473" w:rsidRPr="005915B6">
              <w:rPr>
                <w:sz w:val="20"/>
                <w:szCs w:val="20"/>
              </w:rPr>
              <w:t>source</w:t>
            </w:r>
            <w:r w:rsidR="00C81473">
              <w:rPr>
                <w:sz w:val="20"/>
                <w:szCs w:val="20"/>
              </w:rPr>
              <w:t>s</w:t>
            </w:r>
            <w:r w:rsidR="00C81473" w:rsidRPr="005915B6">
              <w:rPr>
                <w:sz w:val="20"/>
                <w:szCs w:val="20"/>
              </w:rPr>
              <w:t xml:space="preserve"> of the data? (ICANN, Contracted Party, external)</w:t>
            </w:r>
            <w:r w:rsidR="00C81473">
              <w:rPr>
                <w:sz w:val="20"/>
                <w:szCs w:val="20"/>
              </w:rPr>
              <w:t xml:space="preserve"> </w:t>
            </w:r>
          </w:p>
          <w:p w14:paraId="2422840F" w14:textId="77777777" w:rsidR="00C81473" w:rsidRPr="00C81473" w:rsidRDefault="00C81473" w:rsidP="00C81473">
            <w:pPr>
              <w:pStyle w:val="ListParagraph"/>
              <w:numPr>
                <w:ilvl w:val="0"/>
                <w:numId w:val="8"/>
              </w:numPr>
              <w:rPr>
                <w:sz w:val="20"/>
                <w:szCs w:val="20"/>
              </w:rPr>
            </w:pPr>
            <w:r w:rsidRPr="00C81473">
              <w:rPr>
                <w:sz w:val="20"/>
                <w:szCs w:val="20"/>
              </w:rPr>
              <w:t>Did any data providers impose restrictions on use of data?</w:t>
            </w:r>
          </w:p>
          <w:p w14:paraId="46E5B0B9" w14:textId="77777777" w:rsidR="0019479F" w:rsidRDefault="0019479F" w:rsidP="00D30989">
            <w:pPr>
              <w:rPr>
                <w:sz w:val="20"/>
                <w:szCs w:val="20"/>
              </w:rPr>
            </w:pPr>
          </w:p>
        </w:tc>
        <w:tc>
          <w:tcPr>
            <w:tcW w:w="7912" w:type="dxa"/>
            <w:shd w:val="clear" w:color="auto" w:fill="F2F2F2" w:themeFill="background1" w:themeFillShade="F2"/>
          </w:tcPr>
          <w:p w14:paraId="74B976E8" w14:textId="78296339" w:rsidR="0019479F" w:rsidRDefault="00555DEA" w:rsidP="000835A8">
            <w:pPr>
              <w:rPr>
                <w:sz w:val="20"/>
                <w:szCs w:val="20"/>
              </w:rPr>
            </w:pPr>
            <w:r>
              <w:rPr>
                <w:sz w:val="20"/>
                <w:szCs w:val="20"/>
              </w:rPr>
              <w:t>The report makes reference to monthly Registry performance reports for one month of 2007.</w:t>
            </w:r>
          </w:p>
        </w:tc>
      </w:tr>
      <w:tr w:rsidR="0019479F" w14:paraId="748EE323" w14:textId="77777777" w:rsidTr="00B022DC">
        <w:tc>
          <w:tcPr>
            <w:tcW w:w="1859" w:type="dxa"/>
            <w:shd w:val="clear" w:color="auto" w:fill="F2F2F2" w:themeFill="background1" w:themeFillShade="F2"/>
          </w:tcPr>
          <w:p w14:paraId="6CF756C1" w14:textId="5BBE1FA1" w:rsidR="0019479F" w:rsidRDefault="0019479F" w:rsidP="005915B6">
            <w:pPr>
              <w:rPr>
                <w:b/>
                <w:sz w:val="20"/>
                <w:szCs w:val="20"/>
              </w:rPr>
            </w:pPr>
            <w:r>
              <w:rPr>
                <w:b/>
                <w:sz w:val="20"/>
                <w:szCs w:val="20"/>
              </w:rPr>
              <w:t>Final Issue Report</w:t>
            </w:r>
          </w:p>
        </w:tc>
        <w:tc>
          <w:tcPr>
            <w:tcW w:w="4845" w:type="dxa"/>
            <w:shd w:val="clear" w:color="auto" w:fill="F2F2F2" w:themeFill="background1" w:themeFillShade="F2"/>
          </w:tcPr>
          <w:p w14:paraId="16D435A3" w14:textId="268D4134" w:rsidR="00C81473" w:rsidRDefault="00C81473" w:rsidP="00C81473">
            <w:pPr>
              <w:rPr>
                <w:sz w:val="20"/>
                <w:szCs w:val="20"/>
              </w:rPr>
            </w:pPr>
            <w:r>
              <w:rPr>
                <w:sz w:val="20"/>
                <w:szCs w:val="20"/>
              </w:rPr>
              <w:t xml:space="preserve">If not collected, what is the general conclusion as to why </w:t>
            </w:r>
            <w:r w:rsidRPr="005915B6">
              <w:rPr>
                <w:sz w:val="20"/>
                <w:szCs w:val="20"/>
              </w:rPr>
              <w:t>no</w:t>
            </w:r>
            <w:r>
              <w:rPr>
                <w:sz w:val="20"/>
                <w:szCs w:val="20"/>
              </w:rPr>
              <w:t xml:space="preserve"> data was used</w:t>
            </w:r>
            <w:r w:rsidRPr="005915B6">
              <w:rPr>
                <w:sz w:val="20"/>
                <w:szCs w:val="20"/>
              </w:rPr>
              <w:t>?</w:t>
            </w:r>
            <w:r>
              <w:rPr>
                <w:sz w:val="20"/>
                <w:szCs w:val="20"/>
              </w:rPr>
              <w:t xml:space="preserve"> (i.e. it was not needed, did not exist, lack of access, restrictions that prevented its use, confidential)</w:t>
            </w:r>
          </w:p>
          <w:p w14:paraId="67C80F0A" w14:textId="77777777" w:rsidR="0019479F" w:rsidRDefault="0019479F" w:rsidP="00D30989">
            <w:pPr>
              <w:rPr>
                <w:sz w:val="20"/>
                <w:szCs w:val="20"/>
              </w:rPr>
            </w:pPr>
          </w:p>
        </w:tc>
        <w:tc>
          <w:tcPr>
            <w:tcW w:w="7912" w:type="dxa"/>
            <w:shd w:val="clear" w:color="auto" w:fill="F2F2F2" w:themeFill="background1" w:themeFillShade="F2"/>
          </w:tcPr>
          <w:p w14:paraId="00F5E640" w14:textId="5C41B84C" w:rsidR="0019479F" w:rsidRDefault="00B022DC" w:rsidP="000835A8">
            <w:pPr>
              <w:rPr>
                <w:sz w:val="20"/>
                <w:szCs w:val="20"/>
              </w:rPr>
            </w:pPr>
            <w:r>
              <w:rPr>
                <w:sz w:val="20"/>
                <w:szCs w:val="20"/>
              </w:rPr>
              <w:t>Data was collected, but not to the degree to fully understand the extent of the issue.  The report cited the need for additional research.</w:t>
            </w:r>
          </w:p>
        </w:tc>
      </w:tr>
      <w:tr w:rsidR="00555DEA" w14:paraId="3B3F5092" w14:textId="77777777" w:rsidTr="00555DEA">
        <w:tc>
          <w:tcPr>
            <w:tcW w:w="1859" w:type="dxa"/>
            <w:shd w:val="clear" w:color="auto" w:fill="D6E3BC" w:themeFill="accent3" w:themeFillTint="66"/>
          </w:tcPr>
          <w:p w14:paraId="722E084D" w14:textId="7B8CDF57" w:rsidR="00555DEA" w:rsidRDefault="00555DEA" w:rsidP="005915B6">
            <w:pPr>
              <w:rPr>
                <w:b/>
                <w:sz w:val="20"/>
                <w:szCs w:val="20"/>
              </w:rPr>
            </w:pPr>
            <w:r>
              <w:rPr>
                <w:b/>
                <w:sz w:val="20"/>
                <w:szCs w:val="20"/>
              </w:rPr>
              <w:t>Charter</w:t>
            </w:r>
          </w:p>
        </w:tc>
        <w:tc>
          <w:tcPr>
            <w:tcW w:w="4845" w:type="dxa"/>
            <w:shd w:val="clear" w:color="auto" w:fill="D6E3BC" w:themeFill="accent3" w:themeFillTint="66"/>
          </w:tcPr>
          <w:p w14:paraId="6661090F" w14:textId="77777777" w:rsidR="00555DEA" w:rsidRDefault="00555DEA" w:rsidP="00E23426">
            <w:pPr>
              <w:rPr>
                <w:sz w:val="20"/>
                <w:szCs w:val="20"/>
              </w:rPr>
            </w:pPr>
            <w:r w:rsidRPr="005915B6">
              <w:rPr>
                <w:sz w:val="20"/>
                <w:szCs w:val="20"/>
              </w:rPr>
              <w:t xml:space="preserve">Did the Charter </w:t>
            </w:r>
            <w:r>
              <w:rPr>
                <w:sz w:val="20"/>
                <w:szCs w:val="20"/>
              </w:rPr>
              <w:t>establish a task for</w:t>
            </w:r>
            <w:r w:rsidRPr="005915B6">
              <w:rPr>
                <w:sz w:val="20"/>
                <w:szCs w:val="20"/>
              </w:rPr>
              <w:t xml:space="preserve"> the WG to collect data</w:t>
            </w:r>
            <w:r>
              <w:rPr>
                <w:sz w:val="20"/>
                <w:szCs w:val="20"/>
              </w:rPr>
              <w:t>, and if so, what types</w:t>
            </w:r>
            <w:r w:rsidRPr="005915B6">
              <w:rPr>
                <w:sz w:val="20"/>
                <w:szCs w:val="20"/>
              </w:rPr>
              <w:t>?</w:t>
            </w:r>
            <w:r>
              <w:rPr>
                <w:sz w:val="20"/>
                <w:szCs w:val="20"/>
              </w:rPr>
              <w:t xml:space="preserve">  Is there reference to costs associated with the request?</w:t>
            </w:r>
          </w:p>
          <w:p w14:paraId="33A5796A" w14:textId="77777777" w:rsidR="00555DEA" w:rsidRDefault="00555DEA" w:rsidP="00E23426">
            <w:pPr>
              <w:rPr>
                <w:sz w:val="20"/>
                <w:szCs w:val="20"/>
              </w:rPr>
            </w:pPr>
          </w:p>
          <w:p w14:paraId="6E2F9FBC" w14:textId="77777777" w:rsidR="00555DEA" w:rsidRDefault="00555DEA" w:rsidP="00E23426">
            <w:pPr>
              <w:rPr>
                <w:sz w:val="20"/>
                <w:szCs w:val="20"/>
              </w:rPr>
            </w:pPr>
            <w:r>
              <w:rPr>
                <w:sz w:val="20"/>
                <w:szCs w:val="20"/>
              </w:rPr>
              <w:t>Does it refer to analysis to be performed?</w:t>
            </w:r>
          </w:p>
          <w:p w14:paraId="6B016237" w14:textId="77777777" w:rsidR="00555DEA" w:rsidRPr="005915B6" w:rsidRDefault="00555DEA" w:rsidP="00B022DC">
            <w:pPr>
              <w:rPr>
                <w:sz w:val="20"/>
                <w:szCs w:val="20"/>
              </w:rPr>
            </w:pPr>
          </w:p>
        </w:tc>
        <w:tc>
          <w:tcPr>
            <w:tcW w:w="7912" w:type="dxa"/>
            <w:shd w:val="clear" w:color="auto" w:fill="D6E3BC" w:themeFill="accent3" w:themeFillTint="66"/>
          </w:tcPr>
          <w:p w14:paraId="340FF366" w14:textId="77777777" w:rsidR="00555DEA" w:rsidRDefault="00555DEA" w:rsidP="00E23426">
            <w:pPr>
              <w:rPr>
                <w:sz w:val="20"/>
                <w:szCs w:val="20"/>
              </w:rPr>
            </w:pPr>
            <w:r>
              <w:rPr>
                <w:sz w:val="20"/>
                <w:szCs w:val="20"/>
              </w:rPr>
              <w:t>Charter Link (XX MMM YYYY):</w:t>
            </w:r>
          </w:p>
          <w:p w14:paraId="42FC07A4" w14:textId="17499D94" w:rsidR="00555DEA" w:rsidRDefault="00555DEA" w:rsidP="000835A8">
            <w:pPr>
              <w:rPr>
                <w:sz w:val="20"/>
                <w:szCs w:val="20"/>
              </w:rPr>
            </w:pPr>
            <w:r>
              <w:rPr>
                <w:sz w:val="20"/>
                <w:szCs w:val="20"/>
              </w:rPr>
              <w:t>A charter was not created for this effort because the ad-hoc group was formed</w:t>
            </w:r>
            <w:r w:rsidR="008E1CDB">
              <w:rPr>
                <w:sz w:val="20"/>
                <w:szCs w:val="20"/>
              </w:rPr>
              <w:t xml:space="preserve"> before the formal PDP-</w:t>
            </w:r>
            <w:r>
              <w:rPr>
                <w:sz w:val="20"/>
                <w:szCs w:val="20"/>
              </w:rPr>
              <w:t>WG.  However, the resolution to launch this effort did task the group with:</w:t>
            </w:r>
          </w:p>
          <w:p w14:paraId="67DEB351" w14:textId="77777777" w:rsidR="00555DEA" w:rsidRDefault="00555DEA" w:rsidP="000835A8">
            <w:pPr>
              <w:rPr>
                <w:sz w:val="20"/>
                <w:szCs w:val="20"/>
              </w:rPr>
            </w:pPr>
          </w:p>
          <w:p w14:paraId="01F6FF59" w14:textId="77777777" w:rsidR="00555DEA" w:rsidRPr="00555DEA" w:rsidRDefault="00555DEA" w:rsidP="00555DEA">
            <w:pPr>
              <w:pStyle w:val="ListParagraph"/>
              <w:numPr>
                <w:ilvl w:val="0"/>
                <w:numId w:val="8"/>
              </w:numPr>
              <w:rPr>
                <w:sz w:val="20"/>
                <w:szCs w:val="20"/>
              </w:rPr>
            </w:pPr>
            <w:r w:rsidRPr="00555DEA">
              <w:rPr>
                <w:sz w:val="20"/>
                <w:szCs w:val="20"/>
              </w:rPr>
              <w:t>To create a small, ad hoc group of GNSO representatives to direct and consider further research on domain tasting, including but not limited to examination of questions posed on page 30 of the issues report, and to draft terms of reference for a possible GNSO policy development process in a timely way;</w:t>
            </w:r>
          </w:p>
          <w:p w14:paraId="7BAEA2FD" w14:textId="77777777" w:rsidR="00555DEA" w:rsidRPr="008E1CDB" w:rsidRDefault="00555DEA" w:rsidP="00555DEA">
            <w:pPr>
              <w:pStyle w:val="ListParagraph"/>
              <w:numPr>
                <w:ilvl w:val="0"/>
                <w:numId w:val="8"/>
              </w:numPr>
              <w:rPr>
                <w:b/>
                <w:sz w:val="20"/>
                <w:szCs w:val="20"/>
              </w:rPr>
            </w:pPr>
            <w:r w:rsidRPr="008E1CDB">
              <w:rPr>
                <w:b/>
                <w:sz w:val="20"/>
                <w:szCs w:val="20"/>
              </w:rPr>
              <w:t>To direct the ICANN staff to work with the ad hoc group to gather further information and data about the domain tasting issue and make further recommendations on effectively scoping a PDP;</w:t>
            </w:r>
          </w:p>
          <w:p w14:paraId="72F7F5B9" w14:textId="77777777" w:rsidR="00555DEA" w:rsidRDefault="00555DEA" w:rsidP="00555DEA">
            <w:pPr>
              <w:pStyle w:val="ListParagraph"/>
              <w:numPr>
                <w:ilvl w:val="0"/>
                <w:numId w:val="8"/>
              </w:numPr>
              <w:rPr>
                <w:sz w:val="20"/>
                <w:szCs w:val="20"/>
              </w:rPr>
            </w:pPr>
            <w:r w:rsidRPr="00555DEA">
              <w:rPr>
                <w:sz w:val="20"/>
                <w:szCs w:val="20"/>
              </w:rPr>
              <w:t>To consider the further research and terms of reference, receive a status report on non-PDP mechanisms regarding domain tasting, and to consider whether to launch a policy development process on domain tasting at the September 2007 GNSO Council meeting.</w:t>
            </w:r>
          </w:p>
          <w:p w14:paraId="2F21B591" w14:textId="75AFC3D0" w:rsidR="00555DEA" w:rsidRPr="00555DEA" w:rsidRDefault="00555DEA" w:rsidP="00555DEA">
            <w:pPr>
              <w:pStyle w:val="ListParagraph"/>
              <w:rPr>
                <w:sz w:val="20"/>
                <w:szCs w:val="20"/>
              </w:rPr>
            </w:pPr>
          </w:p>
        </w:tc>
      </w:tr>
      <w:tr w:rsidR="00555DEA" w14:paraId="61E666E1" w14:textId="77777777" w:rsidTr="00B022DC">
        <w:tc>
          <w:tcPr>
            <w:tcW w:w="1859" w:type="dxa"/>
            <w:shd w:val="clear" w:color="auto" w:fill="auto"/>
          </w:tcPr>
          <w:p w14:paraId="18727F75" w14:textId="59BDF7F7" w:rsidR="00555DEA" w:rsidRDefault="00555DEA" w:rsidP="005915B6">
            <w:pPr>
              <w:rPr>
                <w:b/>
                <w:sz w:val="20"/>
                <w:szCs w:val="20"/>
              </w:rPr>
            </w:pPr>
            <w:r>
              <w:rPr>
                <w:b/>
                <w:sz w:val="20"/>
                <w:szCs w:val="20"/>
              </w:rPr>
              <w:t>Outcomes Report</w:t>
            </w:r>
          </w:p>
        </w:tc>
        <w:tc>
          <w:tcPr>
            <w:tcW w:w="4845" w:type="dxa"/>
            <w:shd w:val="clear" w:color="auto" w:fill="auto"/>
          </w:tcPr>
          <w:p w14:paraId="0F1E5A60" w14:textId="77777777" w:rsidR="00555DEA" w:rsidRDefault="00555DEA" w:rsidP="00B022DC">
            <w:pPr>
              <w:rPr>
                <w:sz w:val="20"/>
                <w:szCs w:val="20"/>
              </w:rPr>
            </w:pPr>
            <w:r w:rsidRPr="005915B6">
              <w:rPr>
                <w:sz w:val="20"/>
                <w:szCs w:val="20"/>
              </w:rPr>
              <w:t xml:space="preserve">Was data </w:t>
            </w:r>
            <w:r>
              <w:rPr>
                <w:sz w:val="20"/>
                <w:szCs w:val="20"/>
              </w:rPr>
              <w:t xml:space="preserve">readily available or specifically </w:t>
            </w:r>
            <w:r w:rsidRPr="005915B6">
              <w:rPr>
                <w:sz w:val="20"/>
                <w:szCs w:val="20"/>
              </w:rPr>
              <w:t xml:space="preserve">collected for this </w:t>
            </w:r>
            <w:r>
              <w:rPr>
                <w:sz w:val="20"/>
                <w:szCs w:val="20"/>
              </w:rPr>
              <w:t>report?</w:t>
            </w:r>
            <w:r w:rsidRPr="005915B6">
              <w:rPr>
                <w:sz w:val="20"/>
                <w:szCs w:val="20"/>
              </w:rPr>
              <w:t xml:space="preserve"> (</w:t>
            </w:r>
            <w:r>
              <w:rPr>
                <w:sz w:val="20"/>
                <w:szCs w:val="20"/>
              </w:rPr>
              <w:t>i.e. was data identified, collected and analyzed during the WG deliberations)</w:t>
            </w:r>
          </w:p>
          <w:p w14:paraId="1A7DD17F" w14:textId="77777777" w:rsidR="00555DEA" w:rsidRDefault="00555DEA" w:rsidP="00B022DC">
            <w:pPr>
              <w:rPr>
                <w:sz w:val="20"/>
                <w:szCs w:val="20"/>
              </w:rPr>
            </w:pPr>
          </w:p>
          <w:p w14:paraId="67DAA696" w14:textId="77777777" w:rsidR="00555DEA" w:rsidRDefault="00555DEA" w:rsidP="00B022DC">
            <w:pPr>
              <w:rPr>
                <w:sz w:val="20"/>
                <w:szCs w:val="20"/>
              </w:rPr>
            </w:pPr>
            <w:r>
              <w:rPr>
                <w:sz w:val="20"/>
                <w:szCs w:val="20"/>
              </w:rPr>
              <w:t xml:space="preserve">If collected, </w:t>
            </w:r>
            <w:r w:rsidRPr="005915B6">
              <w:rPr>
                <w:sz w:val="20"/>
                <w:szCs w:val="20"/>
              </w:rPr>
              <w:t xml:space="preserve">how was </w:t>
            </w:r>
            <w:r>
              <w:rPr>
                <w:sz w:val="20"/>
                <w:szCs w:val="20"/>
              </w:rPr>
              <w:t>it collected, how long did it take and how much did it cost (if any, considering the type of cost (direct bill vs. significant time/effort))</w:t>
            </w:r>
            <w:r w:rsidRPr="005915B6">
              <w:rPr>
                <w:sz w:val="20"/>
                <w:szCs w:val="20"/>
              </w:rPr>
              <w:t>?</w:t>
            </w:r>
          </w:p>
          <w:p w14:paraId="7B905DB4" w14:textId="77777777" w:rsidR="00555DEA" w:rsidRPr="005915B6" w:rsidRDefault="00555DEA" w:rsidP="00B92D37">
            <w:pPr>
              <w:rPr>
                <w:sz w:val="20"/>
                <w:szCs w:val="20"/>
              </w:rPr>
            </w:pPr>
          </w:p>
        </w:tc>
        <w:tc>
          <w:tcPr>
            <w:tcW w:w="7912" w:type="dxa"/>
            <w:shd w:val="clear" w:color="auto" w:fill="auto"/>
          </w:tcPr>
          <w:p w14:paraId="71D372AA" w14:textId="2632BD56" w:rsidR="00555DEA" w:rsidRDefault="00555DEA" w:rsidP="000835A8">
            <w:pPr>
              <w:rPr>
                <w:sz w:val="20"/>
                <w:szCs w:val="20"/>
              </w:rPr>
            </w:pPr>
            <w:r>
              <w:rPr>
                <w:sz w:val="20"/>
                <w:szCs w:val="20"/>
              </w:rPr>
              <w:t>Outcomes</w:t>
            </w:r>
            <w:r>
              <w:rPr>
                <w:sz w:val="20"/>
                <w:szCs w:val="20"/>
              </w:rPr>
              <w:t xml:space="preserve"> Report Link (</w:t>
            </w:r>
            <w:r>
              <w:rPr>
                <w:sz w:val="20"/>
                <w:szCs w:val="20"/>
              </w:rPr>
              <w:t>04</w:t>
            </w:r>
            <w:r>
              <w:rPr>
                <w:sz w:val="20"/>
                <w:szCs w:val="20"/>
              </w:rPr>
              <w:t xml:space="preserve"> </w:t>
            </w:r>
            <w:r>
              <w:rPr>
                <w:sz w:val="20"/>
                <w:szCs w:val="20"/>
              </w:rPr>
              <w:t>OCT</w:t>
            </w:r>
            <w:r>
              <w:rPr>
                <w:sz w:val="20"/>
                <w:szCs w:val="20"/>
              </w:rPr>
              <w:t xml:space="preserve"> </w:t>
            </w:r>
            <w:r>
              <w:rPr>
                <w:sz w:val="20"/>
                <w:szCs w:val="20"/>
              </w:rPr>
              <w:t>2007</w:t>
            </w:r>
            <w:r>
              <w:rPr>
                <w:sz w:val="20"/>
                <w:szCs w:val="20"/>
              </w:rPr>
              <w:t>):</w:t>
            </w:r>
            <w:r>
              <w:rPr>
                <w:sz w:val="20"/>
                <w:szCs w:val="20"/>
              </w:rPr>
              <w:t xml:space="preserve"> </w:t>
            </w:r>
            <w:hyperlink r:id="rId8" w:history="1">
              <w:r w:rsidRPr="00A40A7C">
                <w:rPr>
                  <w:rStyle w:val="Hyperlink"/>
                  <w:sz w:val="20"/>
                  <w:szCs w:val="20"/>
                </w:rPr>
                <w:t>http://gnso.icann.org/drafts/gnso-domain-tasting-adhoc-outcomes-report-final.pdf</w:t>
              </w:r>
            </w:hyperlink>
            <w:r>
              <w:rPr>
                <w:sz w:val="20"/>
                <w:szCs w:val="20"/>
              </w:rPr>
              <w:t xml:space="preserve"> </w:t>
            </w:r>
          </w:p>
          <w:p w14:paraId="5FBEDD5F" w14:textId="77777777" w:rsidR="00555DEA" w:rsidRDefault="00555DEA" w:rsidP="000835A8">
            <w:pPr>
              <w:rPr>
                <w:sz w:val="20"/>
                <w:szCs w:val="20"/>
              </w:rPr>
            </w:pPr>
          </w:p>
          <w:p w14:paraId="6C67B70D" w14:textId="38DCE7DB" w:rsidR="00A12F0D" w:rsidRPr="00A12F0D" w:rsidRDefault="00A12F0D" w:rsidP="008E1CDB">
            <w:pPr>
              <w:rPr>
                <w:sz w:val="20"/>
                <w:szCs w:val="20"/>
              </w:rPr>
            </w:pPr>
            <w:r>
              <w:rPr>
                <w:sz w:val="20"/>
                <w:szCs w:val="20"/>
              </w:rPr>
              <w:t xml:space="preserve">Yes, a survey was deployed to request additional information and the group performed further analysis </w:t>
            </w:r>
            <w:r w:rsidR="008E1CDB">
              <w:rPr>
                <w:sz w:val="20"/>
                <w:szCs w:val="20"/>
              </w:rPr>
              <w:t>using</w:t>
            </w:r>
            <w:r>
              <w:rPr>
                <w:sz w:val="20"/>
                <w:szCs w:val="20"/>
              </w:rPr>
              <w:t xml:space="preserve"> monthly Registry performance reports.  Information was also gathered from </w:t>
            </w:r>
            <w:proofErr w:type="spellStart"/>
            <w:r>
              <w:rPr>
                <w:sz w:val="20"/>
                <w:szCs w:val="20"/>
              </w:rPr>
              <w:t>ccTLDs</w:t>
            </w:r>
            <w:proofErr w:type="spellEnd"/>
            <w:r>
              <w:rPr>
                <w:sz w:val="20"/>
                <w:szCs w:val="20"/>
              </w:rPr>
              <w:t xml:space="preserve"> as well as UDRP providers.</w:t>
            </w:r>
          </w:p>
        </w:tc>
      </w:tr>
      <w:tr w:rsidR="00555DEA" w14:paraId="44C4C9AE" w14:textId="77777777" w:rsidTr="00B022DC">
        <w:tc>
          <w:tcPr>
            <w:tcW w:w="1859" w:type="dxa"/>
            <w:shd w:val="clear" w:color="auto" w:fill="auto"/>
          </w:tcPr>
          <w:p w14:paraId="29F8DC84" w14:textId="122F0DF6" w:rsidR="00555DEA" w:rsidRDefault="00555DEA" w:rsidP="005915B6">
            <w:pPr>
              <w:rPr>
                <w:b/>
                <w:sz w:val="20"/>
                <w:szCs w:val="20"/>
              </w:rPr>
            </w:pPr>
            <w:r>
              <w:rPr>
                <w:b/>
                <w:sz w:val="20"/>
                <w:szCs w:val="20"/>
              </w:rPr>
              <w:t>Outcomes Report</w:t>
            </w:r>
          </w:p>
        </w:tc>
        <w:tc>
          <w:tcPr>
            <w:tcW w:w="4845" w:type="dxa"/>
            <w:shd w:val="clear" w:color="auto" w:fill="auto"/>
          </w:tcPr>
          <w:p w14:paraId="60A1E173" w14:textId="77777777" w:rsidR="00555DEA" w:rsidRDefault="00555DEA" w:rsidP="00E23426">
            <w:pPr>
              <w:rPr>
                <w:sz w:val="20"/>
                <w:szCs w:val="20"/>
              </w:rPr>
            </w:pPr>
            <w:r>
              <w:rPr>
                <w:sz w:val="20"/>
                <w:szCs w:val="20"/>
              </w:rPr>
              <w:t>If collected, w</w:t>
            </w:r>
            <w:r w:rsidRPr="005915B6">
              <w:rPr>
                <w:sz w:val="20"/>
                <w:szCs w:val="20"/>
              </w:rPr>
              <w:t>hat w</w:t>
            </w:r>
            <w:r>
              <w:rPr>
                <w:sz w:val="20"/>
                <w:szCs w:val="20"/>
              </w:rPr>
              <w:t xml:space="preserve">ere </w:t>
            </w:r>
            <w:r w:rsidRPr="005915B6">
              <w:rPr>
                <w:sz w:val="20"/>
                <w:szCs w:val="20"/>
              </w:rPr>
              <w:t xml:space="preserve">the </w:t>
            </w:r>
            <w:r>
              <w:rPr>
                <w:sz w:val="20"/>
                <w:szCs w:val="20"/>
              </w:rPr>
              <w:t xml:space="preserve">primary </w:t>
            </w:r>
            <w:r w:rsidRPr="005915B6">
              <w:rPr>
                <w:sz w:val="20"/>
                <w:szCs w:val="20"/>
              </w:rPr>
              <w:t>source</w:t>
            </w:r>
            <w:r>
              <w:rPr>
                <w:sz w:val="20"/>
                <w:szCs w:val="20"/>
              </w:rPr>
              <w:t>s</w:t>
            </w:r>
            <w:r w:rsidRPr="005915B6">
              <w:rPr>
                <w:sz w:val="20"/>
                <w:szCs w:val="20"/>
              </w:rPr>
              <w:t xml:space="preserve"> of the data? (ICANN, Contracted Party, external)</w:t>
            </w:r>
            <w:r>
              <w:rPr>
                <w:sz w:val="20"/>
                <w:szCs w:val="20"/>
              </w:rPr>
              <w:t xml:space="preserve"> </w:t>
            </w:r>
          </w:p>
          <w:p w14:paraId="3D52F023" w14:textId="77777777" w:rsidR="00555DEA" w:rsidRPr="00C81473" w:rsidRDefault="00555DEA" w:rsidP="00E23426">
            <w:pPr>
              <w:pStyle w:val="ListParagraph"/>
              <w:numPr>
                <w:ilvl w:val="0"/>
                <w:numId w:val="8"/>
              </w:numPr>
              <w:rPr>
                <w:sz w:val="20"/>
                <w:szCs w:val="20"/>
              </w:rPr>
            </w:pPr>
            <w:r w:rsidRPr="00C81473">
              <w:rPr>
                <w:sz w:val="20"/>
                <w:szCs w:val="20"/>
              </w:rPr>
              <w:t>Did any data providers impose restrictions on use of data?</w:t>
            </w:r>
          </w:p>
          <w:p w14:paraId="4B306BED" w14:textId="77777777" w:rsidR="00555DEA" w:rsidRPr="005915B6" w:rsidRDefault="00555DEA" w:rsidP="00B92D37">
            <w:pPr>
              <w:rPr>
                <w:sz w:val="20"/>
                <w:szCs w:val="20"/>
              </w:rPr>
            </w:pPr>
          </w:p>
        </w:tc>
        <w:tc>
          <w:tcPr>
            <w:tcW w:w="7912" w:type="dxa"/>
            <w:shd w:val="clear" w:color="auto" w:fill="auto"/>
          </w:tcPr>
          <w:p w14:paraId="7C7227DE" w14:textId="5108A414" w:rsidR="00A12F0D" w:rsidRDefault="00A12F0D" w:rsidP="00A12F0D">
            <w:pPr>
              <w:pStyle w:val="ListParagraph"/>
              <w:numPr>
                <w:ilvl w:val="0"/>
                <w:numId w:val="9"/>
              </w:numPr>
              <w:rPr>
                <w:sz w:val="20"/>
                <w:szCs w:val="20"/>
              </w:rPr>
            </w:pPr>
            <w:r w:rsidRPr="00A12F0D">
              <w:rPr>
                <w:sz w:val="20"/>
                <w:szCs w:val="20"/>
              </w:rPr>
              <w:lastRenderedPageBreak/>
              <w:t xml:space="preserve">An RFI (Request for Info) via </w:t>
            </w:r>
            <w:proofErr w:type="spellStart"/>
            <w:r w:rsidRPr="00A12F0D">
              <w:rPr>
                <w:sz w:val="20"/>
                <w:szCs w:val="20"/>
              </w:rPr>
              <w:t>BigPulse</w:t>
            </w:r>
            <w:proofErr w:type="spellEnd"/>
            <w:r w:rsidRPr="00A12F0D">
              <w:rPr>
                <w:sz w:val="20"/>
                <w:szCs w:val="20"/>
              </w:rPr>
              <w:t xml:space="preserve"> survey was launched by the group.</w:t>
            </w:r>
            <w:r w:rsidR="00B27A5D">
              <w:rPr>
                <w:sz w:val="20"/>
                <w:szCs w:val="20"/>
              </w:rPr>
              <w:t xml:space="preserve">  It garnered over 200 responses mostly from Intellectual Property and Registrants.  It was noted that a number of respondents provided examples and some stats.</w:t>
            </w:r>
          </w:p>
          <w:p w14:paraId="0E9386E4" w14:textId="00375A94" w:rsidR="00FE17F4" w:rsidRDefault="00FE17F4" w:rsidP="00FE17F4">
            <w:pPr>
              <w:pStyle w:val="ListParagraph"/>
              <w:numPr>
                <w:ilvl w:val="1"/>
                <w:numId w:val="9"/>
              </w:numPr>
              <w:rPr>
                <w:sz w:val="20"/>
                <w:szCs w:val="20"/>
              </w:rPr>
            </w:pPr>
            <w:r>
              <w:rPr>
                <w:sz w:val="20"/>
                <w:szCs w:val="20"/>
              </w:rPr>
              <w:t xml:space="preserve">Graphical representation of the results could have benefited user’s </w:t>
            </w:r>
            <w:r>
              <w:rPr>
                <w:sz w:val="20"/>
                <w:szCs w:val="20"/>
              </w:rPr>
              <w:lastRenderedPageBreak/>
              <w:t>understanding along with the detailed descriptions.</w:t>
            </w:r>
            <w:r w:rsidR="00FB7FDC">
              <w:rPr>
                <w:sz w:val="20"/>
                <w:szCs w:val="20"/>
              </w:rPr>
              <w:t xml:space="preserve">  Full percentage results of the responses for each question are provided in Annex 1.</w:t>
            </w:r>
          </w:p>
          <w:p w14:paraId="42707386" w14:textId="5F70E8CD" w:rsidR="00A12F0D" w:rsidRDefault="00A12F0D" w:rsidP="00A12F0D">
            <w:pPr>
              <w:pStyle w:val="ListParagraph"/>
              <w:numPr>
                <w:ilvl w:val="0"/>
                <w:numId w:val="9"/>
              </w:numPr>
              <w:rPr>
                <w:sz w:val="20"/>
                <w:szCs w:val="20"/>
              </w:rPr>
            </w:pPr>
            <w:r>
              <w:rPr>
                <w:sz w:val="20"/>
                <w:szCs w:val="20"/>
              </w:rPr>
              <w:t>Extensive analysis of monthly Registry performance reports</w:t>
            </w:r>
            <w:r w:rsidR="00B27A5D">
              <w:rPr>
                <w:sz w:val="20"/>
                <w:szCs w:val="20"/>
              </w:rPr>
              <w:t xml:space="preserve"> to quantify the domain tasting abuse.  These reports are submitted to ICANN per contractual obligation.</w:t>
            </w:r>
            <w:r w:rsidR="00EB5FC8">
              <w:rPr>
                <w:sz w:val="20"/>
                <w:szCs w:val="20"/>
              </w:rPr>
              <w:t xml:space="preserve">  Section 4 of this report details an increased trend of deletes from Jul03 to Mar07.  Another chart was developed to show the increased fluctuation in net adds/drops.  Lastly, </w:t>
            </w:r>
            <w:proofErr w:type="gramStart"/>
            <w:r w:rsidR="00EB5FC8">
              <w:rPr>
                <w:sz w:val="20"/>
                <w:szCs w:val="20"/>
              </w:rPr>
              <w:t>intel</w:t>
            </w:r>
            <w:proofErr w:type="gramEnd"/>
            <w:r w:rsidR="00EB5FC8">
              <w:rPr>
                <w:sz w:val="20"/>
                <w:szCs w:val="20"/>
              </w:rPr>
              <w:t xml:space="preserve"> was gathered to show which Registrars were the most active in deletes.</w:t>
            </w:r>
          </w:p>
          <w:p w14:paraId="4CFFC4E4" w14:textId="5B7A2FBA" w:rsidR="00FB7FDC" w:rsidRDefault="00FB7FDC" w:rsidP="00A12F0D">
            <w:pPr>
              <w:pStyle w:val="ListParagraph"/>
              <w:numPr>
                <w:ilvl w:val="0"/>
                <w:numId w:val="9"/>
              </w:numPr>
              <w:rPr>
                <w:sz w:val="20"/>
                <w:szCs w:val="20"/>
              </w:rPr>
            </w:pPr>
            <w:proofErr w:type="spellStart"/>
            <w:r>
              <w:rPr>
                <w:sz w:val="20"/>
                <w:szCs w:val="20"/>
              </w:rPr>
              <w:t>Zonefile</w:t>
            </w:r>
            <w:proofErr w:type="spellEnd"/>
            <w:r>
              <w:rPr>
                <w:sz w:val="20"/>
                <w:szCs w:val="20"/>
              </w:rPr>
              <w:t xml:space="preserve"> data study – did not occur due to unforeseen circumstances.</w:t>
            </w:r>
          </w:p>
          <w:p w14:paraId="277AEFC2" w14:textId="2F7726DD" w:rsidR="00B27A5D" w:rsidRDefault="00B27A5D" w:rsidP="00A12F0D">
            <w:pPr>
              <w:pStyle w:val="ListParagraph"/>
              <w:numPr>
                <w:ilvl w:val="0"/>
                <w:numId w:val="9"/>
              </w:numPr>
              <w:rPr>
                <w:sz w:val="20"/>
                <w:szCs w:val="20"/>
              </w:rPr>
            </w:pPr>
            <w:proofErr w:type="spellStart"/>
            <w:proofErr w:type="gramStart"/>
            <w:r>
              <w:rPr>
                <w:sz w:val="20"/>
                <w:szCs w:val="20"/>
              </w:rPr>
              <w:t>ccTLD</w:t>
            </w:r>
            <w:proofErr w:type="spellEnd"/>
            <w:proofErr w:type="gramEnd"/>
            <w:r w:rsidR="00FB7FDC">
              <w:rPr>
                <w:sz w:val="20"/>
                <w:szCs w:val="20"/>
              </w:rPr>
              <w:t xml:space="preserve"> Experiences were gathered by staff via direct contact interviews.  20 responses were received</w:t>
            </w:r>
            <w:r w:rsidR="009C65A8">
              <w:rPr>
                <w:sz w:val="20"/>
                <w:szCs w:val="20"/>
              </w:rPr>
              <w:t xml:space="preserve"> with comments available in Annex 3</w:t>
            </w:r>
            <w:r w:rsidR="00FB7FDC">
              <w:rPr>
                <w:sz w:val="20"/>
                <w:szCs w:val="20"/>
              </w:rPr>
              <w:t xml:space="preserve">.  </w:t>
            </w:r>
          </w:p>
          <w:p w14:paraId="30B06DC1" w14:textId="63F5E25F" w:rsidR="00B27A5D" w:rsidRDefault="00B27A5D" w:rsidP="00A12F0D">
            <w:pPr>
              <w:pStyle w:val="ListParagraph"/>
              <w:numPr>
                <w:ilvl w:val="0"/>
                <w:numId w:val="9"/>
              </w:numPr>
              <w:rPr>
                <w:sz w:val="20"/>
                <w:szCs w:val="20"/>
              </w:rPr>
            </w:pPr>
            <w:r>
              <w:rPr>
                <w:sz w:val="20"/>
                <w:szCs w:val="20"/>
              </w:rPr>
              <w:t xml:space="preserve">UDRP provider </w:t>
            </w:r>
            <w:r w:rsidR="00EB5FC8">
              <w:rPr>
                <w:sz w:val="20"/>
                <w:szCs w:val="20"/>
              </w:rPr>
              <w:t>questionnaire</w:t>
            </w:r>
            <w:r w:rsidR="009C65A8">
              <w:rPr>
                <w:sz w:val="20"/>
                <w:szCs w:val="20"/>
              </w:rPr>
              <w:t xml:space="preserve"> with template and responses in Annex 4.</w:t>
            </w:r>
          </w:p>
          <w:p w14:paraId="41E4BFAC" w14:textId="17D725F9" w:rsidR="00B27A5D" w:rsidRDefault="00B27A5D" w:rsidP="00A12F0D">
            <w:pPr>
              <w:pStyle w:val="ListParagraph"/>
              <w:numPr>
                <w:ilvl w:val="0"/>
                <w:numId w:val="9"/>
              </w:numPr>
              <w:rPr>
                <w:sz w:val="20"/>
                <w:szCs w:val="20"/>
              </w:rPr>
            </w:pPr>
            <w:r>
              <w:rPr>
                <w:sz w:val="20"/>
                <w:szCs w:val="20"/>
              </w:rPr>
              <w:t>IPC conducted a supplemental RFI</w:t>
            </w:r>
            <w:r w:rsidR="00374458">
              <w:rPr>
                <w:sz w:val="20"/>
                <w:szCs w:val="20"/>
              </w:rPr>
              <w:t xml:space="preserve"> – 115 tabulated responses</w:t>
            </w:r>
            <w:r w:rsidR="00E74ACB">
              <w:rPr>
                <w:sz w:val="20"/>
                <w:szCs w:val="20"/>
              </w:rPr>
              <w:t xml:space="preserve"> are listed in Annex 5</w:t>
            </w:r>
          </w:p>
          <w:p w14:paraId="0086E994" w14:textId="33D87203" w:rsidR="00374458" w:rsidRDefault="00374458" w:rsidP="00374458">
            <w:pPr>
              <w:pStyle w:val="ListParagraph"/>
              <w:numPr>
                <w:ilvl w:val="1"/>
                <w:numId w:val="9"/>
              </w:numPr>
              <w:rPr>
                <w:sz w:val="20"/>
                <w:szCs w:val="20"/>
              </w:rPr>
            </w:pPr>
            <w:r>
              <w:rPr>
                <w:sz w:val="20"/>
                <w:szCs w:val="20"/>
              </w:rPr>
              <w:t>As with the first RFI, graphical representation of the results could have benefited the detailed descriptions</w:t>
            </w:r>
            <w:r w:rsidR="00E74ACB">
              <w:rPr>
                <w:sz w:val="20"/>
                <w:szCs w:val="20"/>
              </w:rPr>
              <w:t>, but percentage responses are found in Annex 5.</w:t>
            </w:r>
          </w:p>
          <w:p w14:paraId="5054A7EA" w14:textId="60A24A0D" w:rsidR="00B27A5D" w:rsidRDefault="00B27A5D" w:rsidP="00A12F0D">
            <w:pPr>
              <w:pStyle w:val="ListParagraph"/>
              <w:numPr>
                <w:ilvl w:val="0"/>
                <w:numId w:val="9"/>
              </w:numPr>
              <w:rPr>
                <w:sz w:val="20"/>
                <w:szCs w:val="20"/>
              </w:rPr>
            </w:pPr>
            <w:r>
              <w:rPr>
                <w:sz w:val="20"/>
                <w:szCs w:val="20"/>
              </w:rPr>
              <w:t xml:space="preserve">Registrar submission on </w:t>
            </w:r>
            <w:r w:rsidR="00374458">
              <w:rPr>
                <w:sz w:val="20"/>
                <w:szCs w:val="20"/>
              </w:rPr>
              <w:t xml:space="preserve">the impacts if </w:t>
            </w:r>
            <w:r>
              <w:rPr>
                <w:sz w:val="20"/>
                <w:szCs w:val="20"/>
              </w:rPr>
              <w:t xml:space="preserve">AGP </w:t>
            </w:r>
            <w:r w:rsidR="00374458">
              <w:rPr>
                <w:sz w:val="20"/>
                <w:szCs w:val="20"/>
              </w:rPr>
              <w:t xml:space="preserve">were eliminated </w:t>
            </w:r>
            <w:r>
              <w:rPr>
                <w:sz w:val="20"/>
                <w:szCs w:val="20"/>
              </w:rPr>
              <w:t>for the group’s consideration</w:t>
            </w:r>
            <w:r w:rsidR="00374458">
              <w:rPr>
                <w:sz w:val="20"/>
                <w:szCs w:val="20"/>
              </w:rPr>
              <w:t>.  38 non-identified responses</w:t>
            </w:r>
            <w:r w:rsidR="00FB7FDC">
              <w:rPr>
                <w:sz w:val="20"/>
                <w:szCs w:val="20"/>
              </w:rPr>
              <w:t xml:space="preserve"> were received.  </w:t>
            </w:r>
          </w:p>
          <w:p w14:paraId="58F0309D" w14:textId="00FD90DD" w:rsidR="00EB5FC8" w:rsidRDefault="00EB5FC8" w:rsidP="00A12F0D">
            <w:pPr>
              <w:pStyle w:val="ListParagraph"/>
              <w:numPr>
                <w:ilvl w:val="0"/>
                <w:numId w:val="9"/>
              </w:numPr>
              <w:rPr>
                <w:sz w:val="20"/>
                <w:szCs w:val="20"/>
              </w:rPr>
            </w:pPr>
            <w:r>
              <w:rPr>
                <w:sz w:val="20"/>
                <w:szCs w:val="20"/>
              </w:rPr>
              <w:t>Reference back to PIR RSEP that showed once implemented (after the Issue Report) 2.4M in May 2007 to 1.5K in June 2007.</w:t>
            </w:r>
          </w:p>
          <w:p w14:paraId="119AAB8B" w14:textId="75B3ADCA" w:rsidR="00E74ACB" w:rsidRDefault="00E74ACB" w:rsidP="00A12F0D">
            <w:pPr>
              <w:pStyle w:val="ListParagraph"/>
              <w:numPr>
                <w:ilvl w:val="0"/>
                <w:numId w:val="9"/>
              </w:numPr>
              <w:rPr>
                <w:sz w:val="20"/>
                <w:szCs w:val="20"/>
              </w:rPr>
            </w:pPr>
            <w:r>
              <w:rPr>
                <w:sz w:val="20"/>
                <w:szCs w:val="20"/>
              </w:rPr>
              <w:t>Annex 6 contains a request to VRSN, but at time of report, the analysis was not performed.</w:t>
            </w:r>
          </w:p>
          <w:p w14:paraId="1BA930E0" w14:textId="77777777" w:rsidR="00555DEA" w:rsidRDefault="00555DEA" w:rsidP="000835A8">
            <w:pPr>
              <w:rPr>
                <w:sz w:val="20"/>
                <w:szCs w:val="20"/>
              </w:rPr>
            </w:pPr>
          </w:p>
        </w:tc>
      </w:tr>
      <w:tr w:rsidR="00555DEA" w14:paraId="0BE811EA" w14:textId="77777777" w:rsidTr="00B022DC">
        <w:tc>
          <w:tcPr>
            <w:tcW w:w="1859" w:type="dxa"/>
            <w:shd w:val="clear" w:color="auto" w:fill="auto"/>
          </w:tcPr>
          <w:p w14:paraId="14998B42" w14:textId="7F99FDED" w:rsidR="00555DEA" w:rsidRDefault="00555DEA" w:rsidP="005915B6">
            <w:pPr>
              <w:rPr>
                <w:b/>
                <w:sz w:val="20"/>
                <w:szCs w:val="20"/>
              </w:rPr>
            </w:pPr>
            <w:r>
              <w:rPr>
                <w:b/>
                <w:sz w:val="20"/>
                <w:szCs w:val="20"/>
              </w:rPr>
              <w:lastRenderedPageBreak/>
              <w:t>Outcomes Report</w:t>
            </w:r>
          </w:p>
        </w:tc>
        <w:tc>
          <w:tcPr>
            <w:tcW w:w="4845" w:type="dxa"/>
            <w:shd w:val="clear" w:color="auto" w:fill="auto"/>
          </w:tcPr>
          <w:p w14:paraId="31D3561E" w14:textId="77777777" w:rsidR="00555DEA" w:rsidRDefault="00555DEA" w:rsidP="00E23426">
            <w:pPr>
              <w:rPr>
                <w:sz w:val="20"/>
                <w:szCs w:val="20"/>
              </w:rPr>
            </w:pPr>
            <w:r>
              <w:rPr>
                <w:sz w:val="20"/>
                <w:szCs w:val="20"/>
              </w:rPr>
              <w:t xml:space="preserve">If not collected, what is the general conclusion as to why </w:t>
            </w:r>
            <w:r w:rsidRPr="005915B6">
              <w:rPr>
                <w:sz w:val="20"/>
                <w:szCs w:val="20"/>
              </w:rPr>
              <w:t>no</w:t>
            </w:r>
            <w:r>
              <w:rPr>
                <w:sz w:val="20"/>
                <w:szCs w:val="20"/>
              </w:rPr>
              <w:t xml:space="preserve"> data was used</w:t>
            </w:r>
            <w:r w:rsidRPr="005915B6">
              <w:rPr>
                <w:sz w:val="20"/>
                <w:szCs w:val="20"/>
              </w:rPr>
              <w:t>?</w:t>
            </w:r>
            <w:r>
              <w:rPr>
                <w:sz w:val="20"/>
                <w:szCs w:val="20"/>
              </w:rPr>
              <w:t xml:space="preserve"> (i.e. it was not needed, did not exist, lack of access, restrictions that prevented its use, confidential)</w:t>
            </w:r>
          </w:p>
          <w:p w14:paraId="618022D0" w14:textId="77777777" w:rsidR="00555DEA" w:rsidRPr="005915B6" w:rsidRDefault="00555DEA" w:rsidP="00B92D37">
            <w:pPr>
              <w:rPr>
                <w:sz w:val="20"/>
                <w:szCs w:val="20"/>
              </w:rPr>
            </w:pPr>
          </w:p>
        </w:tc>
        <w:tc>
          <w:tcPr>
            <w:tcW w:w="7912" w:type="dxa"/>
            <w:shd w:val="clear" w:color="auto" w:fill="auto"/>
          </w:tcPr>
          <w:p w14:paraId="0BC47C7A" w14:textId="6833F3D4" w:rsidR="00555DEA" w:rsidRDefault="00A929BD" w:rsidP="000835A8">
            <w:pPr>
              <w:rPr>
                <w:sz w:val="20"/>
                <w:szCs w:val="20"/>
              </w:rPr>
            </w:pPr>
            <w:r>
              <w:rPr>
                <w:sz w:val="20"/>
                <w:szCs w:val="20"/>
              </w:rPr>
              <w:t xml:space="preserve">NA: </w:t>
            </w:r>
            <w:r w:rsidR="00B27A5D">
              <w:rPr>
                <w:sz w:val="20"/>
                <w:szCs w:val="20"/>
              </w:rPr>
              <w:t xml:space="preserve">Much data was collected for this effort.  </w:t>
            </w:r>
          </w:p>
        </w:tc>
      </w:tr>
      <w:tr w:rsidR="00555DEA" w14:paraId="234A757C" w14:textId="77777777" w:rsidTr="00B022DC">
        <w:tc>
          <w:tcPr>
            <w:tcW w:w="1859" w:type="dxa"/>
            <w:shd w:val="clear" w:color="auto" w:fill="FBD4B4" w:themeFill="accent6" w:themeFillTint="66"/>
          </w:tcPr>
          <w:p w14:paraId="50103721" w14:textId="7A89D61B" w:rsidR="00555DEA" w:rsidRDefault="00555DEA" w:rsidP="005915B6">
            <w:pPr>
              <w:rPr>
                <w:b/>
                <w:sz w:val="20"/>
                <w:szCs w:val="20"/>
              </w:rPr>
            </w:pPr>
            <w:r>
              <w:rPr>
                <w:b/>
                <w:sz w:val="20"/>
                <w:szCs w:val="20"/>
              </w:rPr>
              <w:t>WG Final Report</w:t>
            </w:r>
          </w:p>
        </w:tc>
        <w:tc>
          <w:tcPr>
            <w:tcW w:w="4845" w:type="dxa"/>
            <w:shd w:val="clear" w:color="auto" w:fill="FBD4B4" w:themeFill="accent6" w:themeFillTint="66"/>
          </w:tcPr>
          <w:p w14:paraId="3C6818BA" w14:textId="77777777" w:rsidR="00555DEA" w:rsidRDefault="00555DEA" w:rsidP="00574C38">
            <w:pPr>
              <w:rPr>
                <w:sz w:val="20"/>
                <w:szCs w:val="20"/>
              </w:rPr>
            </w:pPr>
            <w:r w:rsidRPr="005915B6">
              <w:rPr>
                <w:sz w:val="20"/>
                <w:szCs w:val="20"/>
              </w:rPr>
              <w:t xml:space="preserve">Was data </w:t>
            </w:r>
            <w:r>
              <w:rPr>
                <w:sz w:val="20"/>
                <w:szCs w:val="20"/>
              </w:rPr>
              <w:t xml:space="preserve">readily available or specifically </w:t>
            </w:r>
            <w:r w:rsidRPr="005915B6">
              <w:rPr>
                <w:sz w:val="20"/>
                <w:szCs w:val="20"/>
              </w:rPr>
              <w:t xml:space="preserve">collected for this </w:t>
            </w:r>
            <w:r>
              <w:rPr>
                <w:sz w:val="20"/>
                <w:szCs w:val="20"/>
              </w:rPr>
              <w:t>report?</w:t>
            </w:r>
            <w:r w:rsidRPr="005915B6">
              <w:rPr>
                <w:sz w:val="20"/>
                <w:szCs w:val="20"/>
              </w:rPr>
              <w:t xml:space="preserve"> (</w:t>
            </w:r>
            <w:r>
              <w:rPr>
                <w:sz w:val="20"/>
                <w:szCs w:val="20"/>
              </w:rPr>
              <w:t>i.e. was data identified, collected and analyzed during the WG deliberations)</w:t>
            </w:r>
          </w:p>
          <w:p w14:paraId="008978FB" w14:textId="77777777" w:rsidR="00555DEA" w:rsidRDefault="00555DEA" w:rsidP="00574C38">
            <w:pPr>
              <w:rPr>
                <w:sz w:val="20"/>
                <w:szCs w:val="20"/>
              </w:rPr>
            </w:pPr>
          </w:p>
          <w:p w14:paraId="39D362EA" w14:textId="77777777" w:rsidR="00555DEA" w:rsidRDefault="00555DEA" w:rsidP="00B92D37">
            <w:pPr>
              <w:rPr>
                <w:sz w:val="20"/>
                <w:szCs w:val="20"/>
              </w:rPr>
            </w:pPr>
            <w:r>
              <w:rPr>
                <w:sz w:val="20"/>
                <w:szCs w:val="20"/>
              </w:rPr>
              <w:t xml:space="preserve">If collected, </w:t>
            </w:r>
            <w:r w:rsidRPr="005915B6">
              <w:rPr>
                <w:sz w:val="20"/>
                <w:szCs w:val="20"/>
              </w:rPr>
              <w:t xml:space="preserve">how was </w:t>
            </w:r>
            <w:r>
              <w:rPr>
                <w:sz w:val="20"/>
                <w:szCs w:val="20"/>
              </w:rPr>
              <w:t>it collected, how long did it take and how much did it cost (if any, considering the type of cost (direct bill vs. significant time/effort))</w:t>
            </w:r>
            <w:r w:rsidRPr="005915B6">
              <w:rPr>
                <w:sz w:val="20"/>
                <w:szCs w:val="20"/>
              </w:rPr>
              <w:t>?</w:t>
            </w:r>
          </w:p>
          <w:p w14:paraId="191FC3FC" w14:textId="34F2EDC1" w:rsidR="00555DEA" w:rsidRPr="005915B6" w:rsidRDefault="00555DEA" w:rsidP="00B92D37">
            <w:pPr>
              <w:rPr>
                <w:sz w:val="20"/>
                <w:szCs w:val="20"/>
              </w:rPr>
            </w:pPr>
          </w:p>
        </w:tc>
        <w:tc>
          <w:tcPr>
            <w:tcW w:w="7912" w:type="dxa"/>
            <w:shd w:val="clear" w:color="auto" w:fill="FBD4B4" w:themeFill="accent6" w:themeFillTint="66"/>
          </w:tcPr>
          <w:p w14:paraId="10178940" w14:textId="77777777" w:rsidR="00555DEA" w:rsidRDefault="00555DEA" w:rsidP="00301469">
            <w:pPr>
              <w:rPr>
                <w:sz w:val="20"/>
                <w:szCs w:val="20"/>
              </w:rPr>
            </w:pPr>
            <w:r>
              <w:rPr>
                <w:sz w:val="20"/>
                <w:szCs w:val="20"/>
              </w:rPr>
              <w:t>Final Report</w:t>
            </w:r>
            <w:r w:rsidR="00301469">
              <w:rPr>
                <w:sz w:val="20"/>
                <w:szCs w:val="20"/>
              </w:rPr>
              <w:t xml:space="preserve"> Link (08 FEB 2008</w:t>
            </w:r>
            <w:r>
              <w:rPr>
                <w:sz w:val="20"/>
                <w:szCs w:val="20"/>
              </w:rPr>
              <w:t xml:space="preserve">): </w:t>
            </w:r>
            <w:hyperlink r:id="rId9" w:history="1">
              <w:r w:rsidR="00301469" w:rsidRPr="00A40A7C">
                <w:rPr>
                  <w:rStyle w:val="Hyperlink"/>
                  <w:sz w:val="20"/>
                  <w:szCs w:val="20"/>
                </w:rPr>
                <w:t>http://www.gnso.icann.org/drafts/draft-final-report-domain-tasting-08feb08.pdf</w:t>
              </w:r>
            </w:hyperlink>
            <w:r w:rsidR="00301469">
              <w:rPr>
                <w:sz w:val="20"/>
                <w:szCs w:val="20"/>
              </w:rPr>
              <w:t xml:space="preserve"> </w:t>
            </w:r>
          </w:p>
          <w:p w14:paraId="746AAAB2" w14:textId="77777777" w:rsidR="00301469" w:rsidRDefault="00301469" w:rsidP="00301469">
            <w:pPr>
              <w:rPr>
                <w:sz w:val="20"/>
                <w:szCs w:val="20"/>
              </w:rPr>
            </w:pPr>
          </w:p>
          <w:p w14:paraId="63C6CB89" w14:textId="49CBCC81" w:rsidR="00605B6F" w:rsidRDefault="00605B6F" w:rsidP="00605B6F">
            <w:pPr>
              <w:rPr>
                <w:sz w:val="20"/>
                <w:szCs w:val="20"/>
              </w:rPr>
            </w:pPr>
            <w:r>
              <w:rPr>
                <w:sz w:val="20"/>
                <w:szCs w:val="20"/>
              </w:rPr>
              <w:t>The Final Report makes many references to the data collected in the Outcomes Report</w:t>
            </w:r>
            <w:r w:rsidR="006C7458">
              <w:rPr>
                <w:sz w:val="20"/>
                <w:szCs w:val="20"/>
              </w:rPr>
              <w:t xml:space="preserve"> with a few smaller metrics that were </w:t>
            </w:r>
            <w:r w:rsidR="002D2317">
              <w:rPr>
                <w:sz w:val="20"/>
                <w:szCs w:val="20"/>
              </w:rPr>
              <w:t>introduced</w:t>
            </w:r>
            <w:r w:rsidR="006C7458">
              <w:rPr>
                <w:sz w:val="20"/>
                <w:szCs w:val="20"/>
              </w:rPr>
              <w:t xml:space="preserve"> for the first time</w:t>
            </w:r>
            <w:r w:rsidR="002D2317">
              <w:rPr>
                <w:sz w:val="20"/>
                <w:szCs w:val="20"/>
              </w:rPr>
              <w:t>, of which they were included in position statements</w:t>
            </w:r>
            <w:r w:rsidR="006C7458">
              <w:rPr>
                <w:sz w:val="20"/>
                <w:szCs w:val="20"/>
              </w:rPr>
              <w:t xml:space="preserve">.  </w:t>
            </w:r>
            <w:r w:rsidR="002D2317">
              <w:rPr>
                <w:sz w:val="20"/>
                <w:szCs w:val="20"/>
              </w:rPr>
              <w:t>Note, that this</w:t>
            </w:r>
            <w:r w:rsidR="006C7458">
              <w:rPr>
                <w:sz w:val="20"/>
                <w:szCs w:val="20"/>
              </w:rPr>
              <w:t xml:space="preserve"> Final Report is more focused in response to a draft motion and the opinion and impact to such implementation</w:t>
            </w:r>
            <w:r w:rsidR="002D2317">
              <w:rPr>
                <w:sz w:val="20"/>
                <w:szCs w:val="20"/>
              </w:rPr>
              <w:t xml:space="preserve"> if it were to be approved by the GNSO Council.</w:t>
            </w:r>
          </w:p>
          <w:p w14:paraId="3B70E778" w14:textId="77777777" w:rsidR="00906C66" w:rsidRDefault="00906C66" w:rsidP="00906C66">
            <w:pPr>
              <w:rPr>
                <w:sz w:val="20"/>
                <w:szCs w:val="20"/>
              </w:rPr>
            </w:pPr>
          </w:p>
          <w:p w14:paraId="7B1B7558" w14:textId="77777777" w:rsidR="00906C66" w:rsidRDefault="00906C66" w:rsidP="00906C66">
            <w:pPr>
              <w:rPr>
                <w:sz w:val="20"/>
                <w:szCs w:val="20"/>
              </w:rPr>
            </w:pPr>
            <w:r>
              <w:rPr>
                <w:sz w:val="20"/>
                <w:szCs w:val="20"/>
              </w:rPr>
              <w:t>Annex 1 contains the latest Constituency statements and their positions regarding the AGP and possible remedies for Domain Tasti</w:t>
            </w:r>
            <w:r w:rsidR="006C7458">
              <w:rPr>
                <w:sz w:val="20"/>
                <w:szCs w:val="20"/>
              </w:rPr>
              <w:t>ng; with reference to the proposed draft motion for the GNSO Council to consider.</w:t>
            </w:r>
          </w:p>
          <w:p w14:paraId="72AE4999" w14:textId="7765C8DF" w:rsidR="006C7458" w:rsidRDefault="006C7458" w:rsidP="00906C66">
            <w:pPr>
              <w:rPr>
                <w:sz w:val="20"/>
                <w:szCs w:val="20"/>
              </w:rPr>
            </w:pPr>
          </w:p>
        </w:tc>
      </w:tr>
      <w:tr w:rsidR="00555DEA" w14:paraId="49219963" w14:textId="77777777" w:rsidTr="00B022DC">
        <w:tc>
          <w:tcPr>
            <w:tcW w:w="1859" w:type="dxa"/>
            <w:shd w:val="clear" w:color="auto" w:fill="FBD4B4" w:themeFill="accent6" w:themeFillTint="66"/>
          </w:tcPr>
          <w:p w14:paraId="0A326EC3" w14:textId="6771A854" w:rsidR="00555DEA" w:rsidRDefault="00555DEA" w:rsidP="005915B6">
            <w:pPr>
              <w:rPr>
                <w:b/>
                <w:sz w:val="20"/>
                <w:szCs w:val="20"/>
              </w:rPr>
            </w:pPr>
            <w:r w:rsidRPr="00D27E03">
              <w:rPr>
                <w:b/>
                <w:sz w:val="20"/>
                <w:szCs w:val="20"/>
              </w:rPr>
              <w:t>WG Final Report</w:t>
            </w:r>
          </w:p>
        </w:tc>
        <w:tc>
          <w:tcPr>
            <w:tcW w:w="4845" w:type="dxa"/>
            <w:shd w:val="clear" w:color="auto" w:fill="FBD4B4" w:themeFill="accent6" w:themeFillTint="66"/>
          </w:tcPr>
          <w:p w14:paraId="6697E445" w14:textId="77777777" w:rsidR="00555DEA" w:rsidRDefault="00555DEA" w:rsidP="00574C38">
            <w:pPr>
              <w:rPr>
                <w:sz w:val="20"/>
                <w:szCs w:val="20"/>
              </w:rPr>
            </w:pPr>
            <w:r>
              <w:rPr>
                <w:sz w:val="20"/>
                <w:szCs w:val="20"/>
              </w:rPr>
              <w:t>If collected, w</w:t>
            </w:r>
            <w:r w:rsidRPr="005915B6">
              <w:rPr>
                <w:sz w:val="20"/>
                <w:szCs w:val="20"/>
              </w:rPr>
              <w:t>hat w</w:t>
            </w:r>
            <w:r>
              <w:rPr>
                <w:sz w:val="20"/>
                <w:szCs w:val="20"/>
              </w:rPr>
              <w:t xml:space="preserve">ere </w:t>
            </w:r>
            <w:r w:rsidRPr="005915B6">
              <w:rPr>
                <w:sz w:val="20"/>
                <w:szCs w:val="20"/>
              </w:rPr>
              <w:t xml:space="preserve">the </w:t>
            </w:r>
            <w:r>
              <w:rPr>
                <w:sz w:val="20"/>
                <w:szCs w:val="20"/>
              </w:rPr>
              <w:t xml:space="preserve">primary </w:t>
            </w:r>
            <w:r w:rsidRPr="005915B6">
              <w:rPr>
                <w:sz w:val="20"/>
                <w:szCs w:val="20"/>
              </w:rPr>
              <w:t>source</w:t>
            </w:r>
            <w:r>
              <w:rPr>
                <w:sz w:val="20"/>
                <w:szCs w:val="20"/>
              </w:rPr>
              <w:t>s</w:t>
            </w:r>
            <w:r w:rsidRPr="005915B6">
              <w:rPr>
                <w:sz w:val="20"/>
                <w:szCs w:val="20"/>
              </w:rPr>
              <w:t xml:space="preserve"> of the data? (ICANN, Contracted Party, external)</w:t>
            </w:r>
            <w:r>
              <w:rPr>
                <w:sz w:val="20"/>
                <w:szCs w:val="20"/>
              </w:rPr>
              <w:t xml:space="preserve"> </w:t>
            </w:r>
          </w:p>
          <w:p w14:paraId="6C1D2AA1" w14:textId="77777777" w:rsidR="00555DEA" w:rsidRPr="00C81473" w:rsidRDefault="00555DEA" w:rsidP="00574C38">
            <w:pPr>
              <w:pStyle w:val="ListParagraph"/>
              <w:numPr>
                <w:ilvl w:val="0"/>
                <w:numId w:val="8"/>
              </w:numPr>
              <w:rPr>
                <w:sz w:val="20"/>
                <w:szCs w:val="20"/>
              </w:rPr>
            </w:pPr>
            <w:r w:rsidRPr="00C81473">
              <w:rPr>
                <w:sz w:val="20"/>
                <w:szCs w:val="20"/>
              </w:rPr>
              <w:lastRenderedPageBreak/>
              <w:t>Did any data providers impose restrictions on use of data?</w:t>
            </w:r>
          </w:p>
          <w:p w14:paraId="4BCFF173" w14:textId="77777777" w:rsidR="00555DEA" w:rsidRDefault="00555DEA" w:rsidP="00B92D37">
            <w:pPr>
              <w:rPr>
                <w:sz w:val="20"/>
                <w:szCs w:val="20"/>
              </w:rPr>
            </w:pPr>
          </w:p>
        </w:tc>
        <w:tc>
          <w:tcPr>
            <w:tcW w:w="7912" w:type="dxa"/>
            <w:shd w:val="clear" w:color="auto" w:fill="FBD4B4" w:themeFill="accent6" w:themeFillTint="66"/>
          </w:tcPr>
          <w:p w14:paraId="036EB4FA" w14:textId="34C1828C" w:rsidR="00555DEA" w:rsidRDefault="002D2317" w:rsidP="000835A8">
            <w:pPr>
              <w:rPr>
                <w:sz w:val="20"/>
                <w:szCs w:val="20"/>
              </w:rPr>
            </w:pPr>
            <w:r>
              <w:rPr>
                <w:sz w:val="20"/>
                <w:szCs w:val="20"/>
              </w:rPr>
              <w:lastRenderedPageBreak/>
              <w:t>NA – references back to Outcomes Report</w:t>
            </w:r>
          </w:p>
        </w:tc>
      </w:tr>
      <w:tr w:rsidR="00555DEA" w14:paraId="419B2CE0" w14:textId="77777777" w:rsidTr="00B022DC">
        <w:tc>
          <w:tcPr>
            <w:tcW w:w="1859" w:type="dxa"/>
            <w:shd w:val="clear" w:color="auto" w:fill="FBD4B4" w:themeFill="accent6" w:themeFillTint="66"/>
          </w:tcPr>
          <w:p w14:paraId="09830CBC" w14:textId="0CEDD1E0" w:rsidR="00555DEA" w:rsidRDefault="00555DEA" w:rsidP="005915B6">
            <w:pPr>
              <w:rPr>
                <w:b/>
                <w:sz w:val="20"/>
                <w:szCs w:val="20"/>
              </w:rPr>
            </w:pPr>
            <w:r w:rsidRPr="00D27E03">
              <w:rPr>
                <w:b/>
                <w:sz w:val="20"/>
                <w:szCs w:val="20"/>
              </w:rPr>
              <w:lastRenderedPageBreak/>
              <w:t>WG Final Report</w:t>
            </w:r>
          </w:p>
        </w:tc>
        <w:tc>
          <w:tcPr>
            <w:tcW w:w="4845" w:type="dxa"/>
            <w:shd w:val="clear" w:color="auto" w:fill="FBD4B4" w:themeFill="accent6" w:themeFillTint="66"/>
          </w:tcPr>
          <w:p w14:paraId="35F958E0" w14:textId="77777777" w:rsidR="00555DEA" w:rsidRDefault="00555DEA" w:rsidP="00574C38">
            <w:pPr>
              <w:rPr>
                <w:sz w:val="20"/>
                <w:szCs w:val="20"/>
              </w:rPr>
            </w:pPr>
            <w:r>
              <w:rPr>
                <w:sz w:val="20"/>
                <w:szCs w:val="20"/>
              </w:rPr>
              <w:t xml:space="preserve">If not collected, what is the general conclusion as to why </w:t>
            </w:r>
            <w:r w:rsidRPr="005915B6">
              <w:rPr>
                <w:sz w:val="20"/>
                <w:szCs w:val="20"/>
              </w:rPr>
              <w:t>no</w:t>
            </w:r>
            <w:r>
              <w:rPr>
                <w:sz w:val="20"/>
                <w:szCs w:val="20"/>
              </w:rPr>
              <w:t xml:space="preserve"> data was used</w:t>
            </w:r>
            <w:r w:rsidRPr="005915B6">
              <w:rPr>
                <w:sz w:val="20"/>
                <w:szCs w:val="20"/>
              </w:rPr>
              <w:t>?</w:t>
            </w:r>
            <w:r>
              <w:rPr>
                <w:sz w:val="20"/>
                <w:szCs w:val="20"/>
              </w:rPr>
              <w:t xml:space="preserve"> (i.e. it was not needed, did not exist, lack of access, restrictions that prevented its use, confidential)</w:t>
            </w:r>
          </w:p>
          <w:p w14:paraId="038C2D04" w14:textId="77777777" w:rsidR="00555DEA" w:rsidRDefault="00555DEA" w:rsidP="00B92D37">
            <w:pPr>
              <w:rPr>
                <w:sz w:val="20"/>
                <w:szCs w:val="20"/>
              </w:rPr>
            </w:pPr>
          </w:p>
        </w:tc>
        <w:tc>
          <w:tcPr>
            <w:tcW w:w="7912" w:type="dxa"/>
            <w:shd w:val="clear" w:color="auto" w:fill="FBD4B4" w:themeFill="accent6" w:themeFillTint="66"/>
          </w:tcPr>
          <w:p w14:paraId="33A7A614" w14:textId="2EB9B1FA" w:rsidR="00555DEA" w:rsidRDefault="002D2317" w:rsidP="002D2317">
            <w:pPr>
              <w:rPr>
                <w:sz w:val="20"/>
                <w:szCs w:val="20"/>
              </w:rPr>
            </w:pPr>
            <w:r>
              <w:rPr>
                <w:sz w:val="20"/>
                <w:szCs w:val="20"/>
              </w:rPr>
              <w:t>A few positions stated that further research of the data should be performed, especially in regards to possible impacts to the market.  However, WG members seemed satisfied with the data used thus far to identify with the problem.</w:t>
            </w:r>
          </w:p>
        </w:tc>
      </w:tr>
      <w:tr w:rsidR="00555DEA" w14:paraId="6A21B72D" w14:textId="77777777" w:rsidTr="00B022DC">
        <w:tc>
          <w:tcPr>
            <w:tcW w:w="1859" w:type="dxa"/>
            <w:shd w:val="clear" w:color="auto" w:fill="FBD4B4" w:themeFill="accent6" w:themeFillTint="66"/>
          </w:tcPr>
          <w:p w14:paraId="47CD4CFD" w14:textId="20A244F6" w:rsidR="00555DEA" w:rsidRPr="00D27E03" w:rsidRDefault="00555DEA" w:rsidP="005915B6">
            <w:pPr>
              <w:rPr>
                <w:b/>
                <w:sz w:val="20"/>
                <w:szCs w:val="20"/>
              </w:rPr>
            </w:pPr>
            <w:r w:rsidRPr="00D27E03">
              <w:rPr>
                <w:b/>
                <w:sz w:val="20"/>
                <w:szCs w:val="20"/>
              </w:rPr>
              <w:t>WG Final Report</w:t>
            </w:r>
          </w:p>
        </w:tc>
        <w:tc>
          <w:tcPr>
            <w:tcW w:w="4845" w:type="dxa"/>
            <w:shd w:val="clear" w:color="auto" w:fill="FBD4B4" w:themeFill="accent6" w:themeFillTint="66"/>
          </w:tcPr>
          <w:p w14:paraId="20499114" w14:textId="77777777" w:rsidR="00555DEA" w:rsidRDefault="00555DEA" w:rsidP="00B255F9">
            <w:pPr>
              <w:rPr>
                <w:sz w:val="20"/>
                <w:szCs w:val="20"/>
              </w:rPr>
            </w:pPr>
            <w:r w:rsidRPr="005915B6">
              <w:rPr>
                <w:sz w:val="20"/>
                <w:szCs w:val="20"/>
              </w:rPr>
              <w:t>What types of data may have been useful that was not considered by the WG?</w:t>
            </w:r>
            <w:r>
              <w:rPr>
                <w:sz w:val="20"/>
                <w:szCs w:val="20"/>
              </w:rPr>
              <w:t xml:space="preserve">  If, possible make reference to data that was likely available at the time and did not appear to be used and also make a distinction of data available only today that could have been useful during the past effort.</w:t>
            </w:r>
          </w:p>
          <w:p w14:paraId="2A0F51AA" w14:textId="77777777" w:rsidR="00555DEA" w:rsidRDefault="00555DEA" w:rsidP="00574C38">
            <w:pPr>
              <w:rPr>
                <w:sz w:val="20"/>
                <w:szCs w:val="20"/>
              </w:rPr>
            </w:pPr>
          </w:p>
        </w:tc>
        <w:tc>
          <w:tcPr>
            <w:tcW w:w="7912" w:type="dxa"/>
            <w:shd w:val="clear" w:color="auto" w:fill="FBD4B4" w:themeFill="accent6" w:themeFillTint="66"/>
          </w:tcPr>
          <w:p w14:paraId="28BCB2BD" w14:textId="79D35D28" w:rsidR="00555DEA" w:rsidRDefault="002D2317" w:rsidP="000835A8">
            <w:pPr>
              <w:rPr>
                <w:sz w:val="20"/>
                <w:szCs w:val="20"/>
              </w:rPr>
            </w:pPr>
            <w:r>
              <w:rPr>
                <w:sz w:val="20"/>
                <w:szCs w:val="20"/>
              </w:rPr>
              <w:t xml:space="preserve">One of the first charts (.com total </w:t>
            </w:r>
            <w:proofErr w:type="spellStart"/>
            <w:r>
              <w:rPr>
                <w:sz w:val="20"/>
                <w:szCs w:val="20"/>
              </w:rPr>
              <w:t>reg</w:t>
            </w:r>
            <w:proofErr w:type="spellEnd"/>
            <w:r>
              <w:rPr>
                <w:sz w:val="20"/>
                <w:szCs w:val="20"/>
              </w:rPr>
              <w:t xml:space="preserve"> + net add/del) used to identify the problem would have been useful to create the same charts for each </w:t>
            </w:r>
            <w:proofErr w:type="spellStart"/>
            <w:r>
              <w:rPr>
                <w:sz w:val="20"/>
                <w:szCs w:val="20"/>
              </w:rPr>
              <w:t>gTLD</w:t>
            </w:r>
            <w:proofErr w:type="spellEnd"/>
            <w:r>
              <w:rPr>
                <w:sz w:val="20"/>
                <w:szCs w:val="20"/>
              </w:rPr>
              <w:t xml:space="preserve">.  Much of the analysis used the same data sources as with .com, .net, and .org.  </w:t>
            </w:r>
          </w:p>
        </w:tc>
      </w:tr>
      <w:tr w:rsidR="00555DEA" w14:paraId="252A5556" w14:textId="77777777" w:rsidTr="00B022DC">
        <w:tc>
          <w:tcPr>
            <w:tcW w:w="1859" w:type="dxa"/>
            <w:shd w:val="clear" w:color="auto" w:fill="FBD4B4" w:themeFill="accent6" w:themeFillTint="66"/>
          </w:tcPr>
          <w:p w14:paraId="051F7370" w14:textId="32F8F401" w:rsidR="00555DEA" w:rsidRPr="00D27E03" w:rsidRDefault="00555DEA" w:rsidP="005915B6">
            <w:pPr>
              <w:rPr>
                <w:b/>
                <w:sz w:val="20"/>
                <w:szCs w:val="20"/>
              </w:rPr>
            </w:pPr>
            <w:r w:rsidRPr="00D27E03">
              <w:rPr>
                <w:b/>
                <w:sz w:val="20"/>
                <w:szCs w:val="20"/>
              </w:rPr>
              <w:t>WG Final Report</w:t>
            </w:r>
          </w:p>
        </w:tc>
        <w:tc>
          <w:tcPr>
            <w:tcW w:w="4845" w:type="dxa"/>
            <w:shd w:val="clear" w:color="auto" w:fill="FBD4B4" w:themeFill="accent6" w:themeFillTint="66"/>
          </w:tcPr>
          <w:p w14:paraId="618443B9" w14:textId="77777777" w:rsidR="00555DEA" w:rsidRDefault="00555DEA" w:rsidP="00B255F9">
            <w:pPr>
              <w:rPr>
                <w:sz w:val="20"/>
                <w:szCs w:val="20"/>
              </w:rPr>
            </w:pPr>
            <w:r>
              <w:rPr>
                <w:sz w:val="20"/>
                <w:szCs w:val="20"/>
              </w:rPr>
              <w:t xml:space="preserve">What type of problems/difficulties faced during the collection of data, if collected? Any suggestion/proposals to resolve the issues to collect data next easily </w:t>
            </w:r>
          </w:p>
          <w:p w14:paraId="229C4018" w14:textId="77777777" w:rsidR="00555DEA" w:rsidRPr="005915B6" w:rsidRDefault="00555DEA" w:rsidP="00B255F9">
            <w:pPr>
              <w:rPr>
                <w:sz w:val="20"/>
                <w:szCs w:val="20"/>
              </w:rPr>
            </w:pPr>
          </w:p>
        </w:tc>
        <w:tc>
          <w:tcPr>
            <w:tcW w:w="7912" w:type="dxa"/>
            <w:shd w:val="clear" w:color="auto" w:fill="FBD4B4" w:themeFill="accent6" w:themeFillTint="66"/>
          </w:tcPr>
          <w:p w14:paraId="3CA9BC7F" w14:textId="0DB79653" w:rsidR="00555DEA" w:rsidRDefault="002D2317" w:rsidP="000835A8">
            <w:pPr>
              <w:rPr>
                <w:sz w:val="20"/>
                <w:szCs w:val="20"/>
              </w:rPr>
            </w:pPr>
            <w:r>
              <w:rPr>
                <w:sz w:val="20"/>
                <w:szCs w:val="20"/>
              </w:rPr>
              <w:t>Lack of consistency in presentation of the data across the gTLDs when referenced in the report.</w:t>
            </w:r>
            <w:r w:rsidR="008E1CDB">
              <w:rPr>
                <w:sz w:val="20"/>
                <w:szCs w:val="20"/>
              </w:rPr>
              <w:t xml:space="preserve">  The short time of WG activity likely played a part in hindering report consistency and breadth.</w:t>
            </w:r>
          </w:p>
          <w:p w14:paraId="639CFFC1" w14:textId="77777777" w:rsidR="002D2317" w:rsidRDefault="002D2317" w:rsidP="000835A8">
            <w:pPr>
              <w:rPr>
                <w:sz w:val="20"/>
                <w:szCs w:val="20"/>
              </w:rPr>
            </w:pPr>
          </w:p>
          <w:p w14:paraId="190C6DC0" w14:textId="77777777" w:rsidR="002D2317" w:rsidRDefault="002D2317" w:rsidP="000835A8">
            <w:pPr>
              <w:rPr>
                <w:sz w:val="20"/>
                <w:szCs w:val="20"/>
              </w:rPr>
            </w:pPr>
            <w:r>
              <w:rPr>
                <w:sz w:val="20"/>
                <w:szCs w:val="20"/>
              </w:rPr>
              <w:t>Graphical representations of the survey data may have complimented the complex descriptions of the results for each question.</w:t>
            </w:r>
          </w:p>
          <w:p w14:paraId="5F53993B" w14:textId="77777777" w:rsidR="002D2317" w:rsidRDefault="002D2317" w:rsidP="000835A8">
            <w:pPr>
              <w:rPr>
                <w:sz w:val="20"/>
                <w:szCs w:val="20"/>
              </w:rPr>
            </w:pPr>
          </w:p>
        </w:tc>
      </w:tr>
      <w:tr w:rsidR="00555DEA" w14:paraId="350B6234" w14:textId="77777777" w:rsidTr="00B022DC">
        <w:tc>
          <w:tcPr>
            <w:tcW w:w="1859" w:type="dxa"/>
            <w:shd w:val="clear" w:color="auto" w:fill="E5DFEC" w:themeFill="accent4" w:themeFillTint="33"/>
          </w:tcPr>
          <w:p w14:paraId="771A11D9" w14:textId="0CDB220A" w:rsidR="00555DEA" w:rsidRDefault="00555DEA" w:rsidP="005915B6">
            <w:pPr>
              <w:rPr>
                <w:b/>
                <w:sz w:val="20"/>
                <w:szCs w:val="20"/>
              </w:rPr>
            </w:pPr>
            <w:r>
              <w:rPr>
                <w:b/>
                <w:sz w:val="20"/>
                <w:szCs w:val="20"/>
              </w:rPr>
              <w:t>WG Recommendations/</w:t>
            </w:r>
          </w:p>
          <w:p w14:paraId="1D3207D4" w14:textId="2B826A3A" w:rsidR="00555DEA" w:rsidRDefault="00555DEA" w:rsidP="005915B6">
            <w:pPr>
              <w:rPr>
                <w:b/>
                <w:sz w:val="20"/>
                <w:szCs w:val="20"/>
              </w:rPr>
            </w:pPr>
            <w:r>
              <w:rPr>
                <w:b/>
                <w:sz w:val="20"/>
                <w:szCs w:val="20"/>
              </w:rPr>
              <w:t>GNSO Council adoption</w:t>
            </w:r>
          </w:p>
        </w:tc>
        <w:tc>
          <w:tcPr>
            <w:tcW w:w="4845" w:type="dxa"/>
            <w:shd w:val="clear" w:color="auto" w:fill="E5DFEC" w:themeFill="accent4" w:themeFillTint="33"/>
          </w:tcPr>
          <w:p w14:paraId="540E3194" w14:textId="77777777" w:rsidR="00555DEA" w:rsidRDefault="00555DEA" w:rsidP="00F34A8F">
            <w:pPr>
              <w:rPr>
                <w:sz w:val="20"/>
                <w:szCs w:val="20"/>
              </w:rPr>
            </w:pPr>
            <w:r>
              <w:rPr>
                <w:sz w:val="20"/>
                <w:szCs w:val="20"/>
              </w:rPr>
              <w:t xml:space="preserve">List the Final outcomes (recommendations) of WG effort.  </w:t>
            </w:r>
          </w:p>
          <w:p w14:paraId="334FE370" w14:textId="77777777" w:rsidR="00555DEA" w:rsidRDefault="00555DEA" w:rsidP="00F34A8F">
            <w:pPr>
              <w:rPr>
                <w:sz w:val="20"/>
                <w:szCs w:val="20"/>
              </w:rPr>
            </w:pPr>
          </w:p>
          <w:p w14:paraId="5C9C594B" w14:textId="1AD508F8" w:rsidR="00555DEA" w:rsidRDefault="00555DEA" w:rsidP="00F34A8F">
            <w:pPr>
              <w:rPr>
                <w:sz w:val="20"/>
                <w:szCs w:val="20"/>
              </w:rPr>
            </w:pPr>
            <w:r>
              <w:rPr>
                <w:sz w:val="20"/>
                <w:szCs w:val="20"/>
              </w:rPr>
              <w:t>Did the recommendations refer to additional data collection to measure the effectiveness?</w:t>
            </w:r>
          </w:p>
          <w:p w14:paraId="2363145A" w14:textId="5DE9C621" w:rsidR="00555DEA" w:rsidRDefault="00555DEA" w:rsidP="00F34A8F">
            <w:pPr>
              <w:rPr>
                <w:sz w:val="20"/>
                <w:szCs w:val="20"/>
              </w:rPr>
            </w:pPr>
          </w:p>
        </w:tc>
        <w:tc>
          <w:tcPr>
            <w:tcW w:w="7912" w:type="dxa"/>
            <w:shd w:val="clear" w:color="auto" w:fill="E5DFEC" w:themeFill="accent4" w:themeFillTint="33"/>
          </w:tcPr>
          <w:p w14:paraId="4BC919FA" w14:textId="58DCD12D" w:rsidR="00555DEA" w:rsidRDefault="00165519" w:rsidP="00B54EEB">
            <w:pPr>
              <w:rPr>
                <w:sz w:val="20"/>
                <w:szCs w:val="20"/>
              </w:rPr>
            </w:pPr>
            <w:r>
              <w:rPr>
                <w:sz w:val="20"/>
                <w:szCs w:val="20"/>
              </w:rPr>
              <w:t>The GNSO Council adopted the following resolution 17 APR 2008.  It also makes specific reference for staff to analyze and report on the implementation.</w:t>
            </w:r>
          </w:p>
          <w:p w14:paraId="14BDA986" w14:textId="77777777" w:rsidR="004D2B0A" w:rsidRDefault="004D2B0A" w:rsidP="00B54EEB">
            <w:pPr>
              <w:rPr>
                <w:sz w:val="20"/>
                <w:szCs w:val="20"/>
              </w:rPr>
            </w:pPr>
          </w:p>
          <w:p w14:paraId="039C14D8" w14:textId="77777777" w:rsidR="00165519" w:rsidRPr="00165519" w:rsidRDefault="00165519" w:rsidP="00165519">
            <w:pPr>
              <w:rPr>
                <w:sz w:val="20"/>
                <w:szCs w:val="20"/>
              </w:rPr>
            </w:pPr>
            <w:r w:rsidRPr="00165519">
              <w:rPr>
                <w:sz w:val="20"/>
                <w:szCs w:val="20"/>
              </w:rPr>
              <w:t>The GNSO Council recommends to the ICANN Board of Directors that:</w:t>
            </w:r>
          </w:p>
          <w:p w14:paraId="47F9339A" w14:textId="77777777" w:rsidR="00165519" w:rsidRDefault="00165519" w:rsidP="00165519">
            <w:pPr>
              <w:pStyle w:val="ListParagraph"/>
              <w:numPr>
                <w:ilvl w:val="0"/>
                <w:numId w:val="10"/>
              </w:numPr>
              <w:rPr>
                <w:sz w:val="20"/>
                <w:szCs w:val="20"/>
              </w:rPr>
            </w:pPr>
            <w:r w:rsidRPr="00165519">
              <w:rPr>
                <w:sz w:val="20"/>
                <w:szCs w:val="20"/>
              </w:rPr>
              <w:t xml:space="preserve">The applicability of the Add Grace Period shall be restricted for any </w:t>
            </w:r>
            <w:proofErr w:type="spellStart"/>
            <w:r w:rsidRPr="00165519">
              <w:rPr>
                <w:sz w:val="20"/>
                <w:szCs w:val="20"/>
              </w:rPr>
              <w:t>gTLD</w:t>
            </w:r>
            <w:proofErr w:type="spellEnd"/>
            <w:r w:rsidRPr="00165519">
              <w:rPr>
                <w:sz w:val="20"/>
                <w:szCs w:val="20"/>
              </w:rPr>
              <w:t xml:space="preserve"> which has implemented an AGP ("Applicable </w:t>
            </w:r>
            <w:proofErr w:type="spellStart"/>
            <w:r w:rsidRPr="00165519">
              <w:rPr>
                <w:sz w:val="20"/>
                <w:szCs w:val="20"/>
              </w:rPr>
              <w:t>gTLD</w:t>
            </w:r>
            <w:proofErr w:type="spellEnd"/>
            <w:r w:rsidRPr="00165519">
              <w:rPr>
                <w:sz w:val="20"/>
                <w:szCs w:val="20"/>
              </w:rPr>
              <w:t xml:space="preserve"> Operator"). Specifically, for each Applicable </w:t>
            </w:r>
            <w:proofErr w:type="spellStart"/>
            <w:r w:rsidRPr="00165519">
              <w:rPr>
                <w:sz w:val="20"/>
                <w:szCs w:val="20"/>
              </w:rPr>
              <w:t>gTLD</w:t>
            </w:r>
            <w:proofErr w:type="spellEnd"/>
            <w:r w:rsidRPr="00165519">
              <w:rPr>
                <w:sz w:val="20"/>
                <w:szCs w:val="20"/>
              </w:rPr>
              <w:t xml:space="preserve"> Operator:</w:t>
            </w:r>
          </w:p>
          <w:p w14:paraId="64A9B0C9" w14:textId="77777777" w:rsidR="00165519" w:rsidRDefault="00165519" w:rsidP="00165519">
            <w:pPr>
              <w:pStyle w:val="ListParagraph"/>
              <w:numPr>
                <w:ilvl w:val="1"/>
                <w:numId w:val="10"/>
              </w:numPr>
              <w:rPr>
                <w:sz w:val="20"/>
                <w:szCs w:val="20"/>
              </w:rPr>
            </w:pPr>
            <w:r w:rsidRPr="00165519">
              <w:rPr>
                <w:sz w:val="20"/>
                <w:szCs w:val="20"/>
              </w:rPr>
              <w:t xml:space="preserve">During any given month, an Applicable </w:t>
            </w:r>
            <w:proofErr w:type="spellStart"/>
            <w:r w:rsidRPr="00165519">
              <w:rPr>
                <w:sz w:val="20"/>
                <w:szCs w:val="20"/>
              </w:rPr>
              <w:t>gTLD</w:t>
            </w:r>
            <w:proofErr w:type="spellEnd"/>
            <w:r w:rsidRPr="00165519">
              <w:rPr>
                <w:sz w:val="20"/>
                <w:szCs w:val="20"/>
              </w:rPr>
              <w:t xml:space="preserve"> Operator may not offer any refund to a registrar for any domain names deleted during the AGP that exceed (</w:t>
            </w:r>
            <w:proofErr w:type="spellStart"/>
            <w:r w:rsidRPr="00165519">
              <w:rPr>
                <w:sz w:val="20"/>
                <w:szCs w:val="20"/>
              </w:rPr>
              <w:t>i</w:t>
            </w:r>
            <w:proofErr w:type="spellEnd"/>
            <w:r w:rsidRPr="00165519">
              <w:rPr>
                <w:sz w:val="20"/>
                <w:szCs w:val="20"/>
              </w:rPr>
              <w:t>) 10% of that registrar's net new registrations in that month (defined as total new registrations less domains deleted during AGP), or (ii) fifty (50) domain names, whichever is greater.</w:t>
            </w:r>
          </w:p>
          <w:p w14:paraId="48F4CB3C" w14:textId="77777777" w:rsidR="00165519" w:rsidRDefault="00165519" w:rsidP="00165519">
            <w:pPr>
              <w:pStyle w:val="ListParagraph"/>
              <w:numPr>
                <w:ilvl w:val="1"/>
                <w:numId w:val="10"/>
              </w:numPr>
              <w:rPr>
                <w:sz w:val="20"/>
                <w:szCs w:val="20"/>
              </w:rPr>
            </w:pPr>
            <w:r w:rsidRPr="00165519">
              <w:rPr>
                <w:sz w:val="20"/>
                <w:szCs w:val="20"/>
              </w:rPr>
              <w:t xml:space="preserve">A Registrar may seek an exemption from the application of such restriction in a specific month, upon the documented showing of extraordinary circumstances. For any Registrar requesting such an exemption, the Registrar must confirm in writing to the Registry Operator how, at the time the names were deleted, these extraordinary circumstances were not known, reasonably could not have been known, and were outside of the Registrar's control. Acceptance of any exemption will be at the sole reasonable discretion of the Registry Operator, however "extraordinary </w:t>
            </w:r>
            <w:r w:rsidRPr="00165519">
              <w:rPr>
                <w:sz w:val="20"/>
                <w:szCs w:val="20"/>
              </w:rPr>
              <w:lastRenderedPageBreak/>
              <w:t>circumstances" which reoccur regularly will not be deemed extraordinary.</w:t>
            </w:r>
          </w:p>
          <w:p w14:paraId="20F591EC" w14:textId="77777777" w:rsidR="00165519" w:rsidRDefault="00165519" w:rsidP="00165519">
            <w:pPr>
              <w:pStyle w:val="ListParagraph"/>
              <w:numPr>
                <w:ilvl w:val="1"/>
                <w:numId w:val="10"/>
              </w:numPr>
              <w:rPr>
                <w:sz w:val="20"/>
                <w:szCs w:val="20"/>
              </w:rPr>
            </w:pPr>
            <w:r w:rsidRPr="00165519">
              <w:rPr>
                <w:sz w:val="20"/>
                <w:szCs w:val="20"/>
              </w:rPr>
              <w:t xml:space="preserve">In addition to all other reporting requirements to ICANN, each Applicable </w:t>
            </w:r>
            <w:proofErr w:type="spellStart"/>
            <w:r w:rsidRPr="00165519">
              <w:rPr>
                <w:sz w:val="20"/>
                <w:szCs w:val="20"/>
              </w:rPr>
              <w:t>gTLD</w:t>
            </w:r>
            <w:proofErr w:type="spellEnd"/>
            <w:r w:rsidRPr="00165519">
              <w:rPr>
                <w:sz w:val="20"/>
                <w:szCs w:val="20"/>
              </w:rPr>
              <w:t xml:space="preserve"> Operator shall identify each Registrar that has sought an exemption, along with a brief descriptive identification of the type of extraordinary circumstance and the action (if any) that was taken by the Applicable </w:t>
            </w:r>
            <w:proofErr w:type="spellStart"/>
            <w:r w:rsidRPr="00165519">
              <w:rPr>
                <w:sz w:val="20"/>
                <w:szCs w:val="20"/>
              </w:rPr>
              <w:t>gTLD</w:t>
            </w:r>
            <w:proofErr w:type="spellEnd"/>
            <w:r w:rsidRPr="00165519">
              <w:rPr>
                <w:sz w:val="20"/>
                <w:szCs w:val="20"/>
              </w:rPr>
              <w:t xml:space="preserve"> Operator.</w:t>
            </w:r>
          </w:p>
          <w:p w14:paraId="37A75B6C" w14:textId="77777777" w:rsidR="00165519" w:rsidRPr="00B50B23" w:rsidRDefault="00165519" w:rsidP="00165519">
            <w:pPr>
              <w:pStyle w:val="ListParagraph"/>
              <w:numPr>
                <w:ilvl w:val="0"/>
                <w:numId w:val="10"/>
              </w:numPr>
              <w:rPr>
                <w:b/>
                <w:sz w:val="20"/>
                <w:szCs w:val="20"/>
              </w:rPr>
            </w:pPr>
            <w:r w:rsidRPr="00B50B23">
              <w:rPr>
                <w:b/>
                <w:sz w:val="20"/>
                <w:szCs w:val="20"/>
              </w:rPr>
              <w:t>Implementation and execution of these recommendations shall be monitored by the GNSO. Specifically;</w:t>
            </w:r>
          </w:p>
          <w:p w14:paraId="5D7270A5" w14:textId="77777777" w:rsidR="00165519" w:rsidRPr="00B50B23" w:rsidRDefault="00165519" w:rsidP="00165519">
            <w:pPr>
              <w:pStyle w:val="ListParagraph"/>
              <w:numPr>
                <w:ilvl w:val="1"/>
                <w:numId w:val="10"/>
              </w:numPr>
              <w:rPr>
                <w:b/>
                <w:sz w:val="20"/>
                <w:szCs w:val="20"/>
              </w:rPr>
            </w:pPr>
            <w:r w:rsidRPr="00B50B23">
              <w:rPr>
                <w:b/>
                <w:sz w:val="20"/>
                <w:szCs w:val="20"/>
              </w:rPr>
              <w:t>ICANN Staff shall analyze and report to the GNSO at six month intervals for two years after implementation, until such time as the GNSO resolves otherwise, with the goal of determining;</w:t>
            </w:r>
          </w:p>
          <w:p w14:paraId="21F0E31E" w14:textId="77777777" w:rsidR="00165519" w:rsidRPr="00B50B23" w:rsidRDefault="00165519" w:rsidP="00165519">
            <w:pPr>
              <w:pStyle w:val="ListParagraph"/>
              <w:numPr>
                <w:ilvl w:val="2"/>
                <w:numId w:val="10"/>
              </w:numPr>
              <w:rPr>
                <w:b/>
                <w:sz w:val="20"/>
                <w:szCs w:val="20"/>
              </w:rPr>
            </w:pPr>
            <w:r w:rsidRPr="00B50B23">
              <w:rPr>
                <w:b/>
                <w:sz w:val="20"/>
                <w:szCs w:val="20"/>
              </w:rPr>
              <w:t>How effectively and to what extent the policies have been implemented and followed by Registries and Registrars, and</w:t>
            </w:r>
          </w:p>
          <w:p w14:paraId="410C3270" w14:textId="77777777" w:rsidR="00165519" w:rsidRPr="00B50B23" w:rsidRDefault="00165519" w:rsidP="00165519">
            <w:pPr>
              <w:pStyle w:val="ListParagraph"/>
              <w:numPr>
                <w:ilvl w:val="2"/>
                <w:numId w:val="10"/>
              </w:numPr>
              <w:rPr>
                <w:b/>
                <w:sz w:val="20"/>
                <w:szCs w:val="20"/>
              </w:rPr>
            </w:pPr>
            <w:r w:rsidRPr="00B50B23">
              <w:rPr>
                <w:b/>
                <w:sz w:val="20"/>
                <w:szCs w:val="20"/>
              </w:rPr>
              <w:t>Whether or not modifications to these policies should be considered by the GNSO as a result of the experiences gained during the implementation and monitoring stages,</w:t>
            </w:r>
          </w:p>
          <w:p w14:paraId="2A519A78" w14:textId="77777777" w:rsidR="004D2B0A" w:rsidRDefault="00165519" w:rsidP="00165519">
            <w:pPr>
              <w:pStyle w:val="ListParagraph"/>
              <w:numPr>
                <w:ilvl w:val="1"/>
                <w:numId w:val="10"/>
              </w:numPr>
              <w:rPr>
                <w:sz w:val="20"/>
                <w:szCs w:val="20"/>
              </w:rPr>
            </w:pPr>
            <w:r w:rsidRPr="00B50B23">
              <w:rPr>
                <w:b/>
                <w:sz w:val="20"/>
                <w:szCs w:val="20"/>
              </w:rPr>
              <w:t xml:space="preserve">The purpose of these monitoring and reporting requirements are to allow the GNSO to determine when, if ever, these recommendations and any ensuing policy </w:t>
            </w:r>
            <w:bookmarkStart w:id="0" w:name="_GoBack"/>
            <w:r w:rsidRPr="00B50B23">
              <w:rPr>
                <w:b/>
                <w:sz w:val="20"/>
                <w:szCs w:val="20"/>
              </w:rPr>
              <w:t>require additional clarification or attention based on the results of the reports prepared by ICANN Staff.</w:t>
            </w:r>
            <w:bookmarkEnd w:id="0"/>
          </w:p>
          <w:p w14:paraId="2B108D59" w14:textId="0BF7DC6A" w:rsidR="00165519" w:rsidRPr="005915B6" w:rsidRDefault="00165519" w:rsidP="00165519">
            <w:pPr>
              <w:pStyle w:val="ListParagraph"/>
              <w:ind w:left="1440"/>
              <w:rPr>
                <w:sz w:val="20"/>
                <w:szCs w:val="20"/>
              </w:rPr>
            </w:pPr>
          </w:p>
        </w:tc>
      </w:tr>
      <w:tr w:rsidR="00555DEA" w14:paraId="4C565902" w14:textId="77777777" w:rsidTr="00B022DC">
        <w:tc>
          <w:tcPr>
            <w:tcW w:w="1859" w:type="dxa"/>
            <w:shd w:val="clear" w:color="auto" w:fill="E5DFEC" w:themeFill="accent4" w:themeFillTint="33"/>
          </w:tcPr>
          <w:p w14:paraId="53DDF8A9" w14:textId="5B88A370" w:rsidR="00555DEA" w:rsidRDefault="00555DEA" w:rsidP="005915B6">
            <w:pPr>
              <w:rPr>
                <w:b/>
                <w:sz w:val="20"/>
                <w:szCs w:val="20"/>
              </w:rPr>
            </w:pPr>
            <w:r>
              <w:rPr>
                <w:b/>
                <w:sz w:val="20"/>
                <w:szCs w:val="20"/>
              </w:rPr>
              <w:lastRenderedPageBreak/>
              <w:t>ICANN Board adoption / staff implementation</w:t>
            </w:r>
          </w:p>
        </w:tc>
        <w:tc>
          <w:tcPr>
            <w:tcW w:w="4845" w:type="dxa"/>
            <w:shd w:val="clear" w:color="auto" w:fill="E5DFEC" w:themeFill="accent4" w:themeFillTint="33"/>
          </w:tcPr>
          <w:p w14:paraId="4A0087E9" w14:textId="23F2DCAD" w:rsidR="00555DEA" w:rsidRDefault="00555DEA" w:rsidP="00B255F9">
            <w:pPr>
              <w:rPr>
                <w:sz w:val="20"/>
                <w:szCs w:val="20"/>
              </w:rPr>
            </w:pPr>
            <w:r>
              <w:rPr>
                <w:sz w:val="20"/>
                <w:szCs w:val="20"/>
              </w:rPr>
              <w:t xml:space="preserve">List the Final outcomes (recommendations) of the Board and ICANN staff.  </w:t>
            </w:r>
          </w:p>
          <w:p w14:paraId="116ACA2B" w14:textId="77777777" w:rsidR="00555DEA" w:rsidRDefault="00555DEA" w:rsidP="00B255F9">
            <w:pPr>
              <w:rPr>
                <w:sz w:val="20"/>
                <w:szCs w:val="20"/>
              </w:rPr>
            </w:pPr>
          </w:p>
          <w:p w14:paraId="48DA82E7" w14:textId="77777777" w:rsidR="00555DEA" w:rsidRDefault="00555DEA" w:rsidP="00B255F9">
            <w:pPr>
              <w:rPr>
                <w:sz w:val="20"/>
                <w:szCs w:val="20"/>
              </w:rPr>
            </w:pPr>
            <w:r>
              <w:rPr>
                <w:sz w:val="20"/>
                <w:szCs w:val="20"/>
              </w:rPr>
              <w:t>Did the recommendations refer to additional data collection to measure the effectiveness?</w:t>
            </w:r>
          </w:p>
          <w:p w14:paraId="0599544C" w14:textId="77777777" w:rsidR="00555DEA" w:rsidRDefault="00555DEA" w:rsidP="00F34A8F">
            <w:pPr>
              <w:rPr>
                <w:sz w:val="20"/>
                <w:szCs w:val="20"/>
              </w:rPr>
            </w:pPr>
          </w:p>
        </w:tc>
        <w:tc>
          <w:tcPr>
            <w:tcW w:w="7912" w:type="dxa"/>
            <w:shd w:val="clear" w:color="auto" w:fill="E5DFEC" w:themeFill="accent4" w:themeFillTint="33"/>
          </w:tcPr>
          <w:p w14:paraId="5F50038D" w14:textId="77777777" w:rsidR="00555DEA" w:rsidRDefault="00165519" w:rsidP="00B54EEB">
            <w:pPr>
              <w:rPr>
                <w:sz w:val="20"/>
                <w:szCs w:val="20"/>
              </w:rPr>
            </w:pPr>
            <w:r>
              <w:rPr>
                <w:sz w:val="20"/>
                <w:szCs w:val="20"/>
              </w:rPr>
              <w:t xml:space="preserve">The ICANN Board approved the GNSO CP recommendations on 26 JUN 2008.  </w:t>
            </w:r>
            <w:hyperlink r:id="rId10" w:history="1">
              <w:r w:rsidRPr="00A40A7C">
                <w:rPr>
                  <w:rStyle w:val="Hyperlink"/>
                  <w:sz w:val="20"/>
                  <w:szCs w:val="20"/>
                </w:rPr>
                <w:t>https://www.icann.org/resources/board-material/resolutions-2008-06-26-en</w:t>
              </w:r>
            </w:hyperlink>
            <w:r>
              <w:rPr>
                <w:sz w:val="20"/>
                <w:szCs w:val="20"/>
              </w:rPr>
              <w:t xml:space="preserve"> </w:t>
            </w:r>
          </w:p>
          <w:p w14:paraId="3013F8BB" w14:textId="77777777" w:rsidR="00165519" w:rsidRDefault="00165519" w:rsidP="00B54EEB">
            <w:pPr>
              <w:rPr>
                <w:sz w:val="20"/>
                <w:szCs w:val="20"/>
              </w:rPr>
            </w:pPr>
          </w:p>
          <w:p w14:paraId="0939FDB2" w14:textId="3E3B1D36" w:rsidR="00165519" w:rsidRDefault="00165519" w:rsidP="00B54EEB">
            <w:pPr>
              <w:rPr>
                <w:sz w:val="20"/>
                <w:szCs w:val="20"/>
              </w:rPr>
            </w:pPr>
            <w:r>
              <w:rPr>
                <w:sz w:val="20"/>
                <w:szCs w:val="20"/>
              </w:rPr>
              <w:t xml:space="preserve">The formal Consensus Policy on AGP Limits Policy:  </w:t>
            </w:r>
            <w:hyperlink r:id="rId11" w:history="1">
              <w:r w:rsidRPr="00A40A7C">
                <w:rPr>
                  <w:rStyle w:val="Hyperlink"/>
                  <w:sz w:val="20"/>
                  <w:szCs w:val="20"/>
                </w:rPr>
                <w:t>https://www.icann.org/resources/pages/agp-policy-2008-12-17-en</w:t>
              </w:r>
            </w:hyperlink>
            <w:r>
              <w:rPr>
                <w:sz w:val="20"/>
                <w:szCs w:val="20"/>
              </w:rPr>
              <w:t xml:space="preserve"> </w:t>
            </w:r>
          </w:p>
          <w:p w14:paraId="1BA52C97" w14:textId="77777777" w:rsidR="00165519" w:rsidRDefault="00165519" w:rsidP="00B54EEB">
            <w:pPr>
              <w:rPr>
                <w:sz w:val="20"/>
                <w:szCs w:val="20"/>
              </w:rPr>
            </w:pPr>
          </w:p>
          <w:p w14:paraId="7CDC69D2" w14:textId="0569F3E8" w:rsidR="00165519" w:rsidRDefault="00165519" w:rsidP="00B54EEB">
            <w:pPr>
              <w:rPr>
                <w:sz w:val="20"/>
                <w:szCs w:val="20"/>
              </w:rPr>
            </w:pPr>
            <w:r>
              <w:rPr>
                <w:sz w:val="20"/>
                <w:szCs w:val="20"/>
              </w:rPr>
              <w:t>Staff created a series of report on the Domain Tasting Issue</w:t>
            </w:r>
            <w:r w:rsidR="00C0540A">
              <w:rPr>
                <w:sz w:val="20"/>
                <w:szCs w:val="20"/>
              </w:rPr>
              <w:t>, with the Monthly Registry performance reports being the primary source</w:t>
            </w:r>
            <w:r>
              <w:rPr>
                <w:sz w:val="20"/>
                <w:szCs w:val="20"/>
              </w:rPr>
              <w:t>:</w:t>
            </w:r>
          </w:p>
          <w:p w14:paraId="55C86639" w14:textId="22F4A1CC" w:rsidR="00165519" w:rsidRDefault="00C0540A" w:rsidP="00165519">
            <w:pPr>
              <w:pStyle w:val="ListParagraph"/>
              <w:numPr>
                <w:ilvl w:val="0"/>
                <w:numId w:val="8"/>
              </w:numPr>
              <w:rPr>
                <w:sz w:val="20"/>
                <w:szCs w:val="20"/>
              </w:rPr>
            </w:pPr>
            <w:r>
              <w:rPr>
                <w:sz w:val="20"/>
                <w:szCs w:val="20"/>
              </w:rPr>
              <w:t xml:space="preserve">Report showing compliance from all Registries:  </w:t>
            </w:r>
            <w:hyperlink r:id="rId12" w:history="1">
              <w:r w:rsidR="00165519" w:rsidRPr="00A40A7C">
                <w:rPr>
                  <w:rStyle w:val="Hyperlink"/>
                  <w:sz w:val="20"/>
                  <w:szCs w:val="20"/>
                </w:rPr>
                <w:t>http://www.icann.org/en/resources/registries/agp/agp-limits-policy-report-10jun09-en.pdf</w:t>
              </w:r>
            </w:hyperlink>
          </w:p>
          <w:p w14:paraId="7EC88047" w14:textId="338A9925" w:rsidR="00165519" w:rsidRPr="00C0540A" w:rsidRDefault="00C0540A" w:rsidP="00C0540A">
            <w:pPr>
              <w:pStyle w:val="ListParagraph"/>
              <w:numPr>
                <w:ilvl w:val="0"/>
                <w:numId w:val="8"/>
              </w:numPr>
              <w:rPr>
                <w:sz w:val="20"/>
                <w:szCs w:val="20"/>
              </w:rPr>
            </w:pPr>
            <w:r>
              <w:rPr>
                <w:sz w:val="20"/>
                <w:szCs w:val="20"/>
              </w:rPr>
              <w:t xml:space="preserve">Trend charts showing the reduction of AGP deletion trends:  </w:t>
            </w:r>
            <w:hyperlink r:id="rId13" w:history="1">
              <w:r w:rsidR="00165519" w:rsidRPr="00C0540A">
                <w:rPr>
                  <w:rStyle w:val="Hyperlink"/>
                  <w:sz w:val="20"/>
                  <w:szCs w:val="20"/>
                </w:rPr>
                <w:t>http://www.icann.org/en/resources/registries/agp/agp-status-report-12aug09-en.htm</w:t>
              </w:r>
            </w:hyperlink>
          </w:p>
          <w:p w14:paraId="1D09F288" w14:textId="219734FF" w:rsidR="00165519" w:rsidRDefault="00165519" w:rsidP="00165519">
            <w:pPr>
              <w:pStyle w:val="ListParagraph"/>
              <w:numPr>
                <w:ilvl w:val="0"/>
                <w:numId w:val="8"/>
              </w:numPr>
              <w:rPr>
                <w:sz w:val="20"/>
                <w:szCs w:val="20"/>
              </w:rPr>
            </w:pPr>
            <w:hyperlink r:id="rId14" w:history="1">
              <w:r w:rsidRPr="00A40A7C">
                <w:rPr>
                  <w:rStyle w:val="Hyperlink"/>
                  <w:sz w:val="20"/>
                  <w:szCs w:val="20"/>
                </w:rPr>
                <w:t>http://www.icann.org/en/resources/registries/agp/agp-limits-policy-report-14dec09-en.pdf</w:t>
              </w:r>
            </w:hyperlink>
          </w:p>
          <w:p w14:paraId="33AEF289" w14:textId="77777777" w:rsidR="00165519" w:rsidRDefault="00165519" w:rsidP="00165519">
            <w:pPr>
              <w:rPr>
                <w:sz w:val="20"/>
                <w:szCs w:val="20"/>
              </w:rPr>
            </w:pPr>
          </w:p>
          <w:p w14:paraId="6643A679" w14:textId="6721DD95" w:rsidR="00165519" w:rsidRPr="00165519" w:rsidRDefault="00C0540A" w:rsidP="00165519">
            <w:pPr>
              <w:rPr>
                <w:sz w:val="20"/>
                <w:szCs w:val="20"/>
              </w:rPr>
            </w:pPr>
            <w:r>
              <w:rPr>
                <w:sz w:val="20"/>
                <w:szCs w:val="20"/>
              </w:rPr>
              <w:t>No other reports were found.</w:t>
            </w:r>
          </w:p>
        </w:tc>
      </w:tr>
    </w:tbl>
    <w:p w14:paraId="1D157805" w14:textId="6B473521"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131"/>
    <w:multiLevelType w:val="hybridMultilevel"/>
    <w:tmpl w:val="A7E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57DB"/>
    <w:multiLevelType w:val="hybridMultilevel"/>
    <w:tmpl w:val="718E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6800"/>
    <w:multiLevelType w:val="hybridMultilevel"/>
    <w:tmpl w:val="5526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0009C"/>
    <w:multiLevelType w:val="hybridMultilevel"/>
    <w:tmpl w:val="219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92496"/>
    <w:multiLevelType w:val="hybridMultilevel"/>
    <w:tmpl w:val="9F1EE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E007DA0"/>
    <w:multiLevelType w:val="hybridMultilevel"/>
    <w:tmpl w:val="5C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069D1"/>
    <w:multiLevelType w:val="hybridMultilevel"/>
    <w:tmpl w:val="A7EC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5"/>
  </w:num>
  <w:num w:numId="6">
    <w:abstractNumId w:val="2"/>
  </w:num>
  <w:num w:numId="7">
    <w:abstractNumId w:val="9"/>
  </w:num>
  <w:num w:numId="8">
    <w:abstractNumId w:val="3"/>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20018"/>
    <w:rsid w:val="00027A95"/>
    <w:rsid w:val="000835A8"/>
    <w:rsid w:val="00087D34"/>
    <w:rsid w:val="00090838"/>
    <w:rsid w:val="000D1031"/>
    <w:rsid w:val="000F202A"/>
    <w:rsid w:val="000F4AB6"/>
    <w:rsid w:val="0011259F"/>
    <w:rsid w:val="0016185C"/>
    <w:rsid w:val="00165519"/>
    <w:rsid w:val="00167538"/>
    <w:rsid w:val="0018183C"/>
    <w:rsid w:val="0019479F"/>
    <w:rsid w:val="001A66F4"/>
    <w:rsid w:val="00222B6B"/>
    <w:rsid w:val="002344BE"/>
    <w:rsid w:val="00246E85"/>
    <w:rsid w:val="00270396"/>
    <w:rsid w:val="002B3A70"/>
    <w:rsid w:val="002C1866"/>
    <w:rsid w:val="002D2317"/>
    <w:rsid w:val="002D287D"/>
    <w:rsid w:val="002D5DCB"/>
    <w:rsid w:val="002E3D76"/>
    <w:rsid w:val="002E502F"/>
    <w:rsid w:val="002E7133"/>
    <w:rsid w:val="00301469"/>
    <w:rsid w:val="0032461E"/>
    <w:rsid w:val="0034537B"/>
    <w:rsid w:val="0037008A"/>
    <w:rsid w:val="00374458"/>
    <w:rsid w:val="00382B72"/>
    <w:rsid w:val="00387200"/>
    <w:rsid w:val="0039019C"/>
    <w:rsid w:val="00392633"/>
    <w:rsid w:val="00420E43"/>
    <w:rsid w:val="00445A9E"/>
    <w:rsid w:val="004D2B0A"/>
    <w:rsid w:val="0050461A"/>
    <w:rsid w:val="005064DF"/>
    <w:rsid w:val="005143F0"/>
    <w:rsid w:val="00554E6B"/>
    <w:rsid w:val="00555DEA"/>
    <w:rsid w:val="005877EB"/>
    <w:rsid w:val="005915B6"/>
    <w:rsid w:val="005A568B"/>
    <w:rsid w:val="006022C1"/>
    <w:rsid w:val="00605B6F"/>
    <w:rsid w:val="00607AAE"/>
    <w:rsid w:val="00651240"/>
    <w:rsid w:val="00651E84"/>
    <w:rsid w:val="0065474E"/>
    <w:rsid w:val="006566D3"/>
    <w:rsid w:val="006977F3"/>
    <w:rsid w:val="006A5E70"/>
    <w:rsid w:val="006C033C"/>
    <w:rsid w:val="006C7458"/>
    <w:rsid w:val="006D50F8"/>
    <w:rsid w:val="006D6EB5"/>
    <w:rsid w:val="007144EB"/>
    <w:rsid w:val="00743B32"/>
    <w:rsid w:val="00771E4F"/>
    <w:rsid w:val="007A4611"/>
    <w:rsid w:val="007C47A7"/>
    <w:rsid w:val="007C512A"/>
    <w:rsid w:val="007D3DD5"/>
    <w:rsid w:val="008576DC"/>
    <w:rsid w:val="008B646A"/>
    <w:rsid w:val="008E1128"/>
    <w:rsid w:val="008E1CDB"/>
    <w:rsid w:val="008E572B"/>
    <w:rsid w:val="00906C66"/>
    <w:rsid w:val="00932ED4"/>
    <w:rsid w:val="009530BC"/>
    <w:rsid w:val="00970414"/>
    <w:rsid w:val="009C65A8"/>
    <w:rsid w:val="009F2295"/>
    <w:rsid w:val="009F52E1"/>
    <w:rsid w:val="009F772B"/>
    <w:rsid w:val="00A040BB"/>
    <w:rsid w:val="00A12F0D"/>
    <w:rsid w:val="00A14056"/>
    <w:rsid w:val="00A24BF0"/>
    <w:rsid w:val="00A31C71"/>
    <w:rsid w:val="00A33A99"/>
    <w:rsid w:val="00A66524"/>
    <w:rsid w:val="00A77A41"/>
    <w:rsid w:val="00A929BD"/>
    <w:rsid w:val="00AA4694"/>
    <w:rsid w:val="00AB78CE"/>
    <w:rsid w:val="00AE2381"/>
    <w:rsid w:val="00B022DC"/>
    <w:rsid w:val="00B255F9"/>
    <w:rsid w:val="00B27A5D"/>
    <w:rsid w:val="00B34631"/>
    <w:rsid w:val="00B50B23"/>
    <w:rsid w:val="00B54EEB"/>
    <w:rsid w:val="00B81B41"/>
    <w:rsid w:val="00B92D37"/>
    <w:rsid w:val="00BC6BE5"/>
    <w:rsid w:val="00BC7A42"/>
    <w:rsid w:val="00BE443D"/>
    <w:rsid w:val="00BE4CDC"/>
    <w:rsid w:val="00BE74C0"/>
    <w:rsid w:val="00BF67E9"/>
    <w:rsid w:val="00C0540A"/>
    <w:rsid w:val="00C1590F"/>
    <w:rsid w:val="00C429B9"/>
    <w:rsid w:val="00C81473"/>
    <w:rsid w:val="00C82862"/>
    <w:rsid w:val="00C956C5"/>
    <w:rsid w:val="00CB6617"/>
    <w:rsid w:val="00CF07E3"/>
    <w:rsid w:val="00CF5729"/>
    <w:rsid w:val="00CF5D87"/>
    <w:rsid w:val="00D30989"/>
    <w:rsid w:val="00D564F0"/>
    <w:rsid w:val="00D82069"/>
    <w:rsid w:val="00DD35AB"/>
    <w:rsid w:val="00E02DF4"/>
    <w:rsid w:val="00E527D9"/>
    <w:rsid w:val="00E74ACB"/>
    <w:rsid w:val="00E8136A"/>
    <w:rsid w:val="00E92285"/>
    <w:rsid w:val="00EB5FC8"/>
    <w:rsid w:val="00EB6EA4"/>
    <w:rsid w:val="00EC0AB1"/>
    <w:rsid w:val="00ED693E"/>
    <w:rsid w:val="00F10163"/>
    <w:rsid w:val="00F12972"/>
    <w:rsid w:val="00F2578A"/>
    <w:rsid w:val="00F3456F"/>
    <w:rsid w:val="00F34A8F"/>
    <w:rsid w:val="00F72432"/>
    <w:rsid w:val="00FB7FDC"/>
    <w:rsid w:val="00FD1A3C"/>
    <w:rsid w:val="00FE17F4"/>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gnso-domain-tasting-adhoc-outcomes-report-final.pdf" TargetMode="External"/><Relationship Id="rId13" Type="http://schemas.openxmlformats.org/officeDocument/2006/relationships/hyperlink" Target="http://www.icann.org/en/resources/registries/agp/agp-status-report-12aug09-en.htm"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gnso.icann.org/issues/domain-tasting/gnso-domain-tasting-report-14jun07.pdf" TargetMode="External"/><Relationship Id="rId12" Type="http://schemas.openxmlformats.org/officeDocument/2006/relationships/hyperlink" Target="http://www.icann.org/en/resources/registries/agp/agp-limits-policy-report-10jun09-en.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nso.icann.org/en/group-activities/inactive/2008/domain-tasting" TargetMode="External"/><Relationship Id="rId11" Type="http://schemas.openxmlformats.org/officeDocument/2006/relationships/hyperlink" Target="https://www.icann.org/resources/pages/agp-policy-2008-12-17-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nn.org/resources/board-material/resolutions-2008-06-26-en" TargetMode="External"/><Relationship Id="rId4" Type="http://schemas.openxmlformats.org/officeDocument/2006/relationships/settings" Target="settings.xml"/><Relationship Id="rId9" Type="http://schemas.openxmlformats.org/officeDocument/2006/relationships/hyperlink" Target="http://www.gnso.icann.org/drafts/draft-final-report-domain-tasting-08feb08.pdf" TargetMode="External"/><Relationship Id="rId14" Type="http://schemas.openxmlformats.org/officeDocument/2006/relationships/hyperlink" Target="http://www.icann.org/en/resources/registries/agp/agp-limits-policy-report-14dec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5</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16</cp:revision>
  <dcterms:created xsi:type="dcterms:W3CDTF">2014-05-31T23:46:00Z</dcterms:created>
  <dcterms:modified xsi:type="dcterms:W3CDTF">2014-06-02T01:11:00Z</dcterms:modified>
</cp:coreProperties>
</file>