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BBCBC" w14:textId="1DFA48CF" w:rsidR="00D30989" w:rsidRPr="000F202A" w:rsidRDefault="00D30989" w:rsidP="00B255F9">
      <w:pPr>
        <w:spacing w:after="0" w:line="240" w:lineRule="auto"/>
        <w:rPr>
          <w:b/>
        </w:rPr>
      </w:pPr>
      <w:bookmarkStart w:id="0" w:name="_GoBack"/>
      <w:bookmarkEnd w:id="0"/>
      <w:r w:rsidRPr="000F202A">
        <w:rPr>
          <w:b/>
        </w:rPr>
        <w:t>Title of Effort:</w:t>
      </w:r>
      <w:r w:rsidRPr="000F202A">
        <w:t xml:space="preserve"> </w:t>
      </w:r>
      <w:r w:rsidR="00B255F9">
        <w:t xml:space="preserve"> </w:t>
      </w:r>
      <w:r w:rsidR="00A60AE6" w:rsidRPr="00A60AE6">
        <w:t>PDP - Inter-Registrar Transfer Policy Development Process – Part A</w:t>
      </w:r>
    </w:p>
    <w:p w14:paraId="07618C3D" w14:textId="683B7560" w:rsidR="00F2578A" w:rsidRPr="000F202A" w:rsidRDefault="00F2578A" w:rsidP="00B255F9">
      <w:pPr>
        <w:spacing w:after="0" w:line="240" w:lineRule="auto"/>
        <w:rPr>
          <w:b/>
        </w:rPr>
      </w:pPr>
      <w:r w:rsidRPr="000F202A">
        <w:rPr>
          <w:b/>
        </w:rPr>
        <w:t xml:space="preserve">Start &amp; End Dates: </w:t>
      </w:r>
      <w:r w:rsidRPr="000F202A">
        <w:t xml:space="preserve"> </w:t>
      </w:r>
      <w:r w:rsidR="00A60AE6">
        <w:t>MAR</w:t>
      </w:r>
      <w:r w:rsidR="00CB6617" w:rsidRPr="000F202A">
        <w:t xml:space="preserve"> 200</w:t>
      </w:r>
      <w:r w:rsidR="00A60AE6">
        <w:t>8</w:t>
      </w:r>
      <w:r w:rsidR="00CB6617" w:rsidRPr="000F202A">
        <w:t xml:space="preserve"> – </w:t>
      </w:r>
      <w:r w:rsidR="00A60AE6">
        <w:t>APR</w:t>
      </w:r>
      <w:r w:rsidR="002C1866">
        <w:t xml:space="preserve"> 200</w:t>
      </w:r>
      <w:r w:rsidR="008E1CDB">
        <w:t>9</w:t>
      </w:r>
    </w:p>
    <w:p w14:paraId="65F45967" w14:textId="17457B52" w:rsidR="00D30989" w:rsidRPr="000F202A" w:rsidRDefault="00D30989" w:rsidP="00B255F9">
      <w:pPr>
        <w:spacing w:after="0" w:line="240" w:lineRule="auto"/>
        <w:rPr>
          <w:b/>
        </w:rPr>
      </w:pPr>
      <w:r w:rsidRPr="000F202A">
        <w:rPr>
          <w:b/>
        </w:rPr>
        <w:t>Link to Effort:</w:t>
      </w:r>
      <w:r w:rsidRPr="00B255F9">
        <w:t xml:space="preserve">  </w:t>
      </w:r>
      <w:hyperlink r:id="rId6" w:history="1">
        <w:r w:rsidR="00A60AE6" w:rsidRPr="00FF1122">
          <w:rPr>
            <w:rStyle w:val="Hyperlink"/>
          </w:rPr>
          <w:t>http://gnso.icann.org/en/group-activities/inactive/2009/irtp-a</w:t>
        </w:r>
      </w:hyperlink>
      <w:r w:rsidR="00A60AE6">
        <w:t xml:space="preserve"> </w:t>
      </w:r>
    </w:p>
    <w:p w14:paraId="031800C1" w14:textId="6160EE86" w:rsidR="00D30989" w:rsidRPr="000F202A" w:rsidRDefault="005915B6" w:rsidP="00B255F9">
      <w:pPr>
        <w:spacing w:after="0" w:line="240" w:lineRule="auto"/>
        <w:rPr>
          <w:b/>
        </w:rPr>
      </w:pPr>
      <w:r w:rsidRPr="000F202A">
        <w:rPr>
          <w:b/>
        </w:rPr>
        <w:t>Key Contributors:</w:t>
      </w:r>
      <w:r w:rsidR="000F202A">
        <w:rPr>
          <w:b/>
        </w:rPr>
        <w:t xml:space="preserve"> </w:t>
      </w:r>
      <w:r w:rsidR="000F202A" w:rsidRPr="000F202A">
        <w:t xml:space="preserve"> </w:t>
      </w:r>
      <w:r w:rsidR="00FF6BA7">
        <w:t>Chair (</w:t>
      </w:r>
      <w:r w:rsidR="00BD3DBA">
        <w:t>Paul Diaz</w:t>
      </w:r>
      <w:r w:rsidR="00FF6BA7">
        <w:t>)</w:t>
      </w:r>
      <w:proofErr w:type="gramStart"/>
      <w:r w:rsidR="00FF6BA7">
        <w:t>;  Staff</w:t>
      </w:r>
      <w:proofErr w:type="gramEnd"/>
      <w:r w:rsidR="00FF6BA7">
        <w:t xml:space="preserve"> (</w:t>
      </w:r>
      <w:proofErr w:type="spellStart"/>
      <w:r w:rsidR="00BC543E">
        <w:t>Olof</w:t>
      </w:r>
      <w:proofErr w:type="spellEnd"/>
      <w:r w:rsidR="00BC543E">
        <w:t xml:space="preserve"> </w:t>
      </w:r>
      <w:proofErr w:type="spellStart"/>
      <w:r w:rsidR="00BC543E">
        <w:t>Nordling</w:t>
      </w:r>
      <w:proofErr w:type="spellEnd"/>
      <w:r w:rsidR="000627C7">
        <w:t xml:space="preserve">, </w:t>
      </w:r>
      <w:proofErr w:type="spellStart"/>
      <w:r w:rsidR="000627C7">
        <w:t>Marika</w:t>
      </w:r>
      <w:proofErr w:type="spellEnd"/>
      <w:r w:rsidR="000627C7">
        <w:t xml:space="preserve"> </w:t>
      </w:r>
      <w:proofErr w:type="spellStart"/>
      <w:r w:rsidR="000627C7">
        <w:t>Konings</w:t>
      </w:r>
      <w:proofErr w:type="spellEnd"/>
      <w:r w:rsidR="00FF6BA7">
        <w:t>)</w:t>
      </w:r>
    </w:p>
    <w:tbl>
      <w:tblPr>
        <w:tblStyle w:val="TableGrid"/>
        <w:tblW w:w="0" w:type="auto"/>
        <w:tblLook w:val="04A0" w:firstRow="1" w:lastRow="0" w:firstColumn="1" w:lastColumn="0" w:noHBand="0" w:noVBand="1"/>
      </w:tblPr>
      <w:tblGrid>
        <w:gridCol w:w="1859"/>
        <w:gridCol w:w="4845"/>
        <w:gridCol w:w="7912"/>
      </w:tblGrid>
      <w:tr w:rsidR="0018183C" w14:paraId="59E9C4F1" w14:textId="77777777" w:rsidTr="00B022DC">
        <w:trPr>
          <w:tblHeader/>
        </w:trPr>
        <w:tc>
          <w:tcPr>
            <w:tcW w:w="1859" w:type="dxa"/>
            <w:shd w:val="clear" w:color="auto" w:fill="A6A6A6" w:themeFill="background1" w:themeFillShade="A6"/>
          </w:tcPr>
          <w:p w14:paraId="4AE191F4" w14:textId="3BB0B991" w:rsidR="005915B6" w:rsidRPr="005915B6" w:rsidRDefault="0019479F" w:rsidP="005915B6">
            <w:pPr>
              <w:jc w:val="center"/>
              <w:rPr>
                <w:b/>
              </w:rPr>
            </w:pPr>
            <w:r>
              <w:rPr>
                <w:b/>
              </w:rPr>
              <w:t>Work Product</w:t>
            </w:r>
          </w:p>
        </w:tc>
        <w:tc>
          <w:tcPr>
            <w:tcW w:w="4845" w:type="dxa"/>
            <w:shd w:val="clear" w:color="auto" w:fill="A6A6A6" w:themeFill="background1" w:themeFillShade="A6"/>
          </w:tcPr>
          <w:p w14:paraId="4AA90D11" w14:textId="77777777" w:rsidR="005915B6" w:rsidRPr="005915B6" w:rsidRDefault="005915B6" w:rsidP="005915B6">
            <w:pPr>
              <w:jc w:val="center"/>
              <w:rPr>
                <w:b/>
              </w:rPr>
            </w:pPr>
            <w:r w:rsidRPr="005915B6">
              <w:rPr>
                <w:b/>
              </w:rPr>
              <w:t>Question</w:t>
            </w:r>
          </w:p>
        </w:tc>
        <w:tc>
          <w:tcPr>
            <w:tcW w:w="7912" w:type="dxa"/>
            <w:shd w:val="clear" w:color="auto" w:fill="A6A6A6" w:themeFill="background1" w:themeFillShade="A6"/>
          </w:tcPr>
          <w:p w14:paraId="52672455" w14:textId="77777777" w:rsidR="005915B6" w:rsidRPr="005915B6" w:rsidRDefault="005915B6" w:rsidP="005915B6">
            <w:pPr>
              <w:jc w:val="center"/>
              <w:rPr>
                <w:b/>
              </w:rPr>
            </w:pPr>
            <w:r w:rsidRPr="005915B6">
              <w:rPr>
                <w:b/>
              </w:rPr>
              <w:t>Response</w:t>
            </w:r>
          </w:p>
        </w:tc>
      </w:tr>
      <w:tr w:rsidR="0018183C" w14:paraId="5F3404A4" w14:textId="77777777" w:rsidTr="00B022DC">
        <w:tc>
          <w:tcPr>
            <w:tcW w:w="1859" w:type="dxa"/>
            <w:shd w:val="clear" w:color="auto" w:fill="auto"/>
          </w:tcPr>
          <w:p w14:paraId="78353940" w14:textId="6EF87A36" w:rsidR="005915B6" w:rsidRPr="00222B6B" w:rsidRDefault="0019479F" w:rsidP="005915B6">
            <w:pPr>
              <w:rPr>
                <w:b/>
                <w:sz w:val="20"/>
                <w:szCs w:val="20"/>
              </w:rPr>
            </w:pPr>
            <w:r>
              <w:rPr>
                <w:b/>
                <w:sz w:val="20"/>
                <w:szCs w:val="20"/>
              </w:rPr>
              <w:t>NA</w:t>
            </w:r>
          </w:p>
        </w:tc>
        <w:tc>
          <w:tcPr>
            <w:tcW w:w="4845" w:type="dxa"/>
            <w:shd w:val="clear" w:color="auto" w:fill="auto"/>
          </w:tcPr>
          <w:p w14:paraId="2CE23514" w14:textId="77777777" w:rsidR="005915B6" w:rsidRDefault="005915B6" w:rsidP="00D30989">
            <w:pPr>
              <w:rPr>
                <w:sz w:val="20"/>
                <w:szCs w:val="20"/>
              </w:rPr>
            </w:pPr>
            <w:r w:rsidRPr="005915B6">
              <w:rPr>
                <w:sz w:val="20"/>
                <w:szCs w:val="20"/>
              </w:rPr>
              <w:t>Was this effort a PDP or non-PDP?</w:t>
            </w:r>
          </w:p>
          <w:p w14:paraId="58C82A12" w14:textId="77777777" w:rsidR="0019479F" w:rsidRDefault="0019479F" w:rsidP="0019479F">
            <w:pPr>
              <w:ind w:left="720"/>
              <w:rPr>
                <w:sz w:val="20"/>
                <w:szCs w:val="20"/>
              </w:rPr>
            </w:pPr>
            <w:proofErr w:type="gramStart"/>
            <w:r w:rsidRPr="005915B6">
              <w:rPr>
                <w:sz w:val="20"/>
                <w:szCs w:val="20"/>
              </w:rPr>
              <w:t>if</w:t>
            </w:r>
            <w:proofErr w:type="gramEnd"/>
            <w:r w:rsidRPr="005915B6">
              <w:rPr>
                <w:sz w:val="20"/>
                <w:szCs w:val="20"/>
              </w:rPr>
              <w:t xml:space="preserve"> a PDP, were Consensus Policy recommendations made and approved by the GNSO and ICANN Board?</w:t>
            </w:r>
          </w:p>
          <w:p w14:paraId="7D1AF83C" w14:textId="77777777" w:rsidR="005915B6" w:rsidRPr="005915B6" w:rsidRDefault="005915B6" w:rsidP="00D30989">
            <w:pPr>
              <w:rPr>
                <w:sz w:val="20"/>
                <w:szCs w:val="20"/>
              </w:rPr>
            </w:pPr>
          </w:p>
        </w:tc>
        <w:tc>
          <w:tcPr>
            <w:tcW w:w="7912" w:type="dxa"/>
          </w:tcPr>
          <w:p w14:paraId="444DA3F6" w14:textId="33516AC5" w:rsidR="00F128CD" w:rsidRDefault="00F128CD" w:rsidP="00CB6617">
            <w:pPr>
              <w:rPr>
                <w:sz w:val="20"/>
                <w:szCs w:val="20"/>
              </w:rPr>
            </w:pPr>
            <w:r>
              <w:rPr>
                <w:sz w:val="20"/>
                <w:szCs w:val="20"/>
              </w:rPr>
              <w:t>Public Comment Experiences with IRTP – 14 April 2005</w:t>
            </w:r>
          </w:p>
          <w:p w14:paraId="680234E3" w14:textId="113D0605" w:rsidR="00EF3167" w:rsidRDefault="00EF3167" w:rsidP="00CB6617">
            <w:pPr>
              <w:rPr>
                <w:sz w:val="20"/>
                <w:szCs w:val="20"/>
              </w:rPr>
            </w:pPr>
            <w:r>
              <w:rPr>
                <w:sz w:val="20"/>
                <w:szCs w:val="20"/>
              </w:rPr>
              <w:t>Transfers Working Group – June 2005</w:t>
            </w:r>
          </w:p>
          <w:p w14:paraId="2E5F9BF9" w14:textId="24E27AD6" w:rsidR="00760666" w:rsidRDefault="00760666" w:rsidP="00CB6617">
            <w:pPr>
              <w:rPr>
                <w:sz w:val="20"/>
                <w:szCs w:val="20"/>
              </w:rPr>
            </w:pPr>
            <w:r>
              <w:rPr>
                <w:sz w:val="20"/>
                <w:szCs w:val="20"/>
              </w:rPr>
              <w:t>SSAC DN Hijacking – 12 July 2005</w:t>
            </w:r>
          </w:p>
          <w:p w14:paraId="437C5DA2" w14:textId="272B418F" w:rsidR="009C2006" w:rsidRDefault="009C2006" w:rsidP="00CB6617">
            <w:pPr>
              <w:rPr>
                <w:sz w:val="20"/>
                <w:szCs w:val="20"/>
              </w:rPr>
            </w:pPr>
            <w:r>
              <w:rPr>
                <w:sz w:val="20"/>
                <w:szCs w:val="20"/>
              </w:rPr>
              <w:t>Policy Issues Arising from Transfers – 23 August 2007</w:t>
            </w:r>
          </w:p>
          <w:p w14:paraId="6D1C98BF" w14:textId="118A5042" w:rsidR="00EF3167" w:rsidRDefault="00EF3167" w:rsidP="00CB6617">
            <w:pPr>
              <w:rPr>
                <w:sz w:val="20"/>
                <w:szCs w:val="20"/>
              </w:rPr>
            </w:pPr>
            <w:r>
              <w:rPr>
                <w:sz w:val="20"/>
                <w:szCs w:val="20"/>
              </w:rPr>
              <w:t>Prioritization Committee Transfers Report – 20 December 2007</w:t>
            </w:r>
          </w:p>
          <w:p w14:paraId="417ED1E8" w14:textId="57A0590C" w:rsidR="009C2006" w:rsidRDefault="009C2006" w:rsidP="00CB6617">
            <w:pPr>
              <w:rPr>
                <w:sz w:val="20"/>
                <w:szCs w:val="20"/>
              </w:rPr>
            </w:pPr>
            <w:r>
              <w:rPr>
                <w:sz w:val="20"/>
                <w:szCs w:val="20"/>
              </w:rPr>
              <w:t>PDP Grouping Report – 19 March 2008</w:t>
            </w:r>
          </w:p>
          <w:p w14:paraId="119746B2" w14:textId="53B89C32" w:rsidR="005915B6" w:rsidRDefault="00A60AE6" w:rsidP="00CB6617">
            <w:pPr>
              <w:rPr>
                <w:sz w:val="20"/>
                <w:szCs w:val="20"/>
              </w:rPr>
            </w:pPr>
            <w:r>
              <w:rPr>
                <w:sz w:val="20"/>
                <w:szCs w:val="20"/>
              </w:rPr>
              <w:t xml:space="preserve">Working </w:t>
            </w:r>
            <w:r w:rsidR="008E1CDB">
              <w:rPr>
                <w:sz w:val="20"/>
                <w:szCs w:val="20"/>
              </w:rPr>
              <w:t>Group</w:t>
            </w:r>
            <w:r w:rsidR="00932ED4">
              <w:rPr>
                <w:sz w:val="20"/>
                <w:szCs w:val="20"/>
              </w:rPr>
              <w:t xml:space="preserve"> – initiated </w:t>
            </w:r>
            <w:r w:rsidR="009C2006">
              <w:rPr>
                <w:sz w:val="20"/>
                <w:szCs w:val="20"/>
              </w:rPr>
              <w:t>25 June</w:t>
            </w:r>
            <w:r w:rsidR="00932ED4">
              <w:rPr>
                <w:sz w:val="20"/>
                <w:szCs w:val="20"/>
              </w:rPr>
              <w:t xml:space="preserve"> 200</w:t>
            </w:r>
            <w:r>
              <w:rPr>
                <w:sz w:val="20"/>
                <w:szCs w:val="20"/>
              </w:rPr>
              <w:t>8</w:t>
            </w:r>
          </w:p>
          <w:p w14:paraId="737FE165" w14:textId="61F079EE" w:rsidR="0019479F" w:rsidRDefault="000627C7" w:rsidP="0019479F">
            <w:pPr>
              <w:rPr>
                <w:sz w:val="20"/>
                <w:szCs w:val="20"/>
              </w:rPr>
            </w:pPr>
            <w:r>
              <w:rPr>
                <w:sz w:val="20"/>
                <w:szCs w:val="20"/>
              </w:rPr>
              <w:t>No</w:t>
            </w:r>
            <w:r w:rsidR="0019479F">
              <w:rPr>
                <w:sz w:val="20"/>
                <w:szCs w:val="20"/>
              </w:rPr>
              <w:t xml:space="preserve">, Consensus Policy recommendations were </w:t>
            </w:r>
            <w:r>
              <w:rPr>
                <w:sz w:val="20"/>
                <w:szCs w:val="20"/>
              </w:rPr>
              <w:t xml:space="preserve">not </w:t>
            </w:r>
            <w:r w:rsidR="0019479F">
              <w:rPr>
                <w:sz w:val="20"/>
                <w:szCs w:val="20"/>
              </w:rPr>
              <w:t>made</w:t>
            </w:r>
            <w:r>
              <w:rPr>
                <w:sz w:val="20"/>
                <w:szCs w:val="20"/>
              </w:rPr>
              <w:t>, but recommendations did advise of continued work</w:t>
            </w:r>
          </w:p>
          <w:p w14:paraId="0EB209F0" w14:textId="3B99D351" w:rsidR="0019479F" w:rsidRPr="005915B6" w:rsidRDefault="0019479F" w:rsidP="00CB6617">
            <w:pPr>
              <w:rPr>
                <w:sz w:val="20"/>
                <w:szCs w:val="20"/>
              </w:rPr>
            </w:pPr>
          </w:p>
        </w:tc>
      </w:tr>
      <w:tr w:rsidR="00AA4694" w14:paraId="17E0351F" w14:textId="77777777" w:rsidTr="00B022DC">
        <w:tc>
          <w:tcPr>
            <w:tcW w:w="1859" w:type="dxa"/>
            <w:shd w:val="clear" w:color="auto" w:fill="auto"/>
          </w:tcPr>
          <w:p w14:paraId="27ECEE0C" w14:textId="39478BA5" w:rsidR="00AA4694" w:rsidRPr="00222B6B" w:rsidRDefault="0019479F" w:rsidP="005915B6">
            <w:pPr>
              <w:rPr>
                <w:b/>
                <w:sz w:val="20"/>
                <w:szCs w:val="20"/>
              </w:rPr>
            </w:pPr>
            <w:r>
              <w:rPr>
                <w:b/>
                <w:sz w:val="20"/>
                <w:szCs w:val="20"/>
              </w:rPr>
              <w:t>NA</w:t>
            </w:r>
          </w:p>
        </w:tc>
        <w:tc>
          <w:tcPr>
            <w:tcW w:w="4845" w:type="dxa"/>
            <w:shd w:val="clear" w:color="auto" w:fill="auto"/>
          </w:tcPr>
          <w:p w14:paraId="1808E167" w14:textId="77777777" w:rsidR="00AA4694" w:rsidRDefault="00AA4694" w:rsidP="00D30989">
            <w:pPr>
              <w:rPr>
                <w:sz w:val="20"/>
                <w:szCs w:val="20"/>
              </w:rPr>
            </w:pPr>
            <w:r>
              <w:rPr>
                <w:sz w:val="20"/>
                <w:szCs w:val="20"/>
              </w:rPr>
              <w:t>What is the summary of issue/problem addressed by the Working Group?</w:t>
            </w:r>
          </w:p>
          <w:p w14:paraId="4774FA7B" w14:textId="7B15F4BF" w:rsidR="00B34631" w:rsidRDefault="00B34631" w:rsidP="00D30989">
            <w:pPr>
              <w:rPr>
                <w:sz w:val="20"/>
                <w:szCs w:val="20"/>
              </w:rPr>
            </w:pPr>
          </w:p>
        </w:tc>
        <w:tc>
          <w:tcPr>
            <w:tcW w:w="7912" w:type="dxa"/>
          </w:tcPr>
          <w:p w14:paraId="25D33705" w14:textId="77777777" w:rsidR="00DB5D3D" w:rsidRPr="00DB5D3D" w:rsidRDefault="00DB5D3D" w:rsidP="00DB5D3D">
            <w:pPr>
              <w:rPr>
                <w:sz w:val="20"/>
                <w:szCs w:val="20"/>
              </w:rPr>
            </w:pPr>
            <w:r w:rsidRPr="00DB5D3D">
              <w:rPr>
                <w:sz w:val="20"/>
                <w:szCs w:val="20"/>
              </w:rPr>
              <w:t>The Inter-Registrar Transfer Policy (IRTP) aims to provide a straight forward procedure for domain name holders to transfer their names from one ICANN accredited registrar to another should they wish to do so. The policy also provides standardized requirements for registrar handling of such transfer requests from domain name holders. The policy is an existing community consensus policy that was implemented in late 2004 and is now being reviewed by the GNSO.</w:t>
            </w:r>
          </w:p>
          <w:p w14:paraId="66C619A5" w14:textId="77777777" w:rsidR="00DB5D3D" w:rsidRDefault="00DB5D3D" w:rsidP="00DB5D3D">
            <w:pPr>
              <w:rPr>
                <w:sz w:val="20"/>
                <w:szCs w:val="20"/>
              </w:rPr>
            </w:pPr>
          </w:p>
          <w:p w14:paraId="32F280E0" w14:textId="77777777" w:rsidR="00DB5D3D" w:rsidRPr="00DB5D3D" w:rsidRDefault="00DB5D3D" w:rsidP="00DB5D3D">
            <w:pPr>
              <w:rPr>
                <w:sz w:val="20"/>
                <w:szCs w:val="20"/>
              </w:rPr>
            </w:pPr>
            <w:r w:rsidRPr="00DB5D3D">
              <w:rPr>
                <w:sz w:val="20"/>
                <w:szCs w:val="20"/>
              </w:rPr>
              <w:t>The IRTP Part A Policy Development Process (PDP) was the first in a series of five PDPs that address areas for improvements in the existing transfer policy.</w:t>
            </w:r>
          </w:p>
          <w:p w14:paraId="378BE37D" w14:textId="77777777" w:rsidR="00DB5D3D" w:rsidRDefault="00DB5D3D" w:rsidP="00DB5D3D">
            <w:pPr>
              <w:rPr>
                <w:sz w:val="20"/>
                <w:szCs w:val="20"/>
              </w:rPr>
            </w:pPr>
          </w:p>
          <w:p w14:paraId="6DBA1C65" w14:textId="3C9A6BE0" w:rsidR="00382B72" w:rsidRDefault="00DB5D3D" w:rsidP="00DB5D3D">
            <w:pPr>
              <w:rPr>
                <w:sz w:val="20"/>
                <w:szCs w:val="20"/>
              </w:rPr>
            </w:pPr>
            <w:r w:rsidRPr="00DB5D3D">
              <w:rPr>
                <w:sz w:val="20"/>
                <w:szCs w:val="20"/>
              </w:rPr>
              <w:t>The IRTP Part A PDP concerns three "new"</w:t>
            </w:r>
            <w:r>
              <w:rPr>
                <w:sz w:val="20"/>
                <w:szCs w:val="20"/>
              </w:rPr>
              <w:t xml:space="preserve"> </w:t>
            </w:r>
            <w:r w:rsidRPr="00DB5D3D">
              <w:rPr>
                <w:sz w:val="20"/>
                <w:szCs w:val="20"/>
              </w:rPr>
              <w:t>issues: (1) the potential exchange of registrant email information between registrars, (2) the potential for including new forms of electronic authentication to verify transfer requests and avoid "spoofing"</w:t>
            </w:r>
            <w:r>
              <w:rPr>
                <w:sz w:val="20"/>
                <w:szCs w:val="20"/>
              </w:rPr>
              <w:t xml:space="preserve"> </w:t>
            </w:r>
            <w:r w:rsidRPr="00DB5D3D">
              <w:rPr>
                <w:sz w:val="20"/>
                <w:szCs w:val="20"/>
              </w:rPr>
              <w:t>and (3) to consider whether the IRTP should include provisions for "partial bulk transfers"</w:t>
            </w:r>
            <w:r>
              <w:rPr>
                <w:sz w:val="20"/>
                <w:szCs w:val="20"/>
              </w:rPr>
              <w:t xml:space="preserve"> </w:t>
            </w:r>
            <w:r w:rsidRPr="00DB5D3D">
              <w:rPr>
                <w:sz w:val="20"/>
                <w:szCs w:val="20"/>
              </w:rPr>
              <w:t>between registrars.</w:t>
            </w:r>
          </w:p>
        </w:tc>
      </w:tr>
      <w:tr w:rsidR="0019479F" w14:paraId="5E353B43" w14:textId="77777777" w:rsidTr="00B022DC">
        <w:tc>
          <w:tcPr>
            <w:tcW w:w="1859" w:type="dxa"/>
            <w:shd w:val="clear" w:color="auto" w:fill="F2F2F2" w:themeFill="background1" w:themeFillShade="F2"/>
          </w:tcPr>
          <w:p w14:paraId="187DB77E" w14:textId="25512A71" w:rsidR="0019479F" w:rsidRPr="00222B6B" w:rsidRDefault="0019479F" w:rsidP="005915B6">
            <w:pPr>
              <w:rPr>
                <w:b/>
                <w:sz w:val="20"/>
                <w:szCs w:val="20"/>
              </w:rPr>
            </w:pPr>
            <w:r>
              <w:rPr>
                <w:b/>
                <w:sz w:val="20"/>
                <w:szCs w:val="20"/>
              </w:rPr>
              <w:t>Final Issue Report</w:t>
            </w:r>
          </w:p>
        </w:tc>
        <w:tc>
          <w:tcPr>
            <w:tcW w:w="4845" w:type="dxa"/>
            <w:shd w:val="clear" w:color="auto" w:fill="F2F2F2" w:themeFill="background1" w:themeFillShade="F2"/>
          </w:tcPr>
          <w:p w14:paraId="38E45F56" w14:textId="710760B3" w:rsidR="0019479F" w:rsidRDefault="0019479F" w:rsidP="0019479F">
            <w:pPr>
              <w:rPr>
                <w:sz w:val="20"/>
                <w:szCs w:val="20"/>
              </w:rPr>
            </w:pPr>
            <w:r w:rsidRPr="005915B6">
              <w:rPr>
                <w:sz w:val="20"/>
                <w:szCs w:val="20"/>
              </w:rPr>
              <w:t xml:space="preserve">Was data </w:t>
            </w:r>
            <w:r>
              <w:rPr>
                <w:sz w:val="20"/>
                <w:szCs w:val="20"/>
              </w:rPr>
              <w:t xml:space="preserve">readily available or specifically </w:t>
            </w:r>
            <w:r w:rsidRPr="005915B6">
              <w:rPr>
                <w:sz w:val="20"/>
                <w:szCs w:val="20"/>
              </w:rPr>
              <w:t xml:space="preserve">collected for this </w:t>
            </w:r>
            <w:r>
              <w:rPr>
                <w:sz w:val="20"/>
                <w:szCs w:val="20"/>
              </w:rPr>
              <w:t>report?</w:t>
            </w:r>
            <w:r w:rsidRPr="005915B6">
              <w:rPr>
                <w:sz w:val="20"/>
                <w:szCs w:val="20"/>
              </w:rPr>
              <w:t xml:space="preserve"> (</w:t>
            </w:r>
            <w:r>
              <w:rPr>
                <w:sz w:val="20"/>
                <w:szCs w:val="20"/>
              </w:rPr>
              <w:t>i.e. was data identified, collected and analyzed during the WG deliberations)</w:t>
            </w:r>
          </w:p>
          <w:p w14:paraId="65CC8B6E" w14:textId="77777777" w:rsidR="0019479F" w:rsidRDefault="0019479F" w:rsidP="00D30989">
            <w:pPr>
              <w:rPr>
                <w:sz w:val="20"/>
                <w:szCs w:val="20"/>
              </w:rPr>
            </w:pPr>
          </w:p>
          <w:p w14:paraId="7D86872B" w14:textId="77777777" w:rsidR="0019479F" w:rsidRDefault="0019479F" w:rsidP="00D30989">
            <w:pPr>
              <w:rPr>
                <w:sz w:val="20"/>
                <w:szCs w:val="20"/>
              </w:rPr>
            </w:pPr>
            <w:r>
              <w:rPr>
                <w:sz w:val="20"/>
                <w:szCs w:val="20"/>
              </w:rPr>
              <w:t xml:space="preserve">If collected, </w:t>
            </w:r>
            <w:r w:rsidRPr="005915B6">
              <w:rPr>
                <w:sz w:val="20"/>
                <w:szCs w:val="20"/>
              </w:rPr>
              <w:t xml:space="preserve">how was </w:t>
            </w:r>
            <w:r>
              <w:rPr>
                <w:sz w:val="20"/>
                <w:szCs w:val="20"/>
              </w:rPr>
              <w:t>it collected, how long did it take and how much did it cost (if any, considering the type of cost (direct bill vs. significant time/effort))</w:t>
            </w:r>
            <w:r w:rsidRPr="005915B6">
              <w:rPr>
                <w:sz w:val="20"/>
                <w:szCs w:val="20"/>
              </w:rPr>
              <w:t>?</w:t>
            </w:r>
          </w:p>
          <w:p w14:paraId="29F528D4" w14:textId="31ECD5A3" w:rsidR="00B92D37" w:rsidRDefault="00B92D37" w:rsidP="00D30989">
            <w:pPr>
              <w:rPr>
                <w:sz w:val="20"/>
                <w:szCs w:val="20"/>
              </w:rPr>
            </w:pPr>
          </w:p>
        </w:tc>
        <w:tc>
          <w:tcPr>
            <w:tcW w:w="7912" w:type="dxa"/>
            <w:shd w:val="clear" w:color="auto" w:fill="F2F2F2" w:themeFill="background1" w:themeFillShade="F2"/>
          </w:tcPr>
          <w:p w14:paraId="7B7ECDC4" w14:textId="3E18FACB" w:rsidR="0019479F" w:rsidRDefault="00C81473" w:rsidP="00970414">
            <w:pPr>
              <w:rPr>
                <w:rStyle w:val="Hyperlink"/>
                <w:sz w:val="20"/>
                <w:szCs w:val="20"/>
              </w:rPr>
            </w:pPr>
            <w:r>
              <w:rPr>
                <w:sz w:val="20"/>
                <w:szCs w:val="20"/>
              </w:rPr>
              <w:t>Issue Report Link (</w:t>
            </w:r>
            <w:r w:rsidR="00A60AE6">
              <w:rPr>
                <w:sz w:val="20"/>
                <w:szCs w:val="20"/>
              </w:rPr>
              <w:t>23</w:t>
            </w:r>
            <w:r>
              <w:rPr>
                <w:sz w:val="20"/>
                <w:szCs w:val="20"/>
              </w:rPr>
              <w:t xml:space="preserve"> </w:t>
            </w:r>
            <w:r w:rsidR="00A60AE6">
              <w:rPr>
                <w:sz w:val="20"/>
                <w:szCs w:val="20"/>
              </w:rPr>
              <w:t>MAY</w:t>
            </w:r>
            <w:r>
              <w:rPr>
                <w:sz w:val="20"/>
                <w:szCs w:val="20"/>
              </w:rPr>
              <w:t xml:space="preserve"> </w:t>
            </w:r>
            <w:r w:rsidR="00970414">
              <w:rPr>
                <w:sz w:val="20"/>
                <w:szCs w:val="20"/>
              </w:rPr>
              <w:t>200</w:t>
            </w:r>
            <w:r w:rsidR="00A60AE6">
              <w:rPr>
                <w:sz w:val="20"/>
                <w:szCs w:val="20"/>
              </w:rPr>
              <w:t>8</w:t>
            </w:r>
            <w:r>
              <w:rPr>
                <w:sz w:val="20"/>
                <w:szCs w:val="20"/>
              </w:rPr>
              <w:t>)</w:t>
            </w:r>
            <w:r w:rsidR="009F772B">
              <w:rPr>
                <w:sz w:val="20"/>
                <w:szCs w:val="20"/>
              </w:rPr>
              <w:t xml:space="preserve">: </w:t>
            </w:r>
            <w:hyperlink r:id="rId7" w:history="1">
              <w:r w:rsidR="00A60AE6" w:rsidRPr="00FF1122">
                <w:rPr>
                  <w:rStyle w:val="Hyperlink"/>
                  <w:sz w:val="20"/>
                  <w:szCs w:val="20"/>
                </w:rPr>
                <w:t>http://gnso.icann.org/issues/transfers/transfer-issues-report-set-a-23may08.pdf</w:t>
              </w:r>
            </w:hyperlink>
          </w:p>
          <w:p w14:paraId="5579CA54" w14:textId="77777777" w:rsidR="00F128CD" w:rsidRDefault="00F128CD" w:rsidP="00970414">
            <w:pPr>
              <w:rPr>
                <w:rStyle w:val="Hyperlink"/>
                <w:sz w:val="20"/>
                <w:szCs w:val="20"/>
              </w:rPr>
            </w:pPr>
          </w:p>
          <w:p w14:paraId="3C53CC49" w14:textId="5D9A654C" w:rsidR="00F128CD" w:rsidRDefault="00F128CD" w:rsidP="00970414">
            <w:pPr>
              <w:rPr>
                <w:sz w:val="20"/>
                <w:szCs w:val="20"/>
              </w:rPr>
            </w:pPr>
            <w:r>
              <w:rPr>
                <w:sz w:val="20"/>
                <w:szCs w:val="20"/>
              </w:rPr>
              <w:t>The entire issue seems to have been spurred by several fraudulent transfers after the original IRTP was deemed Consensus Policy in 2004</w:t>
            </w:r>
            <w:r w:rsidR="00760666">
              <w:rPr>
                <w:sz w:val="20"/>
                <w:szCs w:val="20"/>
              </w:rPr>
              <w:t xml:space="preserve"> and a follow-up SSAC Report</w:t>
            </w:r>
            <w:r>
              <w:rPr>
                <w:sz w:val="20"/>
                <w:szCs w:val="20"/>
              </w:rPr>
              <w:t xml:space="preserve">.  While all previous reports leading up to this Issue Report contained a list of qualitative issues </w:t>
            </w:r>
            <w:r w:rsidR="00760666">
              <w:rPr>
                <w:sz w:val="20"/>
                <w:szCs w:val="20"/>
              </w:rPr>
              <w:t>identifying</w:t>
            </w:r>
            <w:r>
              <w:rPr>
                <w:sz w:val="20"/>
                <w:szCs w:val="20"/>
              </w:rPr>
              <w:t xml:space="preserve"> short-comings to the existing policy, no data or metrics </w:t>
            </w:r>
            <w:r w:rsidR="00760666">
              <w:rPr>
                <w:sz w:val="20"/>
                <w:szCs w:val="20"/>
              </w:rPr>
              <w:t xml:space="preserve">were </w:t>
            </w:r>
            <w:r>
              <w:rPr>
                <w:sz w:val="20"/>
                <w:szCs w:val="20"/>
              </w:rPr>
              <w:t>used to provide quantitative support.</w:t>
            </w:r>
            <w:r w:rsidR="00760666">
              <w:rPr>
                <w:sz w:val="20"/>
                <w:szCs w:val="20"/>
              </w:rPr>
              <w:t xml:space="preserve">  Practically all qualitative data were the result of higher profile names being hijacked.</w:t>
            </w:r>
          </w:p>
          <w:p w14:paraId="1C3008FB" w14:textId="77777777" w:rsidR="00A60AE6" w:rsidRDefault="00A60AE6" w:rsidP="00970414">
            <w:pPr>
              <w:rPr>
                <w:sz w:val="20"/>
                <w:szCs w:val="20"/>
              </w:rPr>
            </w:pPr>
          </w:p>
          <w:p w14:paraId="676B40E0" w14:textId="77777777" w:rsidR="00A60AE6" w:rsidRDefault="00A60AE6" w:rsidP="00970414">
            <w:pPr>
              <w:rPr>
                <w:sz w:val="20"/>
                <w:szCs w:val="20"/>
              </w:rPr>
            </w:pPr>
          </w:p>
          <w:p w14:paraId="4AA8C84C" w14:textId="77777777" w:rsidR="00382B72" w:rsidRDefault="00382B72" w:rsidP="00970414">
            <w:pPr>
              <w:rPr>
                <w:sz w:val="20"/>
                <w:szCs w:val="20"/>
              </w:rPr>
            </w:pPr>
          </w:p>
          <w:p w14:paraId="3D2C0E81" w14:textId="27C8C531" w:rsidR="00B022DC" w:rsidRDefault="00B022DC" w:rsidP="00A60AE6">
            <w:pPr>
              <w:rPr>
                <w:sz w:val="20"/>
                <w:szCs w:val="20"/>
              </w:rPr>
            </w:pPr>
          </w:p>
        </w:tc>
      </w:tr>
      <w:tr w:rsidR="0019479F" w14:paraId="0A13A0FD" w14:textId="77777777" w:rsidTr="00B022DC">
        <w:tc>
          <w:tcPr>
            <w:tcW w:w="1859" w:type="dxa"/>
            <w:shd w:val="clear" w:color="auto" w:fill="F2F2F2" w:themeFill="background1" w:themeFillShade="F2"/>
          </w:tcPr>
          <w:p w14:paraId="02F9DED1" w14:textId="04FF932F" w:rsidR="0019479F" w:rsidRDefault="0019479F" w:rsidP="005915B6">
            <w:pPr>
              <w:rPr>
                <w:b/>
                <w:sz w:val="20"/>
                <w:szCs w:val="20"/>
              </w:rPr>
            </w:pPr>
            <w:r>
              <w:rPr>
                <w:b/>
                <w:sz w:val="20"/>
                <w:szCs w:val="20"/>
              </w:rPr>
              <w:t>Final Issue Report</w:t>
            </w:r>
          </w:p>
        </w:tc>
        <w:tc>
          <w:tcPr>
            <w:tcW w:w="4845" w:type="dxa"/>
            <w:shd w:val="clear" w:color="auto" w:fill="F2F2F2" w:themeFill="background1" w:themeFillShade="F2"/>
          </w:tcPr>
          <w:p w14:paraId="7EDDF590" w14:textId="36A4961F" w:rsidR="00C81473" w:rsidRDefault="00A14056" w:rsidP="00C81473">
            <w:pPr>
              <w:rPr>
                <w:sz w:val="20"/>
                <w:szCs w:val="20"/>
              </w:rPr>
            </w:pPr>
            <w:r>
              <w:rPr>
                <w:sz w:val="20"/>
                <w:szCs w:val="20"/>
              </w:rPr>
              <w:t>If collected, w</w:t>
            </w:r>
            <w:r w:rsidR="00C81473" w:rsidRPr="005915B6">
              <w:rPr>
                <w:sz w:val="20"/>
                <w:szCs w:val="20"/>
              </w:rPr>
              <w:t>hat w</w:t>
            </w:r>
            <w:r w:rsidR="00C81473">
              <w:rPr>
                <w:sz w:val="20"/>
                <w:szCs w:val="20"/>
              </w:rPr>
              <w:t xml:space="preserve">ere </w:t>
            </w:r>
            <w:r w:rsidR="00C81473" w:rsidRPr="005915B6">
              <w:rPr>
                <w:sz w:val="20"/>
                <w:szCs w:val="20"/>
              </w:rPr>
              <w:t xml:space="preserve">the </w:t>
            </w:r>
            <w:r w:rsidR="00C81473">
              <w:rPr>
                <w:sz w:val="20"/>
                <w:szCs w:val="20"/>
              </w:rPr>
              <w:t xml:space="preserve">primary </w:t>
            </w:r>
            <w:r w:rsidR="00C81473" w:rsidRPr="005915B6">
              <w:rPr>
                <w:sz w:val="20"/>
                <w:szCs w:val="20"/>
              </w:rPr>
              <w:t>source</w:t>
            </w:r>
            <w:r w:rsidR="00C81473">
              <w:rPr>
                <w:sz w:val="20"/>
                <w:szCs w:val="20"/>
              </w:rPr>
              <w:t>s</w:t>
            </w:r>
            <w:r w:rsidR="00C81473" w:rsidRPr="005915B6">
              <w:rPr>
                <w:sz w:val="20"/>
                <w:szCs w:val="20"/>
              </w:rPr>
              <w:t xml:space="preserve"> of the data? (ICANN, Contracted Party, external)</w:t>
            </w:r>
            <w:r w:rsidR="00C81473">
              <w:rPr>
                <w:sz w:val="20"/>
                <w:szCs w:val="20"/>
              </w:rPr>
              <w:t xml:space="preserve"> </w:t>
            </w:r>
          </w:p>
          <w:p w14:paraId="2422840F" w14:textId="77777777" w:rsidR="00C81473" w:rsidRPr="00C81473" w:rsidRDefault="00C81473" w:rsidP="00C81473">
            <w:pPr>
              <w:pStyle w:val="ListParagraph"/>
              <w:numPr>
                <w:ilvl w:val="0"/>
                <w:numId w:val="8"/>
              </w:numPr>
              <w:rPr>
                <w:sz w:val="20"/>
                <w:szCs w:val="20"/>
              </w:rPr>
            </w:pPr>
            <w:r w:rsidRPr="00C81473">
              <w:rPr>
                <w:sz w:val="20"/>
                <w:szCs w:val="20"/>
              </w:rPr>
              <w:lastRenderedPageBreak/>
              <w:t>Did any data providers impose restrictions on use of data?</w:t>
            </w:r>
          </w:p>
          <w:p w14:paraId="46E5B0B9" w14:textId="77777777" w:rsidR="0019479F" w:rsidRDefault="0019479F" w:rsidP="00D30989">
            <w:pPr>
              <w:rPr>
                <w:sz w:val="20"/>
                <w:szCs w:val="20"/>
              </w:rPr>
            </w:pPr>
          </w:p>
        </w:tc>
        <w:tc>
          <w:tcPr>
            <w:tcW w:w="7912" w:type="dxa"/>
            <w:shd w:val="clear" w:color="auto" w:fill="F2F2F2" w:themeFill="background1" w:themeFillShade="F2"/>
          </w:tcPr>
          <w:p w14:paraId="74B976E8" w14:textId="7F5C5D87" w:rsidR="0019479F" w:rsidRDefault="00760666" w:rsidP="000835A8">
            <w:pPr>
              <w:rPr>
                <w:sz w:val="20"/>
                <w:szCs w:val="20"/>
              </w:rPr>
            </w:pPr>
            <w:r>
              <w:rPr>
                <w:sz w:val="20"/>
                <w:szCs w:val="20"/>
              </w:rPr>
              <w:lastRenderedPageBreak/>
              <w:t>No data was collected and it is dif</w:t>
            </w:r>
            <w:r w:rsidR="00914E00">
              <w:rPr>
                <w:sz w:val="20"/>
                <w:szCs w:val="20"/>
              </w:rPr>
              <w:t>ficult to ascertain whether there were any requests for data from contracted parties or other service providers.</w:t>
            </w:r>
          </w:p>
        </w:tc>
      </w:tr>
      <w:tr w:rsidR="0019479F" w14:paraId="748EE323" w14:textId="77777777" w:rsidTr="00B022DC">
        <w:tc>
          <w:tcPr>
            <w:tcW w:w="1859" w:type="dxa"/>
            <w:shd w:val="clear" w:color="auto" w:fill="F2F2F2" w:themeFill="background1" w:themeFillShade="F2"/>
          </w:tcPr>
          <w:p w14:paraId="6CF756C1" w14:textId="5BBE1FA1" w:rsidR="0019479F" w:rsidRDefault="0019479F" w:rsidP="005915B6">
            <w:pPr>
              <w:rPr>
                <w:b/>
                <w:sz w:val="20"/>
                <w:szCs w:val="20"/>
              </w:rPr>
            </w:pPr>
            <w:r>
              <w:rPr>
                <w:b/>
                <w:sz w:val="20"/>
                <w:szCs w:val="20"/>
              </w:rPr>
              <w:lastRenderedPageBreak/>
              <w:t>Final Issue Report</w:t>
            </w:r>
          </w:p>
        </w:tc>
        <w:tc>
          <w:tcPr>
            <w:tcW w:w="4845" w:type="dxa"/>
            <w:shd w:val="clear" w:color="auto" w:fill="F2F2F2" w:themeFill="background1" w:themeFillShade="F2"/>
          </w:tcPr>
          <w:p w14:paraId="16D435A3" w14:textId="268D4134" w:rsidR="00C81473" w:rsidRDefault="00C81473" w:rsidP="00C81473">
            <w:pPr>
              <w:rPr>
                <w:sz w:val="20"/>
                <w:szCs w:val="20"/>
              </w:rPr>
            </w:pPr>
            <w:r>
              <w:rPr>
                <w:sz w:val="20"/>
                <w:szCs w:val="20"/>
              </w:rPr>
              <w:t xml:space="preserve">If not collected, what is the general conclusion as to why </w:t>
            </w:r>
            <w:r w:rsidRPr="005915B6">
              <w:rPr>
                <w:sz w:val="20"/>
                <w:szCs w:val="20"/>
              </w:rPr>
              <w:t>no</w:t>
            </w:r>
            <w:r>
              <w:rPr>
                <w:sz w:val="20"/>
                <w:szCs w:val="20"/>
              </w:rPr>
              <w:t xml:space="preserve"> data was used</w:t>
            </w:r>
            <w:r w:rsidRPr="005915B6">
              <w:rPr>
                <w:sz w:val="20"/>
                <w:szCs w:val="20"/>
              </w:rPr>
              <w:t>?</w:t>
            </w:r>
            <w:r>
              <w:rPr>
                <w:sz w:val="20"/>
                <w:szCs w:val="20"/>
              </w:rPr>
              <w:t xml:space="preserve"> (i.e. it was not needed, did not exist, lack of access, restrictions that prevented its use, confidential)</w:t>
            </w:r>
          </w:p>
          <w:p w14:paraId="67C80F0A" w14:textId="77777777" w:rsidR="0019479F" w:rsidRDefault="0019479F" w:rsidP="00D30989">
            <w:pPr>
              <w:rPr>
                <w:sz w:val="20"/>
                <w:szCs w:val="20"/>
              </w:rPr>
            </w:pPr>
          </w:p>
        </w:tc>
        <w:tc>
          <w:tcPr>
            <w:tcW w:w="7912" w:type="dxa"/>
            <w:shd w:val="clear" w:color="auto" w:fill="F2F2F2" w:themeFill="background1" w:themeFillShade="F2"/>
          </w:tcPr>
          <w:p w14:paraId="00F5E640" w14:textId="5F497ABD" w:rsidR="0019479F" w:rsidRDefault="00914E00" w:rsidP="000835A8">
            <w:pPr>
              <w:rPr>
                <w:sz w:val="20"/>
                <w:szCs w:val="20"/>
              </w:rPr>
            </w:pPr>
            <w:r>
              <w:rPr>
                <w:sz w:val="20"/>
                <w:szCs w:val="20"/>
              </w:rPr>
              <w:t>Unknown.  Emphasis was placed on higher profile names being hijacked.</w:t>
            </w:r>
          </w:p>
        </w:tc>
      </w:tr>
      <w:tr w:rsidR="00555DEA" w14:paraId="3B3F5092" w14:textId="77777777" w:rsidTr="00555DEA">
        <w:tc>
          <w:tcPr>
            <w:tcW w:w="1859" w:type="dxa"/>
            <w:shd w:val="clear" w:color="auto" w:fill="D6E3BC" w:themeFill="accent3" w:themeFillTint="66"/>
          </w:tcPr>
          <w:p w14:paraId="722E084D" w14:textId="7B8CDF57" w:rsidR="00555DEA" w:rsidRDefault="00555DEA" w:rsidP="005915B6">
            <w:pPr>
              <w:rPr>
                <w:b/>
                <w:sz w:val="20"/>
                <w:szCs w:val="20"/>
              </w:rPr>
            </w:pPr>
            <w:r>
              <w:rPr>
                <w:b/>
                <w:sz w:val="20"/>
                <w:szCs w:val="20"/>
              </w:rPr>
              <w:t>Charter</w:t>
            </w:r>
          </w:p>
        </w:tc>
        <w:tc>
          <w:tcPr>
            <w:tcW w:w="4845" w:type="dxa"/>
            <w:shd w:val="clear" w:color="auto" w:fill="D6E3BC" w:themeFill="accent3" w:themeFillTint="66"/>
          </w:tcPr>
          <w:p w14:paraId="6661090F" w14:textId="77777777" w:rsidR="00555DEA" w:rsidRDefault="00555DEA" w:rsidP="00E23426">
            <w:pPr>
              <w:rPr>
                <w:sz w:val="20"/>
                <w:szCs w:val="20"/>
              </w:rPr>
            </w:pPr>
            <w:r w:rsidRPr="005915B6">
              <w:rPr>
                <w:sz w:val="20"/>
                <w:szCs w:val="20"/>
              </w:rPr>
              <w:t xml:space="preserve">Did the Charter </w:t>
            </w:r>
            <w:r>
              <w:rPr>
                <w:sz w:val="20"/>
                <w:szCs w:val="20"/>
              </w:rPr>
              <w:t>establish a task for</w:t>
            </w:r>
            <w:r w:rsidRPr="005915B6">
              <w:rPr>
                <w:sz w:val="20"/>
                <w:szCs w:val="20"/>
              </w:rPr>
              <w:t xml:space="preserve"> the WG to collect data</w:t>
            </w:r>
            <w:r>
              <w:rPr>
                <w:sz w:val="20"/>
                <w:szCs w:val="20"/>
              </w:rPr>
              <w:t>, and if so, what types</w:t>
            </w:r>
            <w:r w:rsidRPr="005915B6">
              <w:rPr>
                <w:sz w:val="20"/>
                <w:szCs w:val="20"/>
              </w:rPr>
              <w:t>?</w:t>
            </w:r>
            <w:r>
              <w:rPr>
                <w:sz w:val="20"/>
                <w:szCs w:val="20"/>
              </w:rPr>
              <w:t xml:space="preserve">  Is there reference to costs associated with the request?</w:t>
            </w:r>
          </w:p>
          <w:p w14:paraId="33A5796A" w14:textId="77777777" w:rsidR="00555DEA" w:rsidRDefault="00555DEA" w:rsidP="00E23426">
            <w:pPr>
              <w:rPr>
                <w:sz w:val="20"/>
                <w:szCs w:val="20"/>
              </w:rPr>
            </w:pPr>
          </w:p>
          <w:p w14:paraId="6E2F9FBC" w14:textId="77777777" w:rsidR="00555DEA" w:rsidRDefault="00555DEA" w:rsidP="00E23426">
            <w:pPr>
              <w:rPr>
                <w:sz w:val="20"/>
                <w:szCs w:val="20"/>
              </w:rPr>
            </w:pPr>
            <w:r>
              <w:rPr>
                <w:sz w:val="20"/>
                <w:szCs w:val="20"/>
              </w:rPr>
              <w:t>Does it refer to analysis to be performed?</w:t>
            </w:r>
          </w:p>
          <w:p w14:paraId="6B016237" w14:textId="77777777" w:rsidR="00555DEA" w:rsidRPr="005915B6" w:rsidRDefault="00555DEA" w:rsidP="00B022DC">
            <w:pPr>
              <w:rPr>
                <w:sz w:val="20"/>
                <w:szCs w:val="20"/>
              </w:rPr>
            </w:pPr>
          </w:p>
        </w:tc>
        <w:tc>
          <w:tcPr>
            <w:tcW w:w="7912" w:type="dxa"/>
            <w:shd w:val="clear" w:color="auto" w:fill="D6E3BC" w:themeFill="accent3" w:themeFillTint="66"/>
          </w:tcPr>
          <w:p w14:paraId="340FF366" w14:textId="64148B1D" w:rsidR="00555DEA" w:rsidRDefault="00555DEA" w:rsidP="00E23426">
            <w:pPr>
              <w:rPr>
                <w:sz w:val="20"/>
                <w:szCs w:val="20"/>
              </w:rPr>
            </w:pPr>
            <w:r>
              <w:rPr>
                <w:sz w:val="20"/>
                <w:szCs w:val="20"/>
              </w:rPr>
              <w:t>Charter Link (</w:t>
            </w:r>
            <w:r w:rsidR="00A60AE6">
              <w:rPr>
                <w:sz w:val="20"/>
                <w:szCs w:val="20"/>
              </w:rPr>
              <w:t>25</w:t>
            </w:r>
            <w:r>
              <w:rPr>
                <w:sz w:val="20"/>
                <w:szCs w:val="20"/>
              </w:rPr>
              <w:t xml:space="preserve"> </w:t>
            </w:r>
            <w:r w:rsidR="00A60AE6">
              <w:rPr>
                <w:sz w:val="20"/>
                <w:szCs w:val="20"/>
              </w:rPr>
              <w:t>JUN</w:t>
            </w:r>
            <w:r>
              <w:rPr>
                <w:sz w:val="20"/>
                <w:szCs w:val="20"/>
              </w:rPr>
              <w:t xml:space="preserve"> </w:t>
            </w:r>
            <w:r w:rsidR="00A60AE6">
              <w:rPr>
                <w:sz w:val="20"/>
                <w:szCs w:val="20"/>
              </w:rPr>
              <w:t>2008</w:t>
            </w:r>
            <w:r>
              <w:rPr>
                <w:sz w:val="20"/>
                <w:szCs w:val="20"/>
              </w:rPr>
              <w:t>):</w:t>
            </w:r>
            <w:r w:rsidR="00A60AE6">
              <w:rPr>
                <w:sz w:val="20"/>
                <w:szCs w:val="20"/>
              </w:rPr>
              <w:t xml:space="preserve"> </w:t>
            </w:r>
            <w:hyperlink r:id="rId8" w:history="1">
              <w:r w:rsidR="00A60AE6" w:rsidRPr="00FF1122">
                <w:rPr>
                  <w:rStyle w:val="Hyperlink"/>
                  <w:sz w:val="20"/>
                  <w:szCs w:val="20"/>
                </w:rPr>
                <w:t>http://gnso.icann.org/en/issues/transfers/irtp-working-group-charter-jun08.htm</w:t>
              </w:r>
            </w:hyperlink>
          </w:p>
          <w:p w14:paraId="099D544A" w14:textId="77777777" w:rsidR="00A60AE6" w:rsidRDefault="00A60AE6" w:rsidP="00E23426">
            <w:pPr>
              <w:rPr>
                <w:sz w:val="20"/>
                <w:szCs w:val="20"/>
              </w:rPr>
            </w:pPr>
          </w:p>
          <w:p w14:paraId="5E90B13B" w14:textId="2C77FF5D" w:rsidR="00555DEA" w:rsidRDefault="00397E20" w:rsidP="00A60AE6">
            <w:pPr>
              <w:rPr>
                <w:sz w:val="20"/>
                <w:szCs w:val="20"/>
              </w:rPr>
            </w:pPr>
            <w:r>
              <w:rPr>
                <w:sz w:val="20"/>
                <w:szCs w:val="20"/>
              </w:rPr>
              <w:t>No.  Like previous reports on the issue, no data was requested or provided to understand the true extent of the problem on a macro level.  The issues to be addressed in this PDP could have benefited with additional data.</w:t>
            </w:r>
          </w:p>
          <w:p w14:paraId="6FEC10DA" w14:textId="77777777" w:rsidR="00397E20" w:rsidRDefault="00397E20" w:rsidP="00A60AE6">
            <w:pPr>
              <w:rPr>
                <w:sz w:val="20"/>
                <w:szCs w:val="20"/>
              </w:rPr>
            </w:pPr>
          </w:p>
          <w:p w14:paraId="6DA1AC96" w14:textId="77777777" w:rsidR="00397E20" w:rsidRPr="00397E20" w:rsidRDefault="00397E20" w:rsidP="00397E20">
            <w:pPr>
              <w:rPr>
                <w:sz w:val="20"/>
                <w:szCs w:val="20"/>
              </w:rPr>
            </w:pPr>
            <w:r w:rsidRPr="00397E20">
              <w:rPr>
                <w:sz w:val="20"/>
                <w:szCs w:val="20"/>
              </w:rPr>
              <w:t>The Working Group initially shall consider the following questions (found in Section 1.3 of the issues report):</w:t>
            </w:r>
          </w:p>
          <w:p w14:paraId="6E66D9FF" w14:textId="04AD6C0C" w:rsidR="00397E20" w:rsidRPr="00397E20" w:rsidRDefault="00397E20" w:rsidP="00397E20">
            <w:pPr>
              <w:rPr>
                <w:sz w:val="20"/>
                <w:szCs w:val="20"/>
              </w:rPr>
            </w:pPr>
            <w:proofErr w:type="gramStart"/>
            <w:r w:rsidRPr="00397E20">
              <w:rPr>
                <w:sz w:val="20"/>
                <w:szCs w:val="20"/>
              </w:rPr>
              <w:t>1.Whether</w:t>
            </w:r>
            <w:proofErr w:type="gramEnd"/>
            <w:r w:rsidRPr="00397E20">
              <w:rPr>
                <w:sz w:val="20"/>
                <w:szCs w:val="20"/>
              </w:rPr>
              <w:t xml:space="preserve"> there could be a way for registrars to make Registrant Email Address data available to one another. Currently there is no way of automating approval from the Registrant, as the Registrant Email Address is not a required field in the registrar </w:t>
            </w:r>
            <w:proofErr w:type="spellStart"/>
            <w:r w:rsidRPr="00397E20">
              <w:rPr>
                <w:sz w:val="20"/>
                <w:szCs w:val="20"/>
              </w:rPr>
              <w:t>Whois</w:t>
            </w:r>
            <w:proofErr w:type="spellEnd"/>
            <w:r w:rsidRPr="00397E20">
              <w:rPr>
                <w:sz w:val="20"/>
                <w:szCs w:val="20"/>
              </w:rPr>
              <w:t>. This slows down and/or complicates the process for registrants, especially since the Registrant can overrule the Admin Contact.</w:t>
            </w:r>
            <w:r>
              <w:rPr>
                <w:sz w:val="20"/>
                <w:szCs w:val="20"/>
              </w:rPr>
              <w:t xml:space="preserve">  </w:t>
            </w:r>
            <w:r w:rsidRPr="00397E20">
              <w:rPr>
                <w:sz w:val="20"/>
                <w:szCs w:val="20"/>
                <w:highlight w:val="yellow"/>
              </w:rPr>
              <w:t xml:space="preserve">&lt;How long did the current process take?  How often did the </w:t>
            </w:r>
            <w:proofErr w:type="spellStart"/>
            <w:r w:rsidRPr="00397E20">
              <w:rPr>
                <w:sz w:val="20"/>
                <w:szCs w:val="20"/>
                <w:highlight w:val="yellow"/>
              </w:rPr>
              <w:t>Rt</w:t>
            </w:r>
            <w:proofErr w:type="spellEnd"/>
            <w:r w:rsidRPr="00397E20">
              <w:rPr>
                <w:sz w:val="20"/>
                <w:szCs w:val="20"/>
                <w:highlight w:val="yellow"/>
              </w:rPr>
              <w:t xml:space="preserve"> need to overrule the admin contact?&gt;</w:t>
            </w:r>
          </w:p>
          <w:p w14:paraId="7AC5EDDD" w14:textId="69C0DAD6" w:rsidR="00397E20" w:rsidRPr="00397E20" w:rsidRDefault="00397E20" w:rsidP="00397E20">
            <w:pPr>
              <w:rPr>
                <w:sz w:val="20"/>
                <w:szCs w:val="20"/>
              </w:rPr>
            </w:pPr>
            <w:proofErr w:type="gramStart"/>
            <w:r w:rsidRPr="00397E20">
              <w:rPr>
                <w:sz w:val="20"/>
                <w:szCs w:val="20"/>
              </w:rPr>
              <w:t>2.Whether</w:t>
            </w:r>
            <w:proofErr w:type="gramEnd"/>
            <w:r w:rsidRPr="00397E20">
              <w:rPr>
                <w:sz w:val="20"/>
                <w:szCs w:val="20"/>
              </w:rPr>
              <w:t xml:space="preserve"> there is need for other options for electronic authentication (e.g., security token in FOA) due to security concerns on use of email addresses (potential for hacking or spoofing).</w:t>
            </w:r>
            <w:r>
              <w:rPr>
                <w:sz w:val="20"/>
                <w:szCs w:val="20"/>
              </w:rPr>
              <w:t xml:space="preserve"> </w:t>
            </w:r>
            <w:r w:rsidRPr="00397E20">
              <w:rPr>
                <w:sz w:val="20"/>
                <w:szCs w:val="20"/>
                <w:highlight w:val="yellow"/>
              </w:rPr>
              <w:t>&lt;At the time, how often were FOAs used in the transfer process?  How many resulted in successful or unsuccessful transfers?  What was the quantity of abusive transfers?&gt;</w:t>
            </w:r>
          </w:p>
          <w:p w14:paraId="128C6775" w14:textId="35D04200" w:rsidR="00397E20" w:rsidRDefault="00397E20" w:rsidP="00397E20">
            <w:pPr>
              <w:rPr>
                <w:sz w:val="20"/>
                <w:szCs w:val="20"/>
              </w:rPr>
            </w:pPr>
            <w:proofErr w:type="gramStart"/>
            <w:r w:rsidRPr="00397E20">
              <w:rPr>
                <w:sz w:val="20"/>
                <w:szCs w:val="20"/>
              </w:rPr>
              <w:t>3.Whether</w:t>
            </w:r>
            <w:proofErr w:type="gramEnd"/>
            <w:r w:rsidRPr="00397E20">
              <w:rPr>
                <w:sz w:val="20"/>
                <w:szCs w:val="20"/>
              </w:rPr>
              <w:t xml:space="preserve"> the policy should incorporate provisions for handling “partial bulk transfers” between registrars – that is, transfers involving a number of names but not the entire group of names held by the losing registrar.</w:t>
            </w:r>
            <w:r>
              <w:rPr>
                <w:sz w:val="20"/>
                <w:szCs w:val="20"/>
              </w:rPr>
              <w:t xml:space="preserve"> </w:t>
            </w:r>
            <w:r w:rsidRPr="00397E20">
              <w:rPr>
                <w:sz w:val="20"/>
                <w:szCs w:val="20"/>
                <w:highlight w:val="yellow"/>
              </w:rPr>
              <w:t>&lt;How many bulk transfers were conducted in a given period?  How many had been successful vs unsuccessful?&gt;</w:t>
            </w:r>
          </w:p>
          <w:p w14:paraId="2F21B591" w14:textId="16433C96" w:rsidR="00397E20" w:rsidRPr="00A60AE6" w:rsidRDefault="00397E20" w:rsidP="00397E20">
            <w:pPr>
              <w:rPr>
                <w:sz w:val="20"/>
                <w:szCs w:val="20"/>
              </w:rPr>
            </w:pPr>
          </w:p>
        </w:tc>
      </w:tr>
      <w:tr w:rsidR="00555DEA" w14:paraId="234A757C" w14:textId="77777777" w:rsidTr="00B022DC">
        <w:tc>
          <w:tcPr>
            <w:tcW w:w="1859" w:type="dxa"/>
            <w:shd w:val="clear" w:color="auto" w:fill="FBD4B4" w:themeFill="accent6" w:themeFillTint="66"/>
          </w:tcPr>
          <w:p w14:paraId="50103721" w14:textId="7A89D61B" w:rsidR="00555DEA" w:rsidRDefault="00555DEA" w:rsidP="005915B6">
            <w:pPr>
              <w:rPr>
                <w:b/>
                <w:sz w:val="20"/>
                <w:szCs w:val="20"/>
              </w:rPr>
            </w:pPr>
            <w:r>
              <w:rPr>
                <w:b/>
                <w:sz w:val="20"/>
                <w:szCs w:val="20"/>
              </w:rPr>
              <w:t>WG Final Report</w:t>
            </w:r>
          </w:p>
        </w:tc>
        <w:tc>
          <w:tcPr>
            <w:tcW w:w="4845" w:type="dxa"/>
            <w:shd w:val="clear" w:color="auto" w:fill="FBD4B4" w:themeFill="accent6" w:themeFillTint="66"/>
          </w:tcPr>
          <w:p w14:paraId="3C6818BA" w14:textId="77777777" w:rsidR="00555DEA" w:rsidRDefault="00555DEA" w:rsidP="00574C38">
            <w:pPr>
              <w:rPr>
                <w:sz w:val="20"/>
                <w:szCs w:val="20"/>
              </w:rPr>
            </w:pPr>
            <w:r w:rsidRPr="005915B6">
              <w:rPr>
                <w:sz w:val="20"/>
                <w:szCs w:val="20"/>
              </w:rPr>
              <w:t xml:space="preserve">Was data </w:t>
            </w:r>
            <w:r>
              <w:rPr>
                <w:sz w:val="20"/>
                <w:szCs w:val="20"/>
              </w:rPr>
              <w:t xml:space="preserve">readily available or specifically </w:t>
            </w:r>
            <w:r w:rsidRPr="005915B6">
              <w:rPr>
                <w:sz w:val="20"/>
                <w:szCs w:val="20"/>
              </w:rPr>
              <w:t xml:space="preserve">collected for this </w:t>
            </w:r>
            <w:r>
              <w:rPr>
                <w:sz w:val="20"/>
                <w:szCs w:val="20"/>
              </w:rPr>
              <w:t>report?</w:t>
            </w:r>
            <w:r w:rsidRPr="005915B6">
              <w:rPr>
                <w:sz w:val="20"/>
                <w:szCs w:val="20"/>
              </w:rPr>
              <w:t xml:space="preserve"> (</w:t>
            </w:r>
            <w:r>
              <w:rPr>
                <w:sz w:val="20"/>
                <w:szCs w:val="20"/>
              </w:rPr>
              <w:t>i.e. was data identified, collected and analyzed during the WG deliberations)</w:t>
            </w:r>
          </w:p>
          <w:p w14:paraId="008978FB" w14:textId="77777777" w:rsidR="00555DEA" w:rsidRDefault="00555DEA" w:rsidP="00574C38">
            <w:pPr>
              <w:rPr>
                <w:sz w:val="20"/>
                <w:szCs w:val="20"/>
              </w:rPr>
            </w:pPr>
          </w:p>
          <w:p w14:paraId="39D362EA" w14:textId="77777777" w:rsidR="00555DEA" w:rsidRDefault="00555DEA" w:rsidP="00B92D37">
            <w:pPr>
              <w:rPr>
                <w:sz w:val="20"/>
                <w:szCs w:val="20"/>
              </w:rPr>
            </w:pPr>
            <w:r>
              <w:rPr>
                <w:sz w:val="20"/>
                <w:szCs w:val="20"/>
              </w:rPr>
              <w:t xml:space="preserve">If collected, </w:t>
            </w:r>
            <w:r w:rsidRPr="005915B6">
              <w:rPr>
                <w:sz w:val="20"/>
                <w:szCs w:val="20"/>
              </w:rPr>
              <w:t xml:space="preserve">how was </w:t>
            </w:r>
            <w:r>
              <w:rPr>
                <w:sz w:val="20"/>
                <w:szCs w:val="20"/>
              </w:rPr>
              <w:t>it collected, how long did it take and how much did it cost (if any, considering the type of cost (direct bill vs. significant time/effort))</w:t>
            </w:r>
            <w:r w:rsidRPr="005915B6">
              <w:rPr>
                <w:sz w:val="20"/>
                <w:szCs w:val="20"/>
              </w:rPr>
              <w:t>?</w:t>
            </w:r>
          </w:p>
          <w:p w14:paraId="191FC3FC" w14:textId="34F2EDC1" w:rsidR="00555DEA" w:rsidRPr="005915B6" w:rsidRDefault="00555DEA" w:rsidP="00B92D37">
            <w:pPr>
              <w:rPr>
                <w:sz w:val="20"/>
                <w:szCs w:val="20"/>
              </w:rPr>
            </w:pPr>
          </w:p>
        </w:tc>
        <w:tc>
          <w:tcPr>
            <w:tcW w:w="7912" w:type="dxa"/>
            <w:shd w:val="clear" w:color="auto" w:fill="FBD4B4" w:themeFill="accent6" w:themeFillTint="66"/>
          </w:tcPr>
          <w:p w14:paraId="10178940" w14:textId="539114EF" w:rsidR="00555DEA" w:rsidRDefault="00555DEA" w:rsidP="00301469">
            <w:pPr>
              <w:rPr>
                <w:sz w:val="20"/>
                <w:szCs w:val="20"/>
              </w:rPr>
            </w:pPr>
            <w:r>
              <w:rPr>
                <w:sz w:val="20"/>
                <w:szCs w:val="20"/>
              </w:rPr>
              <w:t>Final Report</w:t>
            </w:r>
            <w:r w:rsidR="00301469">
              <w:rPr>
                <w:sz w:val="20"/>
                <w:szCs w:val="20"/>
              </w:rPr>
              <w:t xml:space="preserve"> Link (</w:t>
            </w:r>
            <w:r w:rsidR="00A60AE6">
              <w:rPr>
                <w:sz w:val="20"/>
                <w:szCs w:val="20"/>
              </w:rPr>
              <w:t>19</w:t>
            </w:r>
            <w:r w:rsidR="00301469">
              <w:rPr>
                <w:sz w:val="20"/>
                <w:szCs w:val="20"/>
              </w:rPr>
              <w:t xml:space="preserve"> </w:t>
            </w:r>
            <w:r w:rsidR="00A60AE6">
              <w:rPr>
                <w:sz w:val="20"/>
                <w:szCs w:val="20"/>
              </w:rPr>
              <w:t>MAR</w:t>
            </w:r>
            <w:r w:rsidR="00301469">
              <w:rPr>
                <w:sz w:val="20"/>
                <w:szCs w:val="20"/>
              </w:rPr>
              <w:t xml:space="preserve"> 200</w:t>
            </w:r>
            <w:r w:rsidR="00A60AE6">
              <w:rPr>
                <w:sz w:val="20"/>
                <w:szCs w:val="20"/>
              </w:rPr>
              <w:t>9</w:t>
            </w:r>
            <w:r>
              <w:rPr>
                <w:sz w:val="20"/>
                <w:szCs w:val="20"/>
              </w:rPr>
              <w:t xml:space="preserve">): </w:t>
            </w:r>
            <w:hyperlink r:id="rId9" w:history="1">
              <w:r w:rsidR="00A60AE6" w:rsidRPr="00FF1122">
                <w:rPr>
                  <w:rStyle w:val="Hyperlink"/>
                  <w:sz w:val="20"/>
                  <w:szCs w:val="20"/>
                </w:rPr>
                <w:t>http://gnso.icann.org/issues/transfers/irtp-final-report-a-19mar09.pdf</w:t>
              </w:r>
            </w:hyperlink>
            <w:r w:rsidR="00A60AE6">
              <w:rPr>
                <w:sz w:val="20"/>
                <w:szCs w:val="20"/>
              </w:rPr>
              <w:t xml:space="preserve"> </w:t>
            </w:r>
          </w:p>
          <w:p w14:paraId="746AAAB2" w14:textId="77777777" w:rsidR="00301469" w:rsidRDefault="00301469" w:rsidP="00301469">
            <w:pPr>
              <w:rPr>
                <w:sz w:val="20"/>
                <w:szCs w:val="20"/>
              </w:rPr>
            </w:pPr>
          </w:p>
          <w:p w14:paraId="72AE4999" w14:textId="5EAB81AA" w:rsidR="006C7458" w:rsidRDefault="000627C7" w:rsidP="00A60AE6">
            <w:pPr>
              <w:rPr>
                <w:sz w:val="20"/>
                <w:szCs w:val="20"/>
              </w:rPr>
            </w:pPr>
            <w:r>
              <w:rPr>
                <w:sz w:val="20"/>
                <w:szCs w:val="20"/>
              </w:rPr>
              <w:t>None.  Public comments and SO/AC inputs were gathered per the WG Guidelines</w:t>
            </w:r>
          </w:p>
        </w:tc>
      </w:tr>
      <w:tr w:rsidR="00555DEA" w14:paraId="49219963" w14:textId="77777777" w:rsidTr="00B022DC">
        <w:tc>
          <w:tcPr>
            <w:tcW w:w="1859" w:type="dxa"/>
            <w:shd w:val="clear" w:color="auto" w:fill="FBD4B4" w:themeFill="accent6" w:themeFillTint="66"/>
          </w:tcPr>
          <w:p w14:paraId="0A326EC3" w14:textId="6771A854" w:rsidR="00555DEA" w:rsidRDefault="00555DEA" w:rsidP="005915B6">
            <w:pPr>
              <w:rPr>
                <w:b/>
                <w:sz w:val="20"/>
                <w:szCs w:val="20"/>
              </w:rPr>
            </w:pPr>
            <w:r w:rsidRPr="00D27E03">
              <w:rPr>
                <w:b/>
                <w:sz w:val="20"/>
                <w:szCs w:val="20"/>
              </w:rPr>
              <w:t>WG Final Report</w:t>
            </w:r>
          </w:p>
        </w:tc>
        <w:tc>
          <w:tcPr>
            <w:tcW w:w="4845" w:type="dxa"/>
            <w:shd w:val="clear" w:color="auto" w:fill="FBD4B4" w:themeFill="accent6" w:themeFillTint="66"/>
          </w:tcPr>
          <w:p w14:paraId="6697E445" w14:textId="77777777" w:rsidR="00555DEA" w:rsidRDefault="00555DEA" w:rsidP="00574C38">
            <w:pPr>
              <w:rPr>
                <w:sz w:val="20"/>
                <w:szCs w:val="20"/>
              </w:rPr>
            </w:pPr>
            <w:r>
              <w:rPr>
                <w:sz w:val="20"/>
                <w:szCs w:val="20"/>
              </w:rPr>
              <w:t>If collected, w</w:t>
            </w:r>
            <w:r w:rsidRPr="005915B6">
              <w:rPr>
                <w:sz w:val="20"/>
                <w:szCs w:val="20"/>
              </w:rPr>
              <w:t>hat w</w:t>
            </w:r>
            <w:r>
              <w:rPr>
                <w:sz w:val="20"/>
                <w:szCs w:val="20"/>
              </w:rPr>
              <w:t xml:space="preserve">ere </w:t>
            </w:r>
            <w:r w:rsidRPr="005915B6">
              <w:rPr>
                <w:sz w:val="20"/>
                <w:szCs w:val="20"/>
              </w:rPr>
              <w:t xml:space="preserve">the </w:t>
            </w:r>
            <w:r>
              <w:rPr>
                <w:sz w:val="20"/>
                <w:szCs w:val="20"/>
              </w:rPr>
              <w:t xml:space="preserve">primary </w:t>
            </w:r>
            <w:r w:rsidRPr="005915B6">
              <w:rPr>
                <w:sz w:val="20"/>
                <w:szCs w:val="20"/>
              </w:rPr>
              <w:t>source</w:t>
            </w:r>
            <w:r>
              <w:rPr>
                <w:sz w:val="20"/>
                <w:szCs w:val="20"/>
              </w:rPr>
              <w:t>s</w:t>
            </w:r>
            <w:r w:rsidRPr="005915B6">
              <w:rPr>
                <w:sz w:val="20"/>
                <w:szCs w:val="20"/>
              </w:rPr>
              <w:t xml:space="preserve"> of the data? (ICANN, Contracted Party, external)</w:t>
            </w:r>
            <w:r>
              <w:rPr>
                <w:sz w:val="20"/>
                <w:szCs w:val="20"/>
              </w:rPr>
              <w:t xml:space="preserve"> </w:t>
            </w:r>
          </w:p>
          <w:p w14:paraId="6C1D2AA1" w14:textId="77777777" w:rsidR="00555DEA" w:rsidRPr="00C81473" w:rsidRDefault="00555DEA" w:rsidP="00574C38">
            <w:pPr>
              <w:pStyle w:val="ListParagraph"/>
              <w:numPr>
                <w:ilvl w:val="0"/>
                <w:numId w:val="8"/>
              </w:numPr>
              <w:rPr>
                <w:sz w:val="20"/>
                <w:szCs w:val="20"/>
              </w:rPr>
            </w:pPr>
            <w:r w:rsidRPr="00C81473">
              <w:rPr>
                <w:sz w:val="20"/>
                <w:szCs w:val="20"/>
              </w:rPr>
              <w:lastRenderedPageBreak/>
              <w:t>Did any data providers impose restrictions on use of data?</w:t>
            </w:r>
          </w:p>
          <w:p w14:paraId="4BCFF173" w14:textId="77777777" w:rsidR="00555DEA" w:rsidRDefault="00555DEA" w:rsidP="00B92D37">
            <w:pPr>
              <w:rPr>
                <w:sz w:val="20"/>
                <w:szCs w:val="20"/>
              </w:rPr>
            </w:pPr>
          </w:p>
        </w:tc>
        <w:tc>
          <w:tcPr>
            <w:tcW w:w="7912" w:type="dxa"/>
            <w:shd w:val="clear" w:color="auto" w:fill="FBD4B4" w:themeFill="accent6" w:themeFillTint="66"/>
          </w:tcPr>
          <w:p w14:paraId="036EB4FA" w14:textId="749A41AD" w:rsidR="00555DEA" w:rsidRDefault="000627C7" w:rsidP="000835A8">
            <w:pPr>
              <w:rPr>
                <w:sz w:val="20"/>
                <w:szCs w:val="20"/>
              </w:rPr>
            </w:pPr>
            <w:r>
              <w:rPr>
                <w:sz w:val="20"/>
                <w:szCs w:val="20"/>
              </w:rPr>
              <w:lastRenderedPageBreak/>
              <w:t>NA</w:t>
            </w:r>
          </w:p>
        </w:tc>
      </w:tr>
      <w:tr w:rsidR="00555DEA" w14:paraId="419B2CE0" w14:textId="77777777" w:rsidTr="00B022DC">
        <w:tc>
          <w:tcPr>
            <w:tcW w:w="1859" w:type="dxa"/>
            <w:shd w:val="clear" w:color="auto" w:fill="FBD4B4" w:themeFill="accent6" w:themeFillTint="66"/>
          </w:tcPr>
          <w:p w14:paraId="09830CBC" w14:textId="0CEDD1E0" w:rsidR="00555DEA" w:rsidRDefault="00555DEA" w:rsidP="005915B6">
            <w:pPr>
              <w:rPr>
                <w:b/>
                <w:sz w:val="20"/>
                <w:szCs w:val="20"/>
              </w:rPr>
            </w:pPr>
            <w:r w:rsidRPr="00D27E03">
              <w:rPr>
                <w:b/>
                <w:sz w:val="20"/>
                <w:szCs w:val="20"/>
              </w:rPr>
              <w:lastRenderedPageBreak/>
              <w:t>WG Final Report</w:t>
            </w:r>
          </w:p>
        </w:tc>
        <w:tc>
          <w:tcPr>
            <w:tcW w:w="4845" w:type="dxa"/>
            <w:shd w:val="clear" w:color="auto" w:fill="FBD4B4" w:themeFill="accent6" w:themeFillTint="66"/>
          </w:tcPr>
          <w:p w14:paraId="35F958E0" w14:textId="77777777" w:rsidR="00555DEA" w:rsidRDefault="00555DEA" w:rsidP="00574C38">
            <w:pPr>
              <w:rPr>
                <w:sz w:val="20"/>
                <w:szCs w:val="20"/>
              </w:rPr>
            </w:pPr>
            <w:r>
              <w:rPr>
                <w:sz w:val="20"/>
                <w:szCs w:val="20"/>
              </w:rPr>
              <w:t xml:space="preserve">If not collected, what is the general conclusion as to why </w:t>
            </w:r>
            <w:r w:rsidRPr="005915B6">
              <w:rPr>
                <w:sz w:val="20"/>
                <w:szCs w:val="20"/>
              </w:rPr>
              <w:t>no</w:t>
            </w:r>
            <w:r>
              <w:rPr>
                <w:sz w:val="20"/>
                <w:szCs w:val="20"/>
              </w:rPr>
              <w:t xml:space="preserve"> data was used</w:t>
            </w:r>
            <w:r w:rsidRPr="005915B6">
              <w:rPr>
                <w:sz w:val="20"/>
                <w:szCs w:val="20"/>
              </w:rPr>
              <w:t>?</w:t>
            </w:r>
            <w:r>
              <w:rPr>
                <w:sz w:val="20"/>
                <w:szCs w:val="20"/>
              </w:rPr>
              <w:t xml:space="preserve"> (i.e. it was not needed, did not exist, lack of access, restrictions that prevented its use, confidential)</w:t>
            </w:r>
          </w:p>
          <w:p w14:paraId="038C2D04" w14:textId="77777777" w:rsidR="00555DEA" w:rsidRDefault="00555DEA" w:rsidP="00B92D37">
            <w:pPr>
              <w:rPr>
                <w:sz w:val="20"/>
                <w:szCs w:val="20"/>
              </w:rPr>
            </w:pPr>
          </w:p>
        </w:tc>
        <w:tc>
          <w:tcPr>
            <w:tcW w:w="7912" w:type="dxa"/>
            <w:shd w:val="clear" w:color="auto" w:fill="FBD4B4" w:themeFill="accent6" w:themeFillTint="66"/>
          </w:tcPr>
          <w:p w14:paraId="33A7A614" w14:textId="0D515A48" w:rsidR="00555DEA" w:rsidRDefault="000627C7" w:rsidP="002D2317">
            <w:pPr>
              <w:rPr>
                <w:sz w:val="20"/>
                <w:szCs w:val="20"/>
              </w:rPr>
            </w:pPr>
            <w:r>
              <w:rPr>
                <w:sz w:val="20"/>
                <w:szCs w:val="20"/>
              </w:rPr>
              <w:t>Unknown.  It is not clear whether data was requested on the issue from ICANN Contractual Compliance or Contracted parties.</w:t>
            </w:r>
          </w:p>
        </w:tc>
      </w:tr>
      <w:tr w:rsidR="00555DEA" w14:paraId="6A21B72D" w14:textId="77777777" w:rsidTr="00B022DC">
        <w:tc>
          <w:tcPr>
            <w:tcW w:w="1859" w:type="dxa"/>
            <w:shd w:val="clear" w:color="auto" w:fill="FBD4B4" w:themeFill="accent6" w:themeFillTint="66"/>
          </w:tcPr>
          <w:p w14:paraId="47CD4CFD" w14:textId="20A244F6" w:rsidR="00555DEA" w:rsidRPr="00D27E03" w:rsidRDefault="00555DEA" w:rsidP="005915B6">
            <w:pPr>
              <w:rPr>
                <w:b/>
                <w:sz w:val="20"/>
                <w:szCs w:val="20"/>
              </w:rPr>
            </w:pPr>
            <w:r w:rsidRPr="00D27E03">
              <w:rPr>
                <w:b/>
                <w:sz w:val="20"/>
                <w:szCs w:val="20"/>
              </w:rPr>
              <w:t>WG Final Report</w:t>
            </w:r>
          </w:p>
        </w:tc>
        <w:tc>
          <w:tcPr>
            <w:tcW w:w="4845" w:type="dxa"/>
            <w:shd w:val="clear" w:color="auto" w:fill="FBD4B4" w:themeFill="accent6" w:themeFillTint="66"/>
          </w:tcPr>
          <w:p w14:paraId="20499114" w14:textId="77777777" w:rsidR="00555DEA" w:rsidRDefault="00555DEA" w:rsidP="00B255F9">
            <w:pPr>
              <w:rPr>
                <w:sz w:val="20"/>
                <w:szCs w:val="20"/>
              </w:rPr>
            </w:pPr>
            <w:r w:rsidRPr="005915B6">
              <w:rPr>
                <w:sz w:val="20"/>
                <w:szCs w:val="20"/>
              </w:rPr>
              <w:t>What types of data may have been useful that was not considered by the WG?</w:t>
            </w:r>
            <w:r>
              <w:rPr>
                <w:sz w:val="20"/>
                <w:szCs w:val="20"/>
              </w:rPr>
              <w:t xml:space="preserve">  If, possible make reference to data that was likely available at the time and did not appear to be used and also make a distinction of data available only today that could have been useful during the past effort.</w:t>
            </w:r>
          </w:p>
          <w:p w14:paraId="2A0F51AA" w14:textId="77777777" w:rsidR="00555DEA" w:rsidRDefault="00555DEA" w:rsidP="00574C38">
            <w:pPr>
              <w:rPr>
                <w:sz w:val="20"/>
                <w:szCs w:val="20"/>
              </w:rPr>
            </w:pPr>
          </w:p>
        </w:tc>
        <w:tc>
          <w:tcPr>
            <w:tcW w:w="7912" w:type="dxa"/>
            <w:shd w:val="clear" w:color="auto" w:fill="FBD4B4" w:themeFill="accent6" w:themeFillTint="66"/>
          </w:tcPr>
          <w:p w14:paraId="35F84494" w14:textId="77777777" w:rsidR="00555DEA" w:rsidRDefault="000627C7" w:rsidP="000835A8">
            <w:pPr>
              <w:rPr>
                <w:sz w:val="20"/>
                <w:szCs w:val="20"/>
              </w:rPr>
            </w:pPr>
            <w:r>
              <w:rPr>
                <w:sz w:val="20"/>
                <w:szCs w:val="20"/>
              </w:rPr>
              <w:t>Macro level data of transfers, both successful and unsuccessful, may have provided insight as to the extent of the abuse or fraudulent transfers.  Data from Registry Performance reports could have provided high level data.  However, the success or failure of transfers would have to be provided by Contracted Parties.  Further, data to the amount of bulk transfers could have been useful.  Lastly, WRT to Issue #1, WHOIS data regarding the difficulty of not having WHOIS Registrant email addresses, as well as, time duration data may have provided additional perspective to the issue regarding legitimate transfers.</w:t>
            </w:r>
          </w:p>
          <w:p w14:paraId="28BCB2BD" w14:textId="50C523B9" w:rsidR="000627C7" w:rsidRDefault="000627C7" w:rsidP="000835A8">
            <w:pPr>
              <w:rPr>
                <w:sz w:val="20"/>
                <w:szCs w:val="20"/>
              </w:rPr>
            </w:pPr>
          </w:p>
        </w:tc>
      </w:tr>
      <w:tr w:rsidR="00555DEA" w14:paraId="252A5556" w14:textId="77777777" w:rsidTr="00B022DC">
        <w:tc>
          <w:tcPr>
            <w:tcW w:w="1859" w:type="dxa"/>
            <w:shd w:val="clear" w:color="auto" w:fill="FBD4B4" w:themeFill="accent6" w:themeFillTint="66"/>
          </w:tcPr>
          <w:p w14:paraId="051F7370" w14:textId="106BA97A" w:rsidR="00555DEA" w:rsidRPr="00D27E03" w:rsidRDefault="00555DEA" w:rsidP="005915B6">
            <w:pPr>
              <w:rPr>
                <w:b/>
                <w:sz w:val="20"/>
                <w:szCs w:val="20"/>
              </w:rPr>
            </w:pPr>
            <w:r w:rsidRPr="00D27E03">
              <w:rPr>
                <w:b/>
                <w:sz w:val="20"/>
                <w:szCs w:val="20"/>
              </w:rPr>
              <w:t>WG Final Report</w:t>
            </w:r>
          </w:p>
        </w:tc>
        <w:tc>
          <w:tcPr>
            <w:tcW w:w="4845" w:type="dxa"/>
            <w:shd w:val="clear" w:color="auto" w:fill="FBD4B4" w:themeFill="accent6" w:themeFillTint="66"/>
          </w:tcPr>
          <w:p w14:paraId="618443B9" w14:textId="77777777" w:rsidR="00555DEA" w:rsidRDefault="00555DEA" w:rsidP="00B255F9">
            <w:pPr>
              <w:rPr>
                <w:sz w:val="20"/>
                <w:szCs w:val="20"/>
              </w:rPr>
            </w:pPr>
            <w:r>
              <w:rPr>
                <w:sz w:val="20"/>
                <w:szCs w:val="20"/>
              </w:rPr>
              <w:t xml:space="preserve">What type of problems/difficulties faced during the collection of data, if collected? Any suggestion/proposals to resolve the issues to collect data next easily </w:t>
            </w:r>
          </w:p>
          <w:p w14:paraId="229C4018" w14:textId="77777777" w:rsidR="00555DEA" w:rsidRPr="005915B6" w:rsidRDefault="00555DEA" w:rsidP="00B255F9">
            <w:pPr>
              <w:rPr>
                <w:sz w:val="20"/>
                <w:szCs w:val="20"/>
              </w:rPr>
            </w:pPr>
          </w:p>
        </w:tc>
        <w:tc>
          <w:tcPr>
            <w:tcW w:w="7912" w:type="dxa"/>
            <w:shd w:val="clear" w:color="auto" w:fill="FBD4B4" w:themeFill="accent6" w:themeFillTint="66"/>
          </w:tcPr>
          <w:p w14:paraId="5F53993B" w14:textId="20563A68" w:rsidR="002D2317" w:rsidRDefault="000627C7" w:rsidP="000835A8">
            <w:pPr>
              <w:rPr>
                <w:sz w:val="20"/>
                <w:szCs w:val="20"/>
              </w:rPr>
            </w:pPr>
            <w:r>
              <w:rPr>
                <w:sz w:val="20"/>
                <w:szCs w:val="20"/>
              </w:rPr>
              <w:t>Unknown.  It is not clear if requests for transfer data were made to ICANN Contractual Compliance or Contracted Parties.</w:t>
            </w:r>
          </w:p>
        </w:tc>
      </w:tr>
      <w:tr w:rsidR="00555DEA" w14:paraId="350B6234" w14:textId="77777777" w:rsidTr="00B022DC">
        <w:tc>
          <w:tcPr>
            <w:tcW w:w="1859" w:type="dxa"/>
            <w:shd w:val="clear" w:color="auto" w:fill="E5DFEC" w:themeFill="accent4" w:themeFillTint="33"/>
          </w:tcPr>
          <w:p w14:paraId="771A11D9" w14:textId="0CDB220A" w:rsidR="00555DEA" w:rsidRDefault="00555DEA" w:rsidP="005915B6">
            <w:pPr>
              <w:rPr>
                <w:b/>
                <w:sz w:val="20"/>
                <w:szCs w:val="20"/>
              </w:rPr>
            </w:pPr>
            <w:r>
              <w:rPr>
                <w:b/>
                <w:sz w:val="20"/>
                <w:szCs w:val="20"/>
              </w:rPr>
              <w:t>WG Recommendations/</w:t>
            </w:r>
          </w:p>
          <w:p w14:paraId="1D3207D4" w14:textId="2B826A3A" w:rsidR="00555DEA" w:rsidRDefault="00555DEA" w:rsidP="005915B6">
            <w:pPr>
              <w:rPr>
                <w:b/>
                <w:sz w:val="20"/>
                <w:szCs w:val="20"/>
              </w:rPr>
            </w:pPr>
            <w:r>
              <w:rPr>
                <w:b/>
                <w:sz w:val="20"/>
                <w:szCs w:val="20"/>
              </w:rPr>
              <w:t>GNSO Council adoption</w:t>
            </w:r>
          </w:p>
        </w:tc>
        <w:tc>
          <w:tcPr>
            <w:tcW w:w="4845" w:type="dxa"/>
            <w:shd w:val="clear" w:color="auto" w:fill="E5DFEC" w:themeFill="accent4" w:themeFillTint="33"/>
          </w:tcPr>
          <w:p w14:paraId="540E3194" w14:textId="77777777" w:rsidR="00555DEA" w:rsidRDefault="00555DEA" w:rsidP="00F34A8F">
            <w:pPr>
              <w:rPr>
                <w:sz w:val="20"/>
                <w:szCs w:val="20"/>
              </w:rPr>
            </w:pPr>
            <w:r>
              <w:rPr>
                <w:sz w:val="20"/>
                <w:szCs w:val="20"/>
              </w:rPr>
              <w:t xml:space="preserve">List the Final outcomes (recommendations) of WG effort.  </w:t>
            </w:r>
          </w:p>
          <w:p w14:paraId="334FE370" w14:textId="77777777" w:rsidR="00555DEA" w:rsidRDefault="00555DEA" w:rsidP="00F34A8F">
            <w:pPr>
              <w:rPr>
                <w:sz w:val="20"/>
                <w:szCs w:val="20"/>
              </w:rPr>
            </w:pPr>
          </w:p>
          <w:p w14:paraId="5C9C594B" w14:textId="1AD508F8" w:rsidR="00555DEA" w:rsidRDefault="00555DEA" w:rsidP="00F34A8F">
            <w:pPr>
              <w:rPr>
                <w:sz w:val="20"/>
                <w:szCs w:val="20"/>
              </w:rPr>
            </w:pPr>
            <w:r>
              <w:rPr>
                <w:sz w:val="20"/>
                <w:szCs w:val="20"/>
              </w:rPr>
              <w:t>Did the recommendations refer to additional data collection to measure the effectiveness?</w:t>
            </w:r>
          </w:p>
          <w:p w14:paraId="2363145A" w14:textId="5DE9C621" w:rsidR="00555DEA" w:rsidRDefault="00555DEA" w:rsidP="00F34A8F">
            <w:pPr>
              <w:rPr>
                <w:sz w:val="20"/>
                <w:szCs w:val="20"/>
              </w:rPr>
            </w:pPr>
          </w:p>
        </w:tc>
        <w:tc>
          <w:tcPr>
            <w:tcW w:w="7912" w:type="dxa"/>
            <w:shd w:val="clear" w:color="auto" w:fill="E5DFEC" w:themeFill="accent4" w:themeFillTint="33"/>
          </w:tcPr>
          <w:p w14:paraId="4BC919FA" w14:textId="551951C4" w:rsidR="00555DEA" w:rsidRDefault="00165519" w:rsidP="00B54EEB">
            <w:pPr>
              <w:rPr>
                <w:sz w:val="20"/>
                <w:szCs w:val="20"/>
              </w:rPr>
            </w:pPr>
            <w:r>
              <w:rPr>
                <w:sz w:val="20"/>
                <w:szCs w:val="20"/>
              </w:rPr>
              <w:t>The GNSO Council adopted the following resolution</w:t>
            </w:r>
            <w:r w:rsidR="00A60AE6">
              <w:rPr>
                <w:sz w:val="20"/>
                <w:szCs w:val="20"/>
              </w:rPr>
              <w:t>s</w:t>
            </w:r>
            <w:r>
              <w:rPr>
                <w:sz w:val="20"/>
                <w:szCs w:val="20"/>
              </w:rPr>
              <w:t xml:space="preserve"> </w:t>
            </w:r>
            <w:r w:rsidR="00A60AE6">
              <w:rPr>
                <w:sz w:val="20"/>
                <w:szCs w:val="20"/>
              </w:rPr>
              <w:t>16</w:t>
            </w:r>
            <w:r>
              <w:rPr>
                <w:sz w:val="20"/>
                <w:szCs w:val="20"/>
              </w:rPr>
              <w:t xml:space="preserve"> APR 200</w:t>
            </w:r>
            <w:r w:rsidR="00A60AE6">
              <w:rPr>
                <w:sz w:val="20"/>
                <w:szCs w:val="20"/>
              </w:rPr>
              <w:t>9</w:t>
            </w:r>
            <w:r>
              <w:rPr>
                <w:sz w:val="20"/>
                <w:szCs w:val="20"/>
              </w:rPr>
              <w:t xml:space="preserve">.  </w:t>
            </w:r>
            <w:hyperlink r:id="rId10" w:anchor="200904" w:history="1">
              <w:r w:rsidR="00A60AE6" w:rsidRPr="00FF1122">
                <w:rPr>
                  <w:rStyle w:val="Hyperlink"/>
                  <w:sz w:val="20"/>
                  <w:szCs w:val="20"/>
                </w:rPr>
                <w:t>http://gnso.icann.org/resolutions/#200904</w:t>
              </w:r>
            </w:hyperlink>
            <w:r w:rsidR="00A60AE6">
              <w:rPr>
                <w:sz w:val="20"/>
                <w:szCs w:val="20"/>
              </w:rPr>
              <w:t xml:space="preserve"> </w:t>
            </w:r>
          </w:p>
          <w:p w14:paraId="14BDA986" w14:textId="77777777" w:rsidR="004D2B0A" w:rsidRDefault="004D2B0A" w:rsidP="00B54EEB">
            <w:pPr>
              <w:rPr>
                <w:sz w:val="20"/>
                <w:szCs w:val="20"/>
              </w:rPr>
            </w:pPr>
          </w:p>
          <w:p w14:paraId="23297F40" w14:textId="77777777" w:rsidR="000627C7" w:rsidRPr="000627C7" w:rsidRDefault="000627C7" w:rsidP="000627C7">
            <w:pPr>
              <w:rPr>
                <w:sz w:val="20"/>
                <w:szCs w:val="20"/>
              </w:rPr>
            </w:pPr>
            <w:r w:rsidRPr="000627C7">
              <w:rPr>
                <w:sz w:val="20"/>
                <w:szCs w:val="20"/>
              </w:rPr>
              <w:t>The GNSO Council RESOLVES:</w:t>
            </w:r>
          </w:p>
          <w:p w14:paraId="0A0385DB" w14:textId="77777777" w:rsidR="000627C7" w:rsidRPr="000627C7" w:rsidRDefault="000627C7" w:rsidP="000627C7">
            <w:pPr>
              <w:rPr>
                <w:sz w:val="20"/>
                <w:szCs w:val="20"/>
              </w:rPr>
            </w:pPr>
            <w:r w:rsidRPr="000627C7">
              <w:rPr>
                <w:sz w:val="20"/>
                <w:szCs w:val="20"/>
              </w:rPr>
              <w:t>To encourage staff to explore further assessment of whether IRIS would be a viable option for the exchange of registrant email address data between registrars and conduct an analysis of IRIS' costs, time of implementation and appropriateness for IRTP purposes.</w:t>
            </w:r>
          </w:p>
          <w:p w14:paraId="4432E099" w14:textId="3FF9ABCA" w:rsidR="000627C7" w:rsidRPr="000627C7" w:rsidRDefault="000627C7" w:rsidP="000627C7">
            <w:pPr>
              <w:rPr>
                <w:sz w:val="20"/>
                <w:szCs w:val="20"/>
              </w:rPr>
            </w:pPr>
            <w:r w:rsidRPr="000627C7">
              <w:rPr>
                <w:sz w:val="20"/>
                <w:szCs w:val="20"/>
              </w:rPr>
              <w:t>To include in future IRTP working groups the issue of the appropriateness of a policy change that would prevent a registrant from reversing a transfer after it has been completed and authorized by the admin contact.</w:t>
            </w:r>
            <w:r>
              <w:rPr>
                <w:sz w:val="20"/>
                <w:szCs w:val="20"/>
              </w:rPr>
              <w:t xml:space="preserve"> </w:t>
            </w:r>
            <w:r w:rsidRPr="000627C7">
              <w:rPr>
                <w:sz w:val="20"/>
                <w:szCs w:val="20"/>
                <w:highlight w:val="yellow"/>
              </w:rPr>
              <w:t>&lt;Passed to IRTP-B&gt;</w:t>
            </w:r>
          </w:p>
          <w:p w14:paraId="6EDF36B4" w14:textId="77777777" w:rsidR="000627C7" w:rsidRPr="000627C7" w:rsidRDefault="000627C7" w:rsidP="000627C7">
            <w:pPr>
              <w:rPr>
                <w:sz w:val="20"/>
                <w:szCs w:val="20"/>
              </w:rPr>
            </w:pPr>
            <w:r w:rsidRPr="000627C7">
              <w:rPr>
                <w:sz w:val="20"/>
                <w:szCs w:val="20"/>
              </w:rPr>
              <w:t xml:space="preserve">Recommends that ICANN staff communicate to registries and registrars that the current bulk transfer provisions do apply to cases requiring the transfer of all names in one single </w:t>
            </w:r>
            <w:proofErr w:type="spellStart"/>
            <w:r w:rsidRPr="000627C7">
              <w:rPr>
                <w:sz w:val="20"/>
                <w:szCs w:val="20"/>
              </w:rPr>
              <w:t>gTLD</w:t>
            </w:r>
            <w:proofErr w:type="spellEnd"/>
            <w:r w:rsidRPr="000627C7">
              <w:rPr>
                <w:sz w:val="20"/>
                <w:szCs w:val="20"/>
              </w:rPr>
              <w:t xml:space="preserve"> under management of a registrar.</w:t>
            </w:r>
          </w:p>
          <w:p w14:paraId="04429187" w14:textId="77777777" w:rsidR="000627C7" w:rsidRPr="000627C7" w:rsidRDefault="000627C7" w:rsidP="000627C7">
            <w:pPr>
              <w:rPr>
                <w:sz w:val="20"/>
                <w:szCs w:val="20"/>
              </w:rPr>
            </w:pPr>
            <w:r w:rsidRPr="000627C7">
              <w:rPr>
                <w:sz w:val="20"/>
                <w:szCs w:val="20"/>
              </w:rPr>
              <w:t>Footnote:</w:t>
            </w:r>
          </w:p>
          <w:p w14:paraId="08D59E5F" w14:textId="77777777" w:rsidR="000627C7" w:rsidRPr="000627C7" w:rsidRDefault="000627C7" w:rsidP="000627C7">
            <w:pPr>
              <w:rPr>
                <w:sz w:val="20"/>
                <w:szCs w:val="20"/>
              </w:rPr>
            </w:pPr>
            <w:r w:rsidRPr="000627C7">
              <w:rPr>
                <w:sz w:val="20"/>
                <w:szCs w:val="20"/>
              </w:rPr>
              <w:t>From the Policy on Transfer of Registrations between Registrars: 'Transfer of the sponsorship of all the registrations sponsored by one Registrar as the result of</w:t>
            </w:r>
          </w:p>
          <w:p w14:paraId="06294A14" w14:textId="77777777" w:rsidR="000627C7" w:rsidRPr="000627C7" w:rsidRDefault="000627C7" w:rsidP="000627C7">
            <w:pPr>
              <w:rPr>
                <w:sz w:val="20"/>
                <w:szCs w:val="20"/>
              </w:rPr>
            </w:pPr>
            <w:r w:rsidRPr="000627C7">
              <w:rPr>
                <w:sz w:val="20"/>
                <w:szCs w:val="20"/>
              </w:rPr>
              <w:t>acquisition of that Registrar or its assets by another Registrar, or</w:t>
            </w:r>
          </w:p>
          <w:p w14:paraId="790B9124" w14:textId="77777777" w:rsidR="000627C7" w:rsidRPr="000627C7" w:rsidRDefault="000627C7" w:rsidP="000627C7">
            <w:pPr>
              <w:rPr>
                <w:sz w:val="20"/>
                <w:szCs w:val="20"/>
              </w:rPr>
            </w:pPr>
            <w:r w:rsidRPr="000627C7">
              <w:rPr>
                <w:sz w:val="20"/>
                <w:szCs w:val="20"/>
              </w:rPr>
              <w:t>lack of accreditation of that Registrar or lack of its authorization with the Registry Operator, may be made according to the following procedure:</w:t>
            </w:r>
          </w:p>
          <w:p w14:paraId="4BCC14E7" w14:textId="77777777" w:rsidR="000627C7" w:rsidRPr="000627C7" w:rsidRDefault="000627C7" w:rsidP="000627C7">
            <w:pPr>
              <w:rPr>
                <w:sz w:val="20"/>
                <w:szCs w:val="20"/>
              </w:rPr>
            </w:pPr>
            <w:r w:rsidRPr="000627C7">
              <w:rPr>
                <w:sz w:val="20"/>
                <w:szCs w:val="20"/>
              </w:rPr>
              <w:t>The gaining Registrar must be accredited by ICANN for the Registry TLD and must have in effect a Registry-Registrar Agreement with Registry Operator for the Registry TLD.</w:t>
            </w:r>
          </w:p>
          <w:p w14:paraId="6F4AC14D" w14:textId="77777777" w:rsidR="000627C7" w:rsidRPr="000627C7" w:rsidRDefault="000627C7" w:rsidP="000627C7">
            <w:pPr>
              <w:rPr>
                <w:sz w:val="20"/>
                <w:szCs w:val="20"/>
              </w:rPr>
            </w:pPr>
            <w:r w:rsidRPr="000627C7">
              <w:rPr>
                <w:sz w:val="20"/>
                <w:szCs w:val="20"/>
              </w:rPr>
              <w:t xml:space="preserve">ICANN must certify in writing to Registry Operator that the transfer would promote the </w:t>
            </w:r>
            <w:r w:rsidRPr="000627C7">
              <w:rPr>
                <w:sz w:val="20"/>
                <w:szCs w:val="20"/>
              </w:rPr>
              <w:lastRenderedPageBreak/>
              <w:t>community interest, such as the interest in stability that may be threatened by the actual or imminent business failure of a Registrar.</w:t>
            </w:r>
          </w:p>
          <w:p w14:paraId="2438CE1B" w14:textId="77777777" w:rsidR="00165519" w:rsidRDefault="000627C7" w:rsidP="000627C7">
            <w:pPr>
              <w:rPr>
                <w:sz w:val="20"/>
                <w:szCs w:val="20"/>
              </w:rPr>
            </w:pPr>
            <w:r w:rsidRPr="000627C7">
              <w:rPr>
                <w:sz w:val="20"/>
                <w:szCs w:val="20"/>
              </w:rPr>
              <w:t>Upon satisfaction of these two conditions, the Registry Operator will make the necessary one-time changes in the Registry database for no charge, for transfers involving 50,000 name registrations or fewer. If the transfer involves registrations of more than 50,000 names, Registry Operator will charge the gaining Registrar a one-time flat fee of US$ 50,000.'</w:t>
            </w:r>
          </w:p>
          <w:p w14:paraId="2B108D59" w14:textId="21E68995" w:rsidR="000627C7" w:rsidRPr="00A60AE6" w:rsidRDefault="000627C7" w:rsidP="000627C7">
            <w:pPr>
              <w:rPr>
                <w:sz w:val="20"/>
                <w:szCs w:val="20"/>
              </w:rPr>
            </w:pPr>
          </w:p>
        </w:tc>
      </w:tr>
      <w:tr w:rsidR="00555DEA" w14:paraId="4C565902" w14:textId="77777777" w:rsidTr="00B022DC">
        <w:tc>
          <w:tcPr>
            <w:tcW w:w="1859" w:type="dxa"/>
            <w:shd w:val="clear" w:color="auto" w:fill="E5DFEC" w:themeFill="accent4" w:themeFillTint="33"/>
          </w:tcPr>
          <w:p w14:paraId="53DDF8A9" w14:textId="5B88A370" w:rsidR="00555DEA" w:rsidRDefault="00555DEA" w:rsidP="005915B6">
            <w:pPr>
              <w:rPr>
                <w:b/>
                <w:sz w:val="20"/>
                <w:szCs w:val="20"/>
              </w:rPr>
            </w:pPr>
            <w:r>
              <w:rPr>
                <w:b/>
                <w:sz w:val="20"/>
                <w:szCs w:val="20"/>
              </w:rPr>
              <w:lastRenderedPageBreak/>
              <w:t>ICANN Board adoption / staff implementation</w:t>
            </w:r>
          </w:p>
        </w:tc>
        <w:tc>
          <w:tcPr>
            <w:tcW w:w="4845" w:type="dxa"/>
            <w:shd w:val="clear" w:color="auto" w:fill="E5DFEC" w:themeFill="accent4" w:themeFillTint="33"/>
          </w:tcPr>
          <w:p w14:paraId="4A0087E9" w14:textId="23F2DCAD" w:rsidR="00555DEA" w:rsidRDefault="00555DEA" w:rsidP="00B255F9">
            <w:pPr>
              <w:rPr>
                <w:sz w:val="20"/>
                <w:szCs w:val="20"/>
              </w:rPr>
            </w:pPr>
            <w:r>
              <w:rPr>
                <w:sz w:val="20"/>
                <w:szCs w:val="20"/>
              </w:rPr>
              <w:t xml:space="preserve">List the Final outcomes (recommendations) of the Board and ICANN staff.  </w:t>
            </w:r>
          </w:p>
          <w:p w14:paraId="116ACA2B" w14:textId="77777777" w:rsidR="00555DEA" w:rsidRDefault="00555DEA" w:rsidP="00B255F9">
            <w:pPr>
              <w:rPr>
                <w:sz w:val="20"/>
                <w:szCs w:val="20"/>
              </w:rPr>
            </w:pPr>
          </w:p>
          <w:p w14:paraId="48DA82E7" w14:textId="77777777" w:rsidR="00555DEA" w:rsidRDefault="00555DEA" w:rsidP="00B255F9">
            <w:pPr>
              <w:rPr>
                <w:sz w:val="20"/>
                <w:szCs w:val="20"/>
              </w:rPr>
            </w:pPr>
            <w:r>
              <w:rPr>
                <w:sz w:val="20"/>
                <w:szCs w:val="20"/>
              </w:rPr>
              <w:t>Did the recommendations refer to additional data collection to measure the effectiveness?</w:t>
            </w:r>
          </w:p>
          <w:p w14:paraId="0599544C" w14:textId="77777777" w:rsidR="00555DEA" w:rsidRDefault="00555DEA" w:rsidP="00F34A8F">
            <w:pPr>
              <w:rPr>
                <w:sz w:val="20"/>
                <w:szCs w:val="20"/>
              </w:rPr>
            </w:pPr>
          </w:p>
        </w:tc>
        <w:tc>
          <w:tcPr>
            <w:tcW w:w="7912" w:type="dxa"/>
            <w:shd w:val="clear" w:color="auto" w:fill="E5DFEC" w:themeFill="accent4" w:themeFillTint="33"/>
          </w:tcPr>
          <w:p w14:paraId="5F50038D" w14:textId="0C965428" w:rsidR="00A60AE6" w:rsidRPr="00165519" w:rsidRDefault="000627C7" w:rsidP="00A60AE6">
            <w:pPr>
              <w:rPr>
                <w:sz w:val="20"/>
                <w:szCs w:val="20"/>
              </w:rPr>
            </w:pPr>
            <w:r>
              <w:rPr>
                <w:sz w:val="20"/>
                <w:szCs w:val="20"/>
              </w:rPr>
              <w:t>NA</w:t>
            </w:r>
          </w:p>
          <w:p w14:paraId="6643A679" w14:textId="7064863B" w:rsidR="00165519" w:rsidRPr="00165519" w:rsidRDefault="00165519" w:rsidP="00165519">
            <w:pPr>
              <w:rPr>
                <w:sz w:val="20"/>
                <w:szCs w:val="20"/>
              </w:rPr>
            </w:pPr>
          </w:p>
        </w:tc>
      </w:tr>
    </w:tbl>
    <w:p w14:paraId="1D157805" w14:textId="6B473521" w:rsidR="00D30989" w:rsidRDefault="00D30989" w:rsidP="005915B6">
      <w:pPr>
        <w:spacing w:after="0" w:line="240" w:lineRule="auto"/>
      </w:pPr>
    </w:p>
    <w:sectPr w:rsidR="00D30989" w:rsidSect="005915B6">
      <w:pgSz w:w="15840" w:h="12240"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9B74E6" w15:done="0"/>
  <w15:commentEx w15:paraId="505052B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3131"/>
    <w:multiLevelType w:val="hybridMultilevel"/>
    <w:tmpl w:val="A7E0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D7659"/>
    <w:multiLevelType w:val="hybridMultilevel"/>
    <w:tmpl w:val="2468EE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857DB"/>
    <w:multiLevelType w:val="hybridMultilevel"/>
    <w:tmpl w:val="718ED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A6800"/>
    <w:multiLevelType w:val="hybridMultilevel"/>
    <w:tmpl w:val="5526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419F9"/>
    <w:multiLevelType w:val="hybridMultilevel"/>
    <w:tmpl w:val="5B24F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0009C"/>
    <w:multiLevelType w:val="hybridMultilevel"/>
    <w:tmpl w:val="219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92496"/>
    <w:multiLevelType w:val="hybridMultilevel"/>
    <w:tmpl w:val="9F1EE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E66DC"/>
    <w:multiLevelType w:val="hybridMultilevel"/>
    <w:tmpl w:val="9A486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E007DA0"/>
    <w:multiLevelType w:val="hybridMultilevel"/>
    <w:tmpl w:val="5C6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9069D1"/>
    <w:multiLevelType w:val="hybridMultilevel"/>
    <w:tmpl w:val="A7ECA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5"/>
  </w:num>
  <w:num w:numId="6">
    <w:abstractNumId w:val="2"/>
  </w:num>
  <w:num w:numId="7">
    <w:abstractNumId w:val="9"/>
  </w:num>
  <w:num w:numId="8">
    <w:abstractNumId w:val="3"/>
  </w:num>
  <w:num w:numId="9">
    <w:abstractNumId w:val="0"/>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hat Abbas">
    <w15:presenceInfo w15:providerId="AD" w15:userId="S-1-5-21-2807140445-3290175154-747852135-7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89"/>
    <w:rsid w:val="00020018"/>
    <w:rsid w:val="00027A95"/>
    <w:rsid w:val="000627C7"/>
    <w:rsid w:val="000835A8"/>
    <w:rsid w:val="00087D34"/>
    <w:rsid w:val="00090838"/>
    <w:rsid w:val="000D1031"/>
    <w:rsid w:val="000F202A"/>
    <w:rsid w:val="000F4AB6"/>
    <w:rsid w:val="0011259F"/>
    <w:rsid w:val="0016185C"/>
    <w:rsid w:val="00165519"/>
    <w:rsid w:val="00167538"/>
    <w:rsid w:val="0018183C"/>
    <w:rsid w:val="0019479F"/>
    <w:rsid w:val="001A66F4"/>
    <w:rsid w:val="00222B6B"/>
    <w:rsid w:val="002344BE"/>
    <w:rsid w:val="00246E85"/>
    <w:rsid w:val="00270396"/>
    <w:rsid w:val="002B3A70"/>
    <w:rsid w:val="002C1866"/>
    <w:rsid w:val="002D2317"/>
    <w:rsid w:val="002D287D"/>
    <w:rsid w:val="002D5DCB"/>
    <w:rsid w:val="002E3D76"/>
    <w:rsid w:val="002E502F"/>
    <w:rsid w:val="002E7133"/>
    <w:rsid w:val="00301469"/>
    <w:rsid w:val="0032461E"/>
    <w:rsid w:val="0034537B"/>
    <w:rsid w:val="0037008A"/>
    <w:rsid w:val="00374458"/>
    <w:rsid w:val="00382B72"/>
    <w:rsid w:val="00387200"/>
    <w:rsid w:val="0039019C"/>
    <w:rsid w:val="00392633"/>
    <w:rsid w:val="00397E20"/>
    <w:rsid w:val="00420E43"/>
    <w:rsid w:val="00445A9E"/>
    <w:rsid w:val="004D2B0A"/>
    <w:rsid w:val="0050461A"/>
    <w:rsid w:val="005064DF"/>
    <w:rsid w:val="005143F0"/>
    <w:rsid w:val="00554E6B"/>
    <w:rsid w:val="00555DEA"/>
    <w:rsid w:val="005877EB"/>
    <w:rsid w:val="005915B6"/>
    <w:rsid w:val="005A568B"/>
    <w:rsid w:val="005E39A6"/>
    <w:rsid w:val="006022C1"/>
    <w:rsid w:val="00605B6F"/>
    <w:rsid w:val="00607AAE"/>
    <w:rsid w:val="00651240"/>
    <w:rsid w:val="00651E84"/>
    <w:rsid w:val="0065474E"/>
    <w:rsid w:val="006566D3"/>
    <w:rsid w:val="006977F3"/>
    <w:rsid w:val="006A5E70"/>
    <w:rsid w:val="006C033C"/>
    <w:rsid w:val="006C7458"/>
    <w:rsid w:val="006D50F8"/>
    <w:rsid w:val="006D6EB5"/>
    <w:rsid w:val="007144EB"/>
    <w:rsid w:val="00743B32"/>
    <w:rsid w:val="00760666"/>
    <w:rsid w:val="00771E4F"/>
    <w:rsid w:val="007A4611"/>
    <w:rsid w:val="007C47A7"/>
    <w:rsid w:val="007C512A"/>
    <w:rsid w:val="007D3DD5"/>
    <w:rsid w:val="008576DC"/>
    <w:rsid w:val="008B646A"/>
    <w:rsid w:val="008E1128"/>
    <w:rsid w:val="008E1CDB"/>
    <w:rsid w:val="008E572B"/>
    <w:rsid w:val="00906C66"/>
    <w:rsid w:val="00914E00"/>
    <w:rsid w:val="00932ED4"/>
    <w:rsid w:val="009530BC"/>
    <w:rsid w:val="00970414"/>
    <w:rsid w:val="009C2006"/>
    <w:rsid w:val="009C65A8"/>
    <w:rsid w:val="009F2295"/>
    <w:rsid w:val="009F52E1"/>
    <w:rsid w:val="009F772B"/>
    <w:rsid w:val="00A040BB"/>
    <w:rsid w:val="00A12F0D"/>
    <w:rsid w:val="00A14056"/>
    <w:rsid w:val="00A24BF0"/>
    <w:rsid w:val="00A31C71"/>
    <w:rsid w:val="00A33A99"/>
    <w:rsid w:val="00A60AE6"/>
    <w:rsid w:val="00A66524"/>
    <w:rsid w:val="00A77A41"/>
    <w:rsid w:val="00A929BD"/>
    <w:rsid w:val="00AA4694"/>
    <w:rsid w:val="00AB78CE"/>
    <w:rsid w:val="00AE2381"/>
    <w:rsid w:val="00B022DC"/>
    <w:rsid w:val="00B255F9"/>
    <w:rsid w:val="00B27A5D"/>
    <w:rsid w:val="00B34631"/>
    <w:rsid w:val="00B50B23"/>
    <w:rsid w:val="00B54EEB"/>
    <w:rsid w:val="00B81B41"/>
    <w:rsid w:val="00B92D37"/>
    <w:rsid w:val="00BC543E"/>
    <w:rsid w:val="00BC6BE5"/>
    <w:rsid w:val="00BC7A42"/>
    <w:rsid w:val="00BD3DBA"/>
    <w:rsid w:val="00BE443D"/>
    <w:rsid w:val="00BE4CDC"/>
    <w:rsid w:val="00BE74C0"/>
    <w:rsid w:val="00BF67E9"/>
    <w:rsid w:val="00C0540A"/>
    <w:rsid w:val="00C1590F"/>
    <w:rsid w:val="00C429B9"/>
    <w:rsid w:val="00C81473"/>
    <w:rsid w:val="00C82862"/>
    <w:rsid w:val="00C956C5"/>
    <w:rsid w:val="00CB6617"/>
    <w:rsid w:val="00CF07E3"/>
    <w:rsid w:val="00CF5729"/>
    <w:rsid w:val="00CF5D87"/>
    <w:rsid w:val="00D30989"/>
    <w:rsid w:val="00D40671"/>
    <w:rsid w:val="00D564F0"/>
    <w:rsid w:val="00D82069"/>
    <w:rsid w:val="00DB5D3D"/>
    <w:rsid w:val="00DD35AB"/>
    <w:rsid w:val="00E02DF4"/>
    <w:rsid w:val="00E527D9"/>
    <w:rsid w:val="00E74ACB"/>
    <w:rsid w:val="00E8136A"/>
    <w:rsid w:val="00E92285"/>
    <w:rsid w:val="00EB5FC8"/>
    <w:rsid w:val="00EB6EA4"/>
    <w:rsid w:val="00EC0AB1"/>
    <w:rsid w:val="00ED693E"/>
    <w:rsid w:val="00EF3167"/>
    <w:rsid w:val="00F10163"/>
    <w:rsid w:val="00F128CD"/>
    <w:rsid w:val="00F12972"/>
    <w:rsid w:val="00F2578A"/>
    <w:rsid w:val="00F3456F"/>
    <w:rsid w:val="00F34A8F"/>
    <w:rsid w:val="00F46748"/>
    <w:rsid w:val="00F72432"/>
    <w:rsid w:val="00FB7FDC"/>
    <w:rsid w:val="00FD1A3C"/>
    <w:rsid w:val="00FE17F4"/>
    <w:rsid w:val="00FE6AD7"/>
    <w:rsid w:val="00FF6B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89"/>
    <w:pPr>
      <w:ind w:left="720"/>
      <w:contextualSpacing/>
    </w:pPr>
  </w:style>
  <w:style w:type="table" w:styleId="TableGrid">
    <w:name w:val="Table Grid"/>
    <w:basedOn w:val="TableNormal"/>
    <w:uiPriority w:val="59"/>
    <w:rsid w:val="0059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3C"/>
    <w:rPr>
      <w:rFonts w:ascii="Tahoma" w:hAnsi="Tahoma" w:cs="Tahoma"/>
      <w:sz w:val="16"/>
      <w:szCs w:val="16"/>
    </w:rPr>
  </w:style>
  <w:style w:type="character" w:styleId="CommentReference">
    <w:name w:val="annotation reference"/>
    <w:basedOn w:val="DefaultParagraphFont"/>
    <w:uiPriority w:val="99"/>
    <w:semiHidden/>
    <w:unhideWhenUsed/>
    <w:rsid w:val="005A568B"/>
    <w:rPr>
      <w:sz w:val="16"/>
      <w:szCs w:val="16"/>
    </w:rPr>
  </w:style>
  <w:style w:type="paragraph" w:styleId="CommentText">
    <w:name w:val="annotation text"/>
    <w:basedOn w:val="Normal"/>
    <w:link w:val="CommentTextChar"/>
    <w:uiPriority w:val="99"/>
    <w:semiHidden/>
    <w:unhideWhenUsed/>
    <w:rsid w:val="005A568B"/>
    <w:pPr>
      <w:spacing w:line="240" w:lineRule="auto"/>
    </w:pPr>
    <w:rPr>
      <w:sz w:val="20"/>
      <w:szCs w:val="20"/>
    </w:rPr>
  </w:style>
  <w:style w:type="character" w:customStyle="1" w:styleId="CommentTextChar">
    <w:name w:val="Comment Text Char"/>
    <w:basedOn w:val="DefaultParagraphFont"/>
    <w:link w:val="CommentText"/>
    <w:uiPriority w:val="99"/>
    <w:semiHidden/>
    <w:rsid w:val="005A568B"/>
    <w:rPr>
      <w:sz w:val="20"/>
      <w:szCs w:val="20"/>
    </w:rPr>
  </w:style>
  <w:style w:type="paragraph" w:styleId="CommentSubject">
    <w:name w:val="annotation subject"/>
    <w:basedOn w:val="CommentText"/>
    <w:next w:val="CommentText"/>
    <w:link w:val="CommentSubjectChar"/>
    <w:uiPriority w:val="99"/>
    <w:semiHidden/>
    <w:unhideWhenUsed/>
    <w:rsid w:val="005A568B"/>
    <w:rPr>
      <w:b/>
      <w:bCs/>
    </w:rPr>
  </w:style>
  <w:style w:type="character" w:customStyle="1" w:styleId="CommentSubjectChar">
    <w:name w:val="Comment Subject Char"/>
    <w:basedOn w:val="CommentTextChar"/>
    <w:link w:val="CommentSubject"/>
    <w:uiPriority w:val="99"/>
    <w:semiHidden/>
    <w:rsid w:val="005A568B"/>
    <w:rPr>
      <w:b/>
      <w:bCs/>
      <w:sz w:val="20"/>
      <w:szCs w:val="20"/>
    </w:rPr>
  </w:style>
  <w:style w:type="character" w:styleId="Hyperlink">
    <w:name w:val="Hyperlink"/>
    <w:basedOn w:val="DefaultParagraphFont"/>
    <w:uiPriority w:val="99"/>
    <w:unhideWhenUsed/>
    <w:rsid w:val="000F202A"/>
    <w:rPr>
      <w:color w:val="0000FF" w:themeColor="hyperlink"/>
      <w:u w:val="single"/>
    </w:rPr>
  </w:style>
  <w:style w:type="paragraph" w:styleId="Revision">
    <w:name w:val="Revision"/>
    <w:hidden/>
    <w:uiPriority w:val="99"/>
    <w:semiHidden/>
    <w:rsid w:val="000835A8"/>
    <w:pPr>
      <w:spacing w:after="0" w:line="240" w:lineRule="auto"/>
    </w:pPr>
  </w:style>
  <w:style w:type="character" w:styleId="FollowedHyperlink">
    <w:name w:val="FollowedHyperlink"/>
    <w:basedOn w:val="DefaultParagraphFont"/>
    <w:uiPriority w:val="99"/>
    <w:semiHidden/>
    <w:unhideWhenUsed/>
    <w:rsid w:val="00CB66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89"/>
    <w:pPr>
      <w:ind w:left="720"/>
      <w:contextualSpacing/>
    </w:pPr>
  </w:style>
  <w:style w:type="table" w:styleId="TableGrid">
    <w:name w:val="Table Grid"/>
    <w:basedOn w:val="TableNormal"/>
    <w:uiPriority w:val="59"/>
    <w:rsid w:val="0059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3C"/>
    <w:rPr>
      <w:rFonts w:ascii="Tahoma" w:hAnsi="Tahoma" w:cs="Tahoma"/>
      <w:sz w:val="16"/>
      <w:szCs w:val="16"/>
    </w:rPr>
  </w:style>
  <w:style w:type="character" w:styleId="CommentReference">
    <w:name w:val="annotation reference"/>
    <w:basedOn w:val="DefaultParagraphFont"/>
    <w:uiPriority w:val="99"/>
    <w:semiHidden/>
    <w:unhideWhenUsed/>
    <w:rsid w:val="005A568B"/>
    <w:rPr>
      <w:sz w:val="16"/>
      <w:szCs w:val="16"/>
    </w:rPr>
  </w:style>
  <w:style w:type="paragraph" w:styleId="CommentText">
    <w:name w:val="annotation text"/>
    <w:basedOn w:val="Normal"/>
    <w:link w:val="CommentTextChar"/>
    <w:uiPriority w:val="99"/>
    <w:semiHidden/>
    <w:unhideWhenUsed/>
    <w:rsid w:val="005A568B"/>
    <w:pPr>
      <w:spacing w:line="240" w:lineRule="auto"/>
    </w:pPr>
    <w:rPr>
      <w:sz w:val="20"/>
      <w:szCs w:val="20"/>
    </w:rPr>
  </w:style>
  <w:style w:type="character" w:customStyle="1" w:styleId="CommentTextChar">
    <w:name w:val="Comment Text Char"/>
    <w:basedOn w:val="DefaultParagraphFont"/>
    <w:link w:val="CommentText"/>
    <w:uiPriority w:val="99"/>
    <w:semiHidden/>
    <w:rsid w:val="005A568B"/>
    <w:rPr>
      <w:sz w:val="20"/>
      <w:szCs w:val="20"/>
    </w:rPr>
  </w:style>
  <w:style w:type="paragraph" w:styleId="CommentSubject">
    <w:name w:val="annotation subject"/>
    <w:basedOn w:val="CommentText"/>
    <w:next w:val="CommentText"/>
    <w:link w:val="CommentSubjectChar"/>
    <w:uiPriority w:val="99"/>
    <w:semiHidden/>
    <w:unhideWhenUsed/>
    <w:rsid w:val="005A568B"/>
    <w:rPr>
      <w:b/>
      <w:bCs/>
    </w:rPr>
  </w:style>
  <w:style w:type="character" w:customStyle="1" w:styleId="CommentSubjectChar">
    <w:name w:val="Comment Subject Char"/>
    <w:basedOn w:val="CommentTextChar"/>
    <w:link w:val="CommentSubject"/>
    <w:uiPriority w:val="99"/>
    <w:semiHidden/>
    <w:rsid w:val="005A568B"/>
    <w:rPr>
      <w:b/>
      <w:bCs/>
      <w:sz w:val="20"/>
      <w:szCs w:val="20"/>
    </w:rPr>
  </w:style>
  <w:style w:type="character" w:styleId="Hyperlink">
    <w:name w:val="Hyperlink"/>
    <w:basedOn w:val="DefaultParagraphFont"/>
    <w:uiPriority w:val="99"/>
    <w:unhideWhenUsed/>
    <w:rsid w:val="000F202A"/>
    <w:rPr>
      <w:color w:val="0000FF" w:themeColor="hyperlink"/>
      <w:u w:val="single"/>
    </w:rPr>
  </w:style>
  <w:style w:type="paragraph" w:styleId="Revision">
    <w:name w:val="Revision"/>
    <w:hidden/>
    <w:uiPriority w:val="99"/>
    <w:semiHidden/>
    <w:rsid w:val="000835A8"/>
    <w:pPr>
      <w:spacing w:after="0" w:line="240" w:lineRule="auto"/>
    </w:pPr>
  </w:style>
  <w:style w:type="character" w:styleId="FollowedHyperlink">
    <w:name w:val="FollowedHyperlink"/>
    <w:basedOn w:val="DefaultParagraphFont"/>
    <w:uiPriority w:val="99"/>
    <w:semiHidden/>
    <w:unhideWhenUsed/>
    <w:rsid w:val="00CB6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7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nso.icann.org/en/issues/transfers/irtp-working-group-charter-jun08.htm"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gnso.icann.org/issues/transfers/transfer-issues-report-set-a-23may08.pdf" TargetMode="Externa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en/group-activities/inactive/2009/irtp-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nso.icann.org/resolutions/" TargetMode="External"/><Relationship Id="rId4" Type="http://schemas.openxmlformats.org/officeDocument/2006/relationships/settings" Target="settings.xml"/><Relationship Id="rId9" Type="http://schemas.openxmlformats.org/officeDocument/2006/relationships/hyperlink" Target="http://gnso.icann.org/issues/transfers/irtp-final-report-a-19mar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1982</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8</cp:revision>
  <dcterms:created xsi:type="dcterms:W3CDTF">2014-06-19T09:12:00Z</dcterms:created>
  <dcterms:modified xsi:type="dcterms:W3CDTF">2014-06-25T21:49:00Z</dcterms:modified>
</cp:coreProperties>
</file>