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23" w:rsidRDefault="00085523">
      <w:bookmarkStart w:id="0" w:name="_GoBack"/>
      <w:bookmarkEnd w:id="0"/>
    </w:p>
    <w:tbl>
      <w:tblPr>
        <w:tblStyle w:val="TableGrid"/>
        <w:tblW w:w="0" w:type="auto"/>
        <w:tblLook w:val="04A0" w:firstRow="1" w:lastRow="0" w:firstColumn="1" w:lastColumn="0" w:noHBand="0" w:noVBand="1"/>
      </w:tblPr>
      <w:tblGrid>
        <w:gridCol w:w="3078"/>
        <w:gridCol w:w="6498"/>
      </w:tblGrid>
      <w:tr w:rsidR="00301D5F" w:rsidTr="001C340E">
        <w:tc>
          <w:tcPr>
            <w:tcW w:w="3078" w:type="dxa"/>
            <w:shd w:val="clear" w:color="auto" w:fill="D9D9D9" w:themeFill="background1" w:themeFillShade="D9"/>
          </w:tcPr>
          <w:p w:rsidR="00301D5F" w:rsidRPr="00301D5F" w:rsidRDefault="00301D5F" w:rsidP="001C340E">
            <w:pPr>
              <w:rPr>
                <w:b/>
              </w:rPr>
            </w:pPr>
            <w:r w:rsidRPr="00301D5F">
              <w:rPr>
                <w:b/>
              </w:rPr>
              <w:t>Group Submitting Request:</w:t>
            </w:r>
          </w:p>
          <w:p w:rsidR="00301D5F" w:rsidRPr="00301D5F" w:rsidRDefault="00301D5F" w:rsidP="001C340E">
            <w:pPr>
              <w:rPr>
                <w:b/>
              </w:rPr>
            </w:pPr>
          </w:p>
        </w:tc>
        <w:tc>
          <w:tcPr>
            <w:tcW w:w="6498" w:type="dxa"/>
          </w:tcPr>
          <w:p w:rsidR="00301D5F" w:rsidRDefault="00301D5F" w:rsidP="001C340E">
            <w:r>
              <w:t>UDRP &amp; URS Review</w:t>
            </w:r>
          </w:p>
        </w:tc>
      </w:tr>
      <w:tr w:rsidR="00301D5F" w:rsidTr="001C340E">
        <w:tc>
          <w:tcPr>
            <w:tcW w:w="3078" w:type="dxa"/>
            <w:shd w:val="clear" w:color="auto" w:fill="D9D9D9" w:themeFill="background1" w:themeFillShade="D9"/>
          </w:tcPr>
          <w:p w:rsidR="00301D5F" w:rsidRPr="00301D5F" w:rsidRDefault="00301D5F" w:rsidP="001C340E">
            <w:pPr>
              <w:rPr>
                <w:b/>
              </w:rPr>
            </w:pPr>
            <w:r w:rsidRPr="00301D5F">
              <w:rPr>
                <w:b/>
              </w:rPr>
              <w:t>Request Date:</w:t>
            </w:r>
          </w:p>
          <w:p w:rsidR="00301D5F" w:rsidRPr="00301D5F" w:rsidRDefault="00301D5F" w:rsidP="001C340E">
            <w:pPr>
              <w:rPr>
                <w:b/>
              </w:rPr>
            </w:pPr>
          </w:p>
        </w:tc>
        <w:tc>
          <w:tcPr>
            <w:tcW w:w="6498" w:type="dxa"/>
          </w:tcPr>
          <w:p w:rsidR="00301D5F" w:rsidRDefault="00301D5F" w:rsidP="001B5F39">
            <w:r>
              <w:t>3</w:t>
            </w:r>
            <w:r w:rsidR="001B5F39">
              <w:t>0</w:t>
            </w:r>
            <w:r>
              <w:t xml:space="preserve"> </w:t>
            </w:r>
            <w:r w:rsidR="001B5F39">
              <w:t>April</w:t>
            </w:r>
            <w:r>
              <w:t xml:space="preserve"> 2015</w:t>
            </w:r>
          </w:p>
        </w:tc>
      </w:tr>
      <w:tr w:rsidR="00301D5F" w:rsidTr="001C340E">
        <w:tc>
          <w:tcPr>
            <w:tcW w:w="3078" w:type="dxa"/>
            <w:shd w:val="clear" w:color="auto" w:fill="D9D9D9" w:themeFill="background1" w:themeFillShade="D9"/>
          </w:tcPr>
          <w:p w:rsidR="00301D5F" w:rsidRPr="00301D5F" w:rsidRDefault="00301D5F" w:rsidP="001C340E">
            <w:pPr>
              <w:rPr>
                <w:b/>
              </w:rPr>
            </w:pPr>
            <w:r w:rsidRPr="00301D5F">
              <w:rPr>
                <w:b/>
              </w:rPr>
              <w:t>Policy or Issue being explored:</w:t>
            </w:r>
          </w:p>
          <w:p w:rsidR="00301D5F" w:rsidRPr="00301D5F" w:rsidRDefault="00301D5F" w:rsidP="001C340E">
            <w:pPr>
              <w:rPr>
                <w:b/>
              </w:rPr>
            </w:pPr>
          </w:p>
        </w:tc>
        <w:tc>
          <w:tcPr>
            <w:tcW w:w="6498" w:type="dxa"/>
          </w:tcPr>
          <w:p w:rsidR="00301D5F" w:rsidRDefault="001B5F39" w:rsidP="001C340E">
            <w:r>
              <w:t>A</w:t>
            </w:r>
            <w:r w:rsidRPr="001B5F39">
              <w:t xml:space="preserve">n Issue Report reviewing all rights protection mechanisms (current and developed for the New </w:t>
            </w:r>
            <w:proofErr w:type="spellStart"/>
            <w:r w:rsidRPr="001B5F39">
              <w:t>gTLD</w:t>
            </w:r>
            <w:proofErr w:type="spellEnd"/>
            <w:r w:rsidRPr="001B5F39">
              <w:t xml:space="preserve"> Program) including the UDRP and URS was requested by the GNSO Council.</w:t>
            </w:r>
          </w:p>
          <w:p w:rsidR="001B5F39" w:rsidRDefault="001B5F39" w:rsidP="001C340E"/>
        </w:tc>
      </w:tr>
      <w:tr w:rsidR="00301D5F" w:rsidTr="001C340E">
        <w:tc>
          <w:tcPr>
            <w:tcW w:w="3078" w:type="dxa"/>
            <w:shd w:val="clear" w:color="auto" w:fill="D9D9D9" w:themeFill="background1" w:themeFillShade="D9"/>
          </w:tcPr>
          <w:p w:rsidR="00301D5F" w:rsidRPr="00301D5F" w:rsidRDefault="00301D5F" w:rsidP="001C340E">
            <w:pPr>
              <w:rPr>
                <w:b/>
              </w:rPr>
            </w:pPr>
            <w:r w:rsidRPr="00301D5F">
              <w:rPr>
                <w:b/>
              </w:rPr>
              <w:t>Issue to be solved:</w:t>
            </w:r>
          </w:p>
          <w:p w:rsidR="00301D5F" w:rsidRPr="00301D5F" w:rsidRDefault="00301D5F" w:rsidP="001C340E">
            <w:pPr>
              <w:rPr>
                <w:b/>
              </w:rPr>
            </w:pPr>
          </w:p>
        </w:tc>
        <w:tc>
          <w:tcPr>
            <w:tcW w:w="6498" w:type="dxa"/>
          </w:tcPr>
          <w:p w:rsidR="00301D5F" w:rsidRDefault="001B5F39" w:rsidP="001B5F39">
            <w:pPr>
              <w:suppressAutoHyphens/>
            </w:pPr>
            <w:r>
              <w:t>In preparation for the Issue Report, macro level stats will be required to understand the state of curative rights protection mechanism for the UDRP and URS.</w:t>
            </w:r>
          </w:p>
          <w:p w:rsidR="00301D5F" w:rsidRDefault="00301D5F" w:rsidP="001C340E"/>
        </w:tc>
      </w:tr>
      <w:tr w:rsidR="00301D5F" w:rsidTr="001C340E">
        <w:tc>
          <w:tcPr>
            <w:tcW w:w="3078" w:type="dxa"/>
            <w:shd w:val="clear" w:color="auto" w:fill="D9D9D9" w:themeFill="background1" w:themeFillShade="D9"/>
          </w:tcPr>
          <w:p w:rsidR="00301D5F" w:rsidRPr="00301D5F" w:rsidRDefault="00301D5F" w:rsidP="001C340E">
            <w:pPr>
              <w:rPr>
                <w:b/>
              </w:rPr>
            </w:pPr>
            <w:r w:rsidRPr="00301D5F">
              <w:rPr>
                <w:b/>
              </w:rPr>
              <w:t>Report Requirements:</w:t>
            </w:r>
          </w:p>
          <w:p w:rsidR="00301D5F" w:rsidRPr="00301D5F" w:rsidRDefault="00301D5F" w:rsidP="001C340E">
            <w:pPr>
              <w:rPr>
                <w:b/>
              </w:rPr>
            </w:pPr>
          </w:p>
        </w:tc>
        <w:tc>
          <w:tcPr>
            <w:tcW w:w="6498" w:type="dxa"/>
          </w:tcPr>
          <w:p w:rsidR="00301D5F" w:rsidRDefault="00301D5F" w:rsidP="001C340E">
            <w:pPr>
              <w:pStyle w:val="ListParagraph"/>
              <w:numPr>
                <w:ilvl w:val="0"/>
                <w:numId w:val="1"/>
              </w:numPr>
            </w:pPr>
            <w:r>
              <w:t xml:space="preserve">Acquire total amount </w:t>
            </w:r>
            <w:r w:rsidR="003A19CD">
              <w:t xml:space="preserve">(in favor of complainant, in favor of respondent, withdraws, Reverse Domain Name Hijacking) </w:t>
            </w:r>
            <w:r>
              <w:t xml:space="preserve">of </w:t>
            </w:r>
            <w:r w:rsidR="003A19CD">
              <w:t>UDRPs and URSs filed within a determined period</w:t>
            </w:r>
          </w:p>
          <w:p w:rsidR="00301D5F" w:rsidRDefault="00301D5F" w:rsidP="001C340E">
            <w:pPr>
              <w:pStyle w:val="ListParagraph"/>
              <w:numPr>
                <w:ilvl w:val="0"/>
                <w:numId w:val="1"/>
              </w:numPr>
            </w:pPr>
            <w:r>
              <w:t xml:space="preserve">Acquire </w:t>
            </w:r>
            <w:r w:rsidR="003A19CD">
              <w:t xml:space="preserve">UDRP </w:t>
            </w:r>
            <w:r>
              <w:t xml:space="preserve">transfer complaints submitted to ICANN </w:t>
            </w:r>
            <w:r w:rsidR="003A19CD">
              <w:t>within a defined period</w:t>
            </w:r>
          </w:p>
          <w:p w:rsidR="00301D5F" w:rsidRDefault="00301D5F" w:rsidP="00232FAC">
            <w:pPr>
              <w:pStyle w:val="ListParagraph"/>
              <w:numPr>
                <w:ilvl w:val="0"/>
                <w:numId w:val="1"/>
              </w:numPr>
            </w:pPr>
            <w:r>
              <w:t xml:space="preserve">Acquire </w:t>
            </w:r>
            <w:r w:rsidR="00232FAC">
              <w:t>other IP and TM industry data as necessary</w:t>
            </w:r>
          </w:p>
          <w:p w:rsidR="00301D5F" w:rsidRDefault="00301D5F" w:rsidP="001C340E">
            <w:pPr>
              <w:pStyle w:val="ListParagraph"/>
            </w:pPr>
          </w:p>
        </w:tc>
      </w:tr>
      <w:tr w:rsidR="00301D5F" w:rsidTr="001C340E">
        <w:tc>
          <w:tcPr>
            <w:tcW w:w="3078" w:type="dxa"/>
            <w:shd w:val="clear" w:color="auto" w:fill="D9D9D9" w:themeFill="background1" w:themeFillShade="D9"/>
          </w:tcPr>
          <w:p w:rsidR="00301D5F" w:rsidRPr="00301D5F" w:rsidRDefault="00301D5F" w:rsidP="001C340E">
            <w:pPr>
              <w:rPr>
                <w:b/>
              </w:rPr>
            </w:pPr>
            <w:r w:rsidRPr="00301D5F">
              <w:rPr>
                <w:b/>
              </w:rPr>
              <w:t>Responsible Team(s) or Data Source:</w:t>
            </w:r>
          </w:p>
          <w:p w:rsidR="00301D5F" w:rsidRPr="00301D5F" w:rsidRDefault="00301D5F" w:rsidP="001C340E">
            <w:pPr>
              <w:rPr>
                <w:b/>
              </w:rPr>
            </w:pPr>
          </w:p>
        </w:tc>
        <w:tc>
          <w:tcPr>
            <w:tcW w:w="6498" w:type="dxa"/>
          </w:tcPr>
          <w:p w:rsidR="00301D5F" w:rsidRDefault="00301D5F" w:rsidP="001C340E">
            <w:pPr>
              <w:pStyle w:val="ListParagraph"/>
              <w:numPr>
                <w:ilvl w:val="0"/>
                <w:numId w:val="3"/>
              </w:numPr>
            </w:pPr>
            <w:r>
              <w:t>Publicly available data submitted to ICANN via Registry Operator monthly reports</w:t>
            </w:r>
          </w:p>
          <w:p w:rsidR="00301D5F" w:rsidRDefault="00301D5F" w:rsidP="001C340E">
            <w:pPr>
              <w:pStyle w:val="ListParagraph"/>
              <w:numPr>
                <w:ilvl w:val="0"/>
                <w:numId w:val="3"/>
              </w:numPr>
            </w:pPr>
            <w:r>
              <w:t>ICANN Contractual Compliance complaint intake system</w:t>
            </w:r>
          </w:p>
          <w:p w:rsidR="00301D5F" w:rsidRDefault="00301D5F" w:rsidP="001C340E">
            <w:pPr>
              <w:pStyle w:val="ListParagraph"/>
              <w:numPr>
                <w:ilvl w:val="0"/>
                <w:numId w:val="3"/>
              </w:numPr>
            </w:pPr>
            <w:r>
              <w:t>Sample(s) of Registrar data from registrations systems aggregated through third party provider</w:t>
            </w:r>
          </w:p>
          <w:p w:rsidR="00301D5F" w:rsidRDefault="00301D5F" w:rsidP="001C340E">
            <w:pPr>
              <w:pStyle w:val="ListParagraph"/>
              <w:numPr>
                <w:ilvl w:val="0"/>
                <w:numId w:val="3"/>
              </w:numPr>
            </w:pPr>
            <w:r>
              <w:t>Sample(s) of Registrar data from intake complaint systems aggregated through third party provider</w:t>
            </w:r>
          </w:p>
          <w:p w:rsidR="00301D5F" w:rsidRDefault="00301D5F" w:rsidP="001C340E">
            <w:pPr>
              <w:pStyle w:val="ListParagraph"/>
            </w:pPr>
          </w:p>
        </w:tc>
      </w:tr>
      <w:tr w:rsidR="00301D5F" w:rsidTr="001C340E">
        <w:tc>
          <w:tcPr>
            <w:tcW w:w="3078" w:type="dxa"/>
            <w:shd w:val="clear" w:color="auto" w:fill="D9D9D9" w:themeFill="background1" w:themeFillShade="D9"/>
          </w:tcPr>
          <w:p w:rsidR="00301D5F" w:rsidRPr="00301D5F" w:rsidRDefault="00301D5F" w:rsidP="001C340E">
            <w:pPr>
              <w:rPr>
                <w:b/>
              </w:rPr>
            </w:pPr>
            <w:r w:rsidRPr="00301D5F">
              <w:rPr>
                <w:b/>
              </w:rPr>
              <w:t>Expected Delivery Date:</w:t>
            </w:r>
          </w:p>
          <w:p w:rsidR="00301D5F" w:rsidRPr="00301D5F" w:rsidRDefault="00301D5F" w:rsidP="001C340E">
            <w:pPr>
              <w:rPr>
                <w:b/>
              </w:rPr>
            </w:pPr>
          </w:p>
        </w:tc>
        <w:tc>
          <w:tcPr>
            <w:tcW w:w="6498" w:type="dxa"/>
          </w:tcPr>
          <w:p w:rsidR="00301D5F" w:rsidRDefault="00301D5F" w:rsidP="001C340E">
            <w:r>
              <w:t>TBD</w:t>
            </w:r>
          </w:p>
        </w:tc>
      </w:tr>
      <w:tr w:rsidR="00301D5F" w:rsidTr="001C340E">
        <w:tc>
          <w:tcPr>
            <w:tcW w:w="3078" w:type="dxa"/>
            <w:shd w:val="clear" w:color="auto" w:fill="D9D9D9" w:themeFill="background1" w:themeFillShade="D9"/>
          </w:tcPr>
          <w:p w:rsidR="00301D5F" w:rsidRPr="00301D5F" w:rsidRDefault="00301D5F" w:rsidP="001C340E">
            <w:pPr>
              <w:rPr>
                <w:b/>
              </w:rPr>
            </w:pPr>
            <w:r w:rsidRPr="00301D5F">
              <w:rPr>
                <w:b/>
              </w:rPr>
              <w:t>Resource Estimation:</w:t>
            </w:r>
          </w:p>
          <w:p w:rsidR="00301D5F" w:rsidRPr="00301D5F" w:rsidRDefault="00301D5F" w:rsidP="001C340E">
            <w:pPr>
              <w:rPr>
                <w:b/>
              </w:rPr>
            </w:pPr>
          </w:p>
        </w:tc>
        <w:tc>
          <w:tcPr>
            <w:tcW w:w="6498" w:type="dxa"/>
          </w:tcPr>
          <w:p w:rsidR="00301D5F" w:rsidRDefault="00301D5F" w:rsidP="001C340E">
            <w:r>
              <w:t>TBD</w:t>
            </w:r>
          </w:p>
        </w:tc>
      </w:tr>
      <w:tr w:rsidR="00301D5F" w:rsidTr="001C340E">
        <w:tc>
          <w:tcPr>
            <w:tcW w:w="3078" w:type="dxa"/>
            <w:shd w:val="clear" w:color="auto" w:fill="D9D9D9" w:themeFill="background1" w:themeFillShade="D9"/>
          </w:tcPr>
          <w:p w:rsidR="00301D5F" w:rsidRPr="00301D5F" w:rsidRDefault="00301D5F" w:rsidP="001C340E">
            <w:pPr>
              <w:rPr>
                <w:b/>
              </w:rPr>
            </w:pPr>
            <w:r w:rsidRPr="00301D5F">
              <w:rPr>
                <w:b/>
              </w:rPr>
              <w:t>Budget Considerations:</w:t>
            </w:r>
          </w:p>
          <w:p w:rsidR="00301D5F" w:rsidRPr="00301D5F" w:rsidRDefault="00301D5F" w:rsidP="001C340E">
            <w:pPr>
              <w:rPr>
                <w:b/>
              </w:rPr>
            </w:pPr>
          </w:p>
        </w:tc>
        <w:tc>
          <w:tcPr>
            <w:tcW w:w="6498" w:type="dxa"/>
          </w:tcPr>
          <w:p w:rsidR="00232FAC" w:rsidRDefault="00232FAC" w:rsidP="00232FAC">
            <w:r>
              <w:t>None</w:t>
            </w:r>
          </w:p>
          <w:p w:rsidR="00301D5F" w:rsidRDefault="00232FAC" w:rsidP="00232FAC">
            <w:pPr>
              <w:pStyle w:val="ListParagraph"/>
              <w:numPr>
                <w:ilvl w:val="0"/>
                <w:numId w:val="4"/>
              </w:numPr>
            </w:pPr>
            <w:r>
              <w:t>WIPO, NAF, ADNDRC providers have volunteers to provide the necessary data based on requirements</w:t>
            </w:r>
          </w:p>
          <w:p w:rsidR="00232FAC" w:rsidRDefault="00232FAC" w:rsidP="00232FAC">
            <w:pPr>
              <w:pStyle w:val="ListParagraph"/>
              <w:numPr>
                <w:ilvl w:val="0"/>
                <w:numId w:val="4"/>
              </w:numPr>
            </w:pPr>
            <w:r>
              <w:t>ICANN Contractual Compliance will submit complaint intake data as required</w:t>
            </w:r>
          </w:p>
        </w:tc>
      </w:tr>
    </w:tbl>
    <w:p w:rsidR="00301D5F" w:rsidRDefault="00301D5F"/>
    <w:p w:rsidR="00301D5F" w:rsidRDefault="00301D5F">
      <w:r>
        <w:br w:type="page"/>
      </w:r>
    </w:p>
    <w:p w:rsidR="00301D5F" w:rsidRDefault="00301D5F"/>
    <w:p w:rsidR="003138B8" w:rsidRDefault="003138B8"/>
    <w:tbl>
      <w:tblPr>
        <w:tblStyle w:val="TableGrid"/>
        <w:tblW w:w="0" w:type="auto"/>
        <w:tblLook w:val="04A0" w:firstRow="1" w:lastRow="0" w:firstColumn="1" w:lastColumn="0" w:noHBand="0" w:noVBand="1"/>
      </w:tblPr>
      <w:tblGrid>
        <w:gridCol w:w="3078"/>
        <w:gridCol w:w="6498"/>
      </w:tblGrid>
      <w:tr w:rsidR="003138B8" w:rsidTr="003138B8">
        <w:tc>
          <w:tcPr>
            <w:tcW w:w="3078" w:type="dxa"/>
            <w:shd w:val="clear" w:color="auto" w:fill="D9D9D9" w:themeFill="background1" w:themeFillShade="D9"/>
          </w:tcPr>
          <w:p w:rsidR="003138B8" w:rsidRPr="00301D5F" w:rsidRDefault="003138B8" w:rsidP="001C340E">
            <w:pPr>
              <w:rPr>
                <w:b/>
              </w:rPr>
            </w:pPr>
            <w:r w:rsidRPr="00301D5F">
              <w:rPr>
                <w:b/>
              </w:rPr>
              <w:t>Group Submitting Request:</w:t>
            </w:r>
          </w:p>
          <w:p w:rsidR="003138B8" w:rsidRPr="00301D5F" w:rsidRDefault="003138B8" w:rsidP="001C340E">
            <w:pPr>
              <w:rPr>
                <w:b/>
              </w:rPr>
            </w:pPr>
          </w:p>
        </w:tc>
        <w:tc>
          <w:tcPr>
            <w:tcW w:w="6498" w:type="dxa"/>
          </w:tcPr>
          <w:p w:rsidR="003138B8" w:rsidRDefault="003138B8" w:rsidP="001C340E">
            <w:commentRangeStart w:id="1"/>
            <w:r>
              <w:t>IRTP Review Team</w:t>
            </w:r>
            <w:commentRangeEnd w:id="1"/>
            <w:r>
              <w:rPr>
                <w:rStyle w:val="CommentReference"/>
              </w:rPr>
              <w:commentReference w:id="1"/>
            </w:r>
          </w:p>
        </w:tc>
      </w:tr>
      <w:tr w:rsidR="003138B8" w:rsidTr="003138B8">
        <w:tc>
          <w:tcPr>
            <w:tcW w:w="3078" w:type="dxa"/>
            <w:shd w:val="clear" w:color="auto" w:fill="D9D9D9" w:themeFill="background1" w:themeFillShade="D9"/>
          </w:tcPr>
          <w:p w:rsidR="003138B8" w:rsidRPr="00301D5F" w:rsidRDefault="003138B8" w:rsidP="001C340E">
            <w:pPr>
              <w:rPr>
                <w:b/>
              </w:rPr>
            </w:pPr>
            <w:r w:rsidRPr="00301D5F">
              <w:rPr>
                <w:b/>
              </w:rPr>
              <w:t>Request Date:</w:t>
            </w:r>
          </w:p>
          <w:p w:rsidR="003138B8" w:rsidRPr="00301D5F" w:rsidRDefault="003138B8" w:rsidP="001C340E">
            <w:pPr>
              <w:rPr>
                <w:b/>
              </w:rPr>
            </w:pPr>
          </w:p>
        </w:tc>
        <w:tc>
          <w:tcPr>
            <w:tcW w:w="6498" w:type="dxa"/>
          </w:tcPr>
          <w:p w:rsidR="003138B8" w:rsidRDefault="003138B8" w:rsidP="001C340E">
            <w:r>
              <w:t>01 December 2015</w:t>
            </w:r>
          </w:p>
        </w:tc>
      </w:tr>
      <w:tr w:rsidR="003138B8" w:rsidTr="003138B8">
        <w:tc>
          <w:tcPr>
            <w:tcW w:w="3078" w:type="dxa"/>
            <w:shd w:val="clear" w:color="auto" w:fill="D9D9D9" w:themeFill="background1" w:themeFillShade="D9"/>
          </w:tcPr>
          <w:p w:rsidR="003138B8" w:rsidRPr="00301D5F" w:rsidRDefault="003138B8" w:rsidP="001C340E">
            <w:pPr>
              <w:rPr>
                <w:b/>
              </w:rPr>
            </w:pPr>
            <w:r w:rsidRPr="00301D5F">
              <w:rPr>
                <w:b/>
              </w:rPr>
              <w:t>Policy or Issue being explored:</w:t>
            </w:r>
          </w:p>
          <w:p w:rsidR="003138B8" w:rsidRPr="00301D5F" w:rsidRDefault="003138B8" w:rsidP="001C340E">
            <w:pPr>
              <w:rPr>
                <w:b/>
              </w:rPr>
            </w:pPr>
          </w:p>
        </w:tc>
        <w:tc>
          <w:tcPr>
            <w:tcW w:w="6498" w:type="dxa"/>
          </w:tcPr>
          <w:p w:rsidR="003138B8" w:rsidRDefault="003138B8" w:rsidP="001C340E">
            <w:r>
              <w:t>Inter-Registrar Transfer Policy – Post Consensus Policy Implementation</w:t>
            </w:r>
          </w:p>
          <w:p w:rsidR="003138B8" w:rsidRDefault="003138B8" w:rsidP="001C340E"/>
          <w:p w:rsidR="003138B8" w:rsidRDefault="003138B8" w:rsidP="003138B8">
            <w:r w:rsidRPr="003138B8">
              <w:rPr>
                <w:b/>
              </w:rPr>
              <w:t>Recommendation #17</w:t>
            </w:r>
            <w:r>
              <w:t>.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rsidR="003138B8" w:rsidRDefault="003138B8" w:rsidP="003138B8"/>
          <w:p w:rsidR="003138B8" w:rsidRDefault="003138B8" w:rsidP="003138B8">
            <w:r w:rsidRPr="003138B8">
              <w:rPr>
                <w:b/>
              </w:rPr>
              <w:t>Recommendation #18</w:t>
            </w:r>
            <w:r>
              <w:t>. The Working Group recommends that contracted parties and ICANN should start to gather data and other relevant information that will help inform a future IRTP review team in its efforts, especially with regard to those issues listed in the Observations (4.2.7.1) above.</w:t>
            </w:r>
          </w:p>
          <w:p w:rsidR="003838CB" w:rsidRDefault="003838CB" w:rsidP="003138B8"/>
        </w:tc>
      </w:tr>
      <w:tr w:rsidR="003138B8" w:rsidTr="003138B8">
        <w:tc>
          <w:tcPr>
            <w:tcW w:w="3078" w:type="dxa"/>
            <w:shd w:val="clear" w:color="auto" w:fill="D9D9D9" w:themeFill="background1" w:themeFillShade="D9"/>
          </w:tcPr>
          <w:p w:rsidR="003138B8" w:rsidRPr="00301D5F" w:rsidRDefault="003138B8" w:rsidP="001C340E">
            <w:pPr>
              <w:rPr>
                <w:b/>
              </w:rPr>
            </w:pPr>
            <w:r w:rsidRPr="00301D5F">
              <w:rPr>
                <w:b/>
              </w:rPr>
              <w:t>Issue to be solved:</w:t>
            </w:r>
          </w:p>
          <w:p w:rsidR="003138B8" w:rsidRPr="00301D5F" w:rsidRDefault="003138B8" w:rsidP="001C340E">
            <w:pPr>
              <w:rPr>
                <w:b/>
              </w:rPr>
            </w:pPr>
          </w:p>
        </w:tc>
        <w:tc>
          <w:tcPr>
            <w:tcW w:w="6498" w:type="dxa"/>
          </w:tcPr>
          <w:p w:rsidR="003138B8" w:rsidRDefault="00EB5F9A" w:rsidP="001C340E">
            <w:r>
              <w:t>Determine if the IRTP-B thru IRTP-D Consensus Policies enhanced and/or improved the transfer process.</w:t>
            </w:r>
          </w:p>
          <w:p w:rsidR="003838CB" w:rsidRDefault="003838CB" w:rsidP="001C340E"/>
          <w:p w:rsidR="003838CB" w:rsidRPr="0000619E" w:rsidRDefault="003838CB" w:rsidP="003838CB">
            <w:pPr>
              <w:rPr>
                <w:rFonts w:ascii="Calibri" w:hAnsi="Calibri" w:cs="Calibri"/>
              </w:rPr>
            </w:pPr>
            <w:r w:rsidRPr="0000619E">
              <w:rPr>
                <w:rFonts w:ascii="Calibri" w:hAnsi="Calibri" w:cs="Calibri"/>
              </w:rPr>
              <w:t>Such a review could include, but not be limited to:</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he number of uncompleted transfers, both before completed as well as abandoned transfers, collected per Registrar by the registry or ICANN;</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he stages in the transfer process at which transfers are abandoned, where an abandoned transfers mean any number of uncompleted transfers that are not followed by at least one completed transfer, collected per Registrar by the registry or ICANN;</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he number of incidents or communications where registrars are contacted by registrants for transfer support;</w:t>
            </w:r>
          </w:p>
          <w:p w:rsidR="003838CB"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he number of incidents or communications there that registrars worked informally with other registrars to request or to effect a transfer reversal;</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he number of incidents or communications related to disputes between registrars.</w:t>
            </w:r>
          </w:p>
          <w:p w:rsidR="003838CB" w:rsidRPr="00377EEA" w:rsidRDefault="003838CB" w:rsidP="003838CB">
            <w:pPr>
              <w:numPr>
                <w:ilvl w:val="0"/>
                <w:numId w:val="2"/>
              </w:numPr>
              <w:suppressAutoHyphens/>
              <w:rPr>
                <w:rFonts w:ascii="Calibri" w:hAnsi="Calibri" w:cs="Calibri"/>
              </w:rPr>
            </w:pPr>
            <w:r>
              <w:rPr>
                <w:rFonts w:ascii="Calibri" w:hAnsi="Calibri" w:cs="Calibri"/>
              </w:rPr>
              <w:t>The number of incidents or communications related to complaints or disputes involving a change of registrant</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 xml:space="preserve">he number of times that they experience a registrant who's </w:t>
            </w:r>
            <w:r w:rsidRPr="00377EEA">
              <w:rPr>
                <w:rFonts w:ascii="Calibri" w:hAnsi="Calibri" w:cs="Calibri"/>
              </w:rPr>
              <w:lastRenderedPageBreak/>
              <w:t xml:space="preserve">claiming that their domain name has been hijacked that is not related to an account compromise </w:t>
            </w:r>
          </w:p>
          <w:p w:rsidR="003838CB" w:rsidRPr="00377EEA" w:rsidRDefault="003838CB" w:rsidP="003838CB">
            <w:pPr>
              <w:numPr>
                <w:ilvl w:val="0"/>
                <w:numId w:val="2"/>
              </w:numPr>
              <w:suppressAutoHyphens/>
              <w:rPr>
                <w:rFonts w:ascii="Calibri" w:hAnsi="Calibri" w:cs="Calibri"/>
              </w:rPr>
            </w:pPr>
            <w:r>
              <w:rPr>
                <w:rFonts w:ascii="Calibri" w:hAnsi="Calibri" w:cs="Calibri"/>
              </w:rPr>
              <w:t>T</w:t>
            </w:r>
            <w:r w:rsidRPr="00377EEA">
              <w:rPr>
                <w:rFonts w:ascii="Calibri" w:hAnsi="Calibri" w:cs="Calibri"/>
              </w:rPr>
              <w:t xml:space="preserve">he % use of the </w:t>
            </w:r>
            <w:proofErr w:type="spellStart"/>
            <w:r w:rsidRPr="00377EEA">
              <w:rPr>
                <w:rFonts w:ascii="Calibri" w:hAnsi="Calibri" w:cs="Calibri"/>
              </w:rPr>
              <w:t>ClientTransferProhibited</w:t>
            </w:r>
            <w:proofErr w:type="spellEnd"/>
            <w:r w:rsidRPr="00377EEA">
              <w:rPr>
                <w:rFonts w:ascii="Calibri" w:hAnsi="Calibri" w:cs="Calibri"/>
              </w:rPr>
              <w:t xml:space="preserve"> status by Registrars, collected per Registrar by the registry or ICANN;</w:t>
            </w:r>
          </w:p>
          <w:p w:rsidR="003838CB" w:rsidRPr="003838CB" w:rsidRDefault="003838CB" w:rsidP="003838CB">
            <w:pPr>
              <w:numPr>
                <w:ilvl w:val="0"/>
                <w:numId w:val="2"/>
              </w:numPr>
              <w:suppressAutoHyphens/>
            </w:pPr>
            <w:r w:rsidRPr="003838CB">
              <w:rPr>
                <w:rFonts w:ascii="Calibri" w:hAnsi="Calibri" w:cs="Calibri"/>
              </w:rPr>
              <w:t xml:space="preserve">The </w:t>
            </w:r>
            <w:proofErr w:type="gramStart"/>
            <w:r w:rsidRPr="003838CB">
              <w:rPr>
                <w:rFonts w:ascii="Calibri" w:hAnsi="Calibri" w:cs="Calibri"/>
              </w:rPr>
              <w:t>number of complaints ICANN Contractual Compliance or Registrars receive</w:t>
            </w:r>
            <w:proofErr w:type="gramEnd"/>
            <w:r w:rsidRPr="003838CB">
              <w:rPr>
                <w:rFonts w:ascii="Calibri" w:hAnsi="Calibri" w:cs="Calibri"/>
              </w:rPr>
              <w:t xml:space="preserve"> about the 60-day transfer lock, the </w:t>
            </w:r>
            <w:proofErr w:type="spellStart"/>
            <w:r w:rsidRPr="003838CB">
              <w:rPr>
                <w:rFonts w:ascii="Calibri" w:hAnsi="Calibri" w:cs="Calibri"/>
              </w:rPr>
              <w:t>ClientTransferProhibited</w:t>
            </w:r>
            <w:proofErr w:type="spellEnd"/>
            <w:r w:rsidRPr="003838CB">
              <w:rPr>
                <w:rFonts w:ascii="Calibri" w:hAnsi="Calibri" w:cs="Calibri"/>
              </w:rPr>
              <w:t xml:space="preserve"> or the FOA.</w:t>
            </w:r>
          </w:p>
          <w:p w:rsidR="003838CB" w:rsidRDefault="003838CB" w:rsidP="003838CB">
            <w:pPr>
              <w:numPr>
                <w:ilvl w:val="0"/>
                <w:numId w:val="2"/>
              </w:numPr>
              <w:suppressAutoHyphens/>
            </w:pPr>
            <w:r w:rsidRPr="003838CB">
              <w:rPr>
                <w:rFonts w:ascii="Calibri" w:hAnsi="Calibri" w:cs="Calibri"/>
              </w:rPr>
              <w:t>The period of time between the occurrence of an alleged non-compliant transfer and the launch of the TDRP process – including those incidents where no dispute was launched or the dispute was rejected due to the expiration of the statute of limitations.</w:t>
            </w:r>
          </w:p>
          <w:p w:rsidR="00EB5F9A" w:rsidRDefault="00EB5F9A" w:rsidP="001C340E"/>
        </w:tc>
      </w:tr>
      <w:tr w:rsidR="003138B8" w:rsidTr="003138B8">
        <w:tc>
          <w:tcPr>
            <w:tcW w:w="3078" w:type="dxa"/>
            <w:shd w:val="clear" w:color="auto" w:fill="D9D9D9" w:themeFill="background1" w:themeFillShade="D9"/>
          </w:tcPr>
          <w:p w:rsidR="003138B8" w:rsidRPr="00301D5F" w:rsidRDefault="003138B8" w:rsidP="001C340E">
            <w:pPr>
              <w:rPr>
                <w:b/>
              </w:rPr>
            </w:pPr>
            <w:r w:rsidRPr="00301D5F">
              <w:rPr>
                <w:b/>
              </w:rPr>
              <w:lastRenderedPageBreak/>
              <w:t>Report Requirements:</w:t>
            </w:r>
          </w:p>
          <w:p w:rsidR="003138B8" w:rsidRPr="00301D5F" w:rsidRDefault="003138B8" w:rsidP="001C340E">
            <w:pPr>
              <w:rPr>
                <w:b/>
              </w:rPr>
            </w:pPr>
          </w:p>
        </w:tc>
        <w:tc>
          <w:tcPr>
            <w:tcW w:w="6498" w:type="dxa"/>
          </w:tcPr>
          <w:p w:rsidR="003138B8" w:rsidRDefault="00EB5F9A" w:rsidP="00232FAC">
            <w:pPr>
              <w:pStyle w:val="ListParagraph"/>
              <w:numPr>
                <w:ilvl w:val="0"/>
                <w:numId w:val="5"/>
              </w:numPr>
            </w:pPr>
            <w:r>
              <w:t>Acquire total amount of transfers before and after policy implementation</w:t>
            </w:r>
          </w:p>
          <w:p w:rsidR="00EB5F9A" w:rsidRDefault="00EB5F9A" w:rsidP="00232FAC">
            <w:pPr>
              <w:pStyle w:val="ListParagraph"/>
              <w:numPr>
                <w:ilvl w:val="0"/>
                <w:numId w:val="5"/>
              </w:numPr>
            </w:pPr>
            <w:r>
              <w:t>Acquire transfer complaints submitted to ICANN before and after policy implementation</w:t>
            </w:r>
          </w:p>
          <w:p w:rsidR="00EB5F9A" w:rsidRDefault="003838CB" w:rsidP="00232FAC">
            <w:pPr>
              <w:pStyle w:val="ListParagraph"/>
              <w:numPr>
                <w:ilvl w:val="0"/>
                <w:numId w:val="5"/>
              </w:numPr>
            </w:pPr>
            <w:r>
              <w:t>Acquire successful, abandoned, and failed transfer data from Registrars at the various stages of the transfer process (aggregated)</w:t>
            </w:r>
          </w:p>
          <w:p w:rsidR="003838CB" w:rsidRDefault="003838CB" w:rsidP="00232FAC">
            <w:pPr>
              <w:pStyle w:val="ListParagraph"/>
              <w:numPr>
                <w:ilvl w:val="0"/>
                <w:numId w:val="5"/>
              </w:numPr>
            </w:pPr>
            <w:r>
              <w:t>Acquire incident information related to transfers from Registrars (aggregated)</w:t>
            </w:r>
          </w:p>
          <w:p w:rsidR="003838CB" w:rsidRDefault="003838CB" w:rsidP="003838CB">
            <w:pPr>
              <w:pStyle w:val="ListParagraph"/>
            </w:pPr>
          </w:p>
        </w:tc>
      </w:tr>
      <w:tr w:rsidR="003138B8" w:rsidTr="003138B8">
        <w:tc>
          <w:tcPr>
            <w:tcW w:w="3078" w:type="dxa"/>
            <w:shd w:val="clear" w:color="auto" w:fill="D9D9D9" w:themeFill="background1" w:themeFillShade="D9"/>
          </w:tcPr>
          <w:p w:rsidR="003138B8" w:rsidRPr="00301D5F" w:rsidRDefault="003138B8" w:rsidP="001C340E">
            <w:pPr>
              <w:rPr>
                <w:b/>
              </w:rPr>
            </w:pPr>
            <w:r w:rsidRPr="00301D5F">
              <w:rPr>
                <w:b/>
              </w:rPr>
              <w:t>Responsible Team(s)</w:t>
            </w:r>
            <w:r w:rsidR="00EB5F9A" w:rsidRPr="00301D5F">
              <w:rPr>
                <w:b/>
              </w:rPr>
              <w:t xml:space="preserve"> or Data Source</w:t>
            </w:r>
            <w:r w:rsidRPr="00301D5F">
              <w:rPr>
                <w:b/>
              </w:rPr>
              <w:t>:</w:t>
            </w:r>
          </w:p>
          <w:p w:rsidR="003138B8" w:rsidRPr="00301D5F" w:rsidRDefault="003138B8" w:rsidP="001C340E">
            <w:pPr>
              <w:rPr>
                <w:b/>
              </w:rPr>
            </w:pPr>
          </w:p>
        </w:tc>
        <w:tc>
          <w:tcPr>
            <w:tcW w:w="6498" w:type="dxa"/>
          </w:tcPr>
          <w:p w:rsidR="003838CB" w:rsidRDefault="003838CB" w:rsidP="00232FAC">
            <w:pPr>
              <w:pStyle w:val="ListParagraph"/>
              <w:numPr>
                <w:ilvl w:val="0"/>
                <w:numId w:val="6"/>
              </w:numPr>
            </w:pPr>
            <w:r>
              <w:t>Publicly available data submitted to ICANN via Registry Operator monthly reports</w:t>
            </w:r>
          </w:p>
          <w:p w:rsidR="00301D5F" w:rsidRDefault="003838CB" w:rsidP="00232FAC">
            <w:pPr>
              <w:pStyle w:val="ListParagraph"/>
              <w:numPr>
                <w:ilvl w:val="0"/>
                <w:numId w:val="6"/>
              </w:numPr>
            </w:pPr>
            <w:r>
              <w:t>ICANN Contractual Compliance</w:t>
            </w:r>
            <w:r w:rsidR="00301D5F">
              <w:t xml:space="preserve"> complaint intake system</w:t>
            </w:r>
          </w:p>
          <w:p w:rsidR="003138B8" w:rsidRDefault="00301D5F" w:rsidP="00232FAC">
            <w:pPr>
              <w:pStyle w:val="ListParagraph"/>
              <w:numPr>
                <w:ilvl w:val="0"/>
                <w:numId w:val="6"/>
              </w:numPr>
            </w:pPr>
            <w:r>
              <w:t>Sample(s) of Registrar data from registrations systems</w:t>
            </w:r>
            <w:r w:rsidR="003838CB">
              <w:t xml:space="preserve"> </w:t>
            </w:r>
            <w:r>
              <w:t>aggregated through third party provider</w:t>
            </w:r>
          </w:p>
          <w:p w:rsidR="00301D5F" w:rsidRDefault="00301D5F" w:rsidP="00232FAC">
            <w:pPr>
              <w:pStyle w:val="ListParagraph"/>
              <w:numPr>
                <w:ilvl w:val="0"/>
                <w:numId w:val="6"/>
              </w:numPr>
            </w:pPr>
            <w:r>
              <w:t>Sample(s) of Registrar data from intake complaint systems aggregated through third party provider</w:t>
            </w:r>
          </w:p>
          <w:p w:rsidR="00301D5F" w:rsidRDefault="00301D5F" w:rsidP="00301D5F">
            <w:pPr>
              <w:pStyle w:val="ListParagraph"/>
            </w:pPr>
          </w:p>
        </w:tc>
      </w:tr>
      <w:tr w:rsidR="003138B8" w:rsidTr="003138B8">
        <w:tc>
          <w:tcPr>
            <w:tcW w:w="3078" w:type="dxa"/>
            <w:shd w:val="clear" w:color="auto" w:fill="D9D9D9" w:themeFill="background1" w:themeFillShade="D9"/>
          </w:tcPr>
          <w:p w:rsidR="003138B8" w:rsidRPr="00301D5F" w:rsidRDefault="003138B8" w:rsidP="001C340E">
            <w:pPr>
              <w:rPr>
                <w:b/>
              </w:rPr>
            </w:pPr>
            <w:r w:rsidRPr="00301D5F">
              <w:rPr>
                <w:b/>
              </w:rPr>
              <w:t>Expected Delivery Date:</w:t>
            </w:r>
          </w:p>
          <w:p w:rsidR="003138B8" w:rsidRPr="00301D5F" w:rsidRDefault="003138B8" w:rsidP="001C340E">
            <w:pPr>
              <w:rPr>
                <w:b/>
              </w:rPr>
            </w:pPr>
          </w:p>
        </w:tc>
        <w:tc>
          <w:tcPr>
            <w:tcW w:w="6498" w:type="dxa"/>
          </w:tcPr>
          <w:p w:rsidR="003138B8" w:rsidRDefault="00301D5F" w:rsidP="001C340E">
            <w:r>
              <w:t>TBD</w:t>
            </w:r>
          </w:p>
        </w:tc>
      </w:tr>
      <w:tr w:rsidR="003138B8" w:rsidTr="003138B8">
        <w:tc>
          <w:tcPr>
            <w:tcW w:w="3078" w:type="dxa"/>
            <w:shd w:val="clear" w:color="auto" w:fill="D9D9D9" w:themeFill="background1" w:themeFillShade="D9"/>
          </w:tcPr>
          <w:p w:rsidR="003138B8" w:rsidRPr="00301D5F" w:rsidRDefault="003138B8" w:rsidP="001C340E">
            <w:pPr>
              <w:rPr>
                <w:b/>
              </w:rPr>
            </w:pPr>
            <w:r w:rsidRPr="00301D5F">
              <w:rPr>
                <w:b/>
              </w:rPr>
              <w:t>Resource Estimation:</w:t>
            </w:r>
          </w:p>
          <w:p w:rsidR="003138B8" w:rsidRPr="00301D5F" w:rsidRDefault="003138B8" w:rsidP="001C340E">
            <w:pPr>
              <w:rPr>
                <w:b/>
              </w:rPr>
            </w:pPr>
          </w:p>
        </w:tc>
        <w:tc>
          <w:tcPr>
            <w:tcW w:w="6498" w:type="dxa"/>
          </w:tcPr>
          <w:p w:rsidR="003138B8" w:rsidRDefault="00301D5F" w:rsidP="001C340E">
            <w:r>
              <w:t>TBD</w:t>
            </w:r>
          </w:p>
        </w:tc>
      </w:tr>
      <w:tr w:rsidR="003138B8" w:rsidTr="003138B8">
        <w:tc>
          <w:tcPr>
            <w:tcW w:w="3078" w:type="dxa"/>
            <w:shd w:val="clear" w:color="auto" w:fill="D9D9D9" w:themeFill="background1" w:themeFillShade="D9"/>
          </w:tcPr>
          <w:p w:rsidR="003138B8" w:rsidRPr="00301D5F" w:rsidRDefault="003138B8" w:rsidP="001C340E">
            <w:pPr>
              <w:rPr>
                <w:b/>
              </w:rPr>
            </w:pPr>
            <w:r w:rsidRPr="00301D5F">
              <w:rPr>
                <w:b/>
              </w:rPr>
              <w:t>Budget Considerations:</w:t>
            </w:r>
          </w:p>
          <w:p w:rsidR="003138B8" w:rsidRPr="00301D5F" w:rsidRDefault="003138B8" w:rsidP="001C340E">
            <w:pPr>
              <w:rPr>
                <w:b/>
              </w:rPr>
            </w:pPr>
          </w:p>
        </w:tc>
        <w:tc>
          <w:tcPr>
            <w:tcW w:w="6498" w:type="dxa"/>
          </w:tcPr>
          <w:p w:rsidR="003138B8" w:rsidRDefault="00301D5F" w:rsidP="001C340E">
            <w:commentRangeStart w:id="2"/>
            <w:r>
              <w:t>TBD</w:t>
            </w:r>
            <w:commentRangeEnd w:id="2"/>
            <w:r>
              <w:rPr>
                <w:rStyle w:val="CommentReference"/>
              </w:rPr>
              <w:commentReference w:id="2"/>
            </w:r>
          </w:p>
          <w:p w:rsidR="00232FAC" w:rsidRDefault="00232FAC" w:rsidP="00232FAC">
            <w:pPr>
              <w:pStyle w:val="ListParagraph"/>
              <w:numPr>
                <w:ilvl w:val="0"/>
                <w:numId w:val="7"/>
              </w:numPr>
            </w:pPr>
            <w:r>
              <w:t>Data supplied by ICANN will not require additional budget allocation</w:t>
            </w:r>
          </w:p>
          <w:p w:rsidR="00232FAC" w:rsidRDefault="00232FAC" w:rsidP="00232FAC">
            <w:pPr>
              <w:pStyle w:val="ListParagraph"/>
              <w:numPr>
                <w:ilvl w:val="0"/>
                <w:numId w:val="7"/>
              </w:numPr>
            </w:pPr>
            <w:r>
              <w:t>Third party provider to aggregate Registrar data will be required; RFP to be announced</w:t>
            </w:r>
          </w:p>
        </w:tc>
      </w:tr>
    </w:tbl>
    <w:p w:rsidR="00AA5829" w:rsidRDefault="00AA5829"/>
    <w:p w:rsidR="00AA5829" w:rsidRDefault="00AA5829">
      <w:r>
        <w:br w:type="page"/>
      </w:r>
    </w:p>
    <w:tbl>
      <w:tblPr>
        <w:tblStyle w:val="TableGrid"/>
        <w:tblW w:w="0" w:type="auto"/>
        <w:tblLook w:val="04A0" w:firstRow="1" w:lastRow="0" w:firstColumn="1" w:lastColumn="0" w:noHBand="0" w:noVBand="1"/>
      </w:tblPr>
      <w:tblGrid>
        <w:gridCol w:w="3078"/>
        <w:gridCol w:w="6498"/>
      </w:tblGrid>
      <w:tr w:rsidR="00AA5829" w:rsidTr="001C340E">
        <w:tc>
          <w:tcPr>
            <w:tcW w:w="3078" w:type="dxa"/>
            <w:shd w:val="clear" w:color="auto" w:fill="D9D9D9" w:themeFill="background1" w:themeFillShade="D9"/>
          </w:tcPr>
          <w:p w:rsidR="00AA5829" w:rsidRPr="00301D5F" w:rsidRDefault="00AA5829" w:rsidP="001C340E">
            <w:pPr>
              <w:rPr>
                <w:b/>
              </w:rPr>
            </w:pPr>
            <w:r w:rsidRPr="00301D5F">
              <w:rPr>
                <w:b/>
              </w:rPr>
              <w:lastRenderedPageBreak/>
              <w:t>Group Submitting Request:</w:t>
            </w:r>
          </w:p>
          <w:p w:rsidR="00AA5829" w:rsidRPr="00301D5F" w:rsidRDefault="00AA5829" w:rsidP="001C340E">
            <w:pPr>
              <w:rPr>
                <w:b/>
              </w:rPr>
            </w:pPr>
          </w:p>
        </w:tc>
        <w:tc>
          <w:tcPr>
            <w:tcW w:w="6498" w:type="dxa"/>
          </w:tcPr>
          <w:p w:rsidR="00AA5829" w:rsidRDefault="00AA5829" w:rsidP="001C340E">
            <w:commentRangeStart w:id="3"/>
            <w:r>
              <w:t>Subsequent Round PDP</w:t>
            </w:r>
            <w:commentRangeEnd w:id="3"/>
            <w:r>
              <w:rPr>
                <w:rStyle w:val="CommentReference"/>
              </w:rPr>
              <w:commentReference w:id="3"/>
            </w:r>
          </w:p>
        </w:tc>
      </w:tr>
      <w:tr w:rsidR="00AA5829" w:rsidTr="001C340E">
        <w:tc>
          <w:tcPr>
            <w:tcW w:w="3078" w:type="dxa"/>
            <w:shd w:val="clear" w:color="auto" w:fill="D9D9D9" w:themeFill="background1" w:themeFillShade="D9"/>
          </w:tcPr>
          <w:p w:rsidR="00AA5829" w:rsidRPr="00301D5F" w:rsidRDefault="00AA5829" w:rsidP="001C340E">
            <w:pPr>
              <w:rPr>
                <w:b/>
              </w:rPr>
            </w:pPr>
            <w:r w:rsidRPr="00301D5F">
              <w:rPr>
                <w:b/>
              </w:rPr>
              <w:t>Request Date:</w:t>
            </w:r>
          </w:p>
          <w:p w:rsidR="00AA5829" w:rsidRPr="00301D5F" w:rsidRDefault="00AA5829" w:rsidP="001C340E">
            <w:pPr>
              <w:rPr>
                <w:b/>
              </w:rPr>
            </w:pPr>
          </w:p>
        </w:tc>
        <w:tc>
          <w:tcPr>
            <w:tcW w:w="6498" w:type="dxa"/>
          </w:tcPr>
          <w:p w:rsidR="00AA5829" w:rsidRDefault="00AA5829" w:rsidP="001C340E">
            <w:r>
              <w:t>31 December 2015</w:t>
            </w:r>
          </w:p>
        </w:tc>
      </w:tr>
      <w:tr w:rsidR="00AA5829" w:rsidTr="001C340E">
        <w:tc>
          <w:tcPr>
            <w:tcW w:w="3078" w:type="dxa"/>
            <w:shd w:val="clear" w:color="auto" w:fill="D9D9D9" w:themeFill="background1" w:themeFillShade="D9"/>
          </w:tcPr>
          <w:p w:rsidR="00AA5829" w:rsidRPr="00301D5F" w:rsidRDefault="00AA5829" w:rsidP="001C340E">
            <w:pPr>
              <w:rPr>
                <w:b/>
              </w:rPr>
            </w:pPr>
            <w:r w:rsidRPr="00301D5F">
              <w:rPr>
                <w:b/>
              </w:rPr>
              <w:t>Policy or Issue being explored:</w:t>
            </w:r>
          </w:p>
          <w:p w:rsidR="00AA5829" w:rsidRPr="00301D5F" w:rsidRDefault="00AA5829" w:rsidP="001C340E">
            <w:pPr>
              <w:rPr>
                <w:b/>
              </w:rPr>
            </w:pPr>
          </w:p>
        </w:tc>
        <w:tc>
          <w:tcPr>
            <w:tcW w:w="6498" w:type="dxa"/>
          </w:tcPr>
          <w:p w:rsidR="00AA5829" w:rsidRDefault="00AA5829" w:rsidP="001C340E">
            <w:r>
              <w:t xml:space="preserve">Review of </w:t>
            </w:r>
            <w:proofErr w:type="spellStart"/>
            <w:r>
              <w:t>gTLD</w:t>
            </w:r>
            <w:proofErr w:type="spellEnd"/>
            <w:r>
              <w:t xml:space="preserve"> Registry Agreement in terms of Registry Operator compliance to provisions</w:t>
            </w:r>
          </w:p>
          <w:p w:rsidR="00AA5829" w:rsidRDefault="00AA5829" w:rsidP="001C340E"/>
        </w:tc>
      </w:tr>
      <w:tr w:rsidR="00AA5829" w:rsidTr="001C340E">
        <w:tc>
          <w:tcPr>
            <w:tcW w:w="3078" w:type="dxa"/>
            <w:shd w:val="clear" w:color="auto" w:fill="D9D9D9" w:themeFill="background1" w:themeFillShade="D9"/>
          </w:tcPr>
          <w:p w:rsidR="00AA5829" w:rsidRPr="00301D5F" w:rsidRDefault="00AA5829" w:rsidP="001C340E">
            <w:pPr>
              <w:rPr>
                <w:b/>
              </w:rPr>
            </w:pPr>
            <w:r w:rsidRPr="00301D5F">
              <w:rPr>
                <w:b/>
              </w:rPr>
              <w:t>Issue to be solved:</w:t>
            </w:r>
          </w:p>
          <w:p w:rsidR="00AA5829" w:rsidRPr="00301D5F" w:rsidRDefault="00AA5829" w:rsidP="001C340E">
            <w:pPr>
              <w:rPr>
                <w:b/>
              </w:rPr>
            </w:pPr>
          </w:p>
        </w:tc>
        <w:tc>
          <w:tcPr>
            <w:tcW w:w="6498" w:type="dxa"/>
          </w:tcPr>
          <w:p w:rsidR="00AA5829" w:rsidRDefault="00AA5829" w:rsidP="001C340E">
            <w:pPr>
              <w:numPr>
                <w:ilvl w:val="0"/>
                <w:numId w:val="2"/>
              </w:numPr>
              <w:suppressAutoHyphens/>
            </w:pPr>
            <w:r>
              <w:t>TBD</w:t>
            </w:r>
          </w:p>
          <w:p w:rsidR="00AA5829" w:rsidRDefault="00AA5829" w:rsidP="001C340E"/>
        </w:tc>
      </w:tr>
      <w:tr w:rsidR="00AA5829" w:rsidTr="001C340E">
        <w:tc>
          <w:tcPr>
            <w:tcW w:w="3078" w:type="dxa"/>
            <w:shd w:val="clear" w:color="auto" w:fill="D9D9D9" w:themeFill="background1" w:themeFillShade="D9"/>
          </w:tcPr>
          <w:p w:rsidR="00AA5829" w:rsidRPr="00301D5F" w:rsidRDefault="00AA5829" w:rsidP="001C340E">
            <w:pPr>
              <w:rPr>
                <w:b/>
              </w:rPr>
            </w:pPr>
            <w:r w:rsidRPr="00301D5F">
              <w:rPr>
                <w:b/>
              </w:rPr>
              <w:t>Report Requirements:</w:t>
            </w:r>
          </w:p>
          <w:p w:rsidR="00AA5829" w:rsidRPr="00301D5F" w:rsidRDefault="00AA5829" w:rsidP="001C340E">
            <w:pPr>
              <w:rPr>
                <w:b/>
              </w:rPr>
            </w:pPr>
          </w:p>
        </w:tc>
        <w:tc>
          <w:tcPr>
            <w:tcW w:w="6498" w:type="dxa"/>
          </w:tcPr>
          <w:p w:rsidR="00AA5829" w:rsidRDefault="00AA5829" w:rsidP="001C340E">
            <w:pPr>
              <w:pStyle w:val="ListParagraph"/>
              <w:numPr>
                <w:ilvl w:val="0"/>
                <w:numId w:val="8"/>
              </w:numPr>
            </w:pPr>
            <w:r>
              <w:t>Acquire Registry Operator Audit data (aggregated) and structure to include macro level results</w:t>
            </w:r>
          </w:p>
          <w:p w:rsidR="00AA5829" w:rsidRDefault="00AA5829" w:rsidP="001C340E">
            <w:pPr>
              <w:pStyle w:val="ListParagraph"/>
              <w:numPr>
                <w:ilvl w:val="0"/>
                <w:numId w:val="8"/>
              </w:numPr>
            </w:pPr>
          </w:p>
          <w:p w:rsidR="00AA5829" w:rsidRDefault="00AA5829" w:rsidP="001C340E">
            <w:pPr>
              <w:pStyle w:val="ListParagraph"/>
            </w:pPr>
          </w:p>
        </w:tc>
      </w:tr>
      <w:tr w:rsidR="00AA5829" w:rsidTr="001C340E">
        <w:tc>
          <w:tcPr>
            <w:tcW w:w="3078" w:type="dxa"/>
            <w:shd w:val="clear" w:color="auto" w:fill="D9D9D9" w:themeFill="background1" w:themeFillShade="D9"/>
          </w:tcPr>
          <w:p w:rsidR="00AA5829" w:rsidRPr="00301D5F" w:rsidRDefault="00AA5829" w:rsidP="001C340E">
            <w:pPr>
              <w:rPr>
                <w:b/>
              </w:rPr>
            </w:pPr>
            <w:r w:rsidRPr="00301D5F">
              <w:rPr>
                <w:b/>
              </w:rPr>
              <w:t>Responsible Team(s) or Data Source:</w:t>
            </w:r>
          </w:p>
          <w:p w:rsidR="00AA5829" w:rsidRPr="00301D5F" w:rsidRDefault="00AA5829" w:rsidP="001C340E">
            <w:pPr>
              <w:rPr>
                <w:b/>
              </w:rPr>
            </w:pPr>
          </w:p>
        </w:tc>
        <w:tc>
          <w:tcPr>
            <w:tcW w:w="6498" w:type="dxa"/>
          </w:tcPr>
          <w:p w:rsidR="00AA5829" w:rsidRDefault="00AA5829" w:rsidP="001C340E">
            <w:pPr>
              <w:pStyle w:val="ListParagraph"/>
              <w:numPr>
                <w:ilvl w:val="0"/>
                <w:numId w:val="9"/>
              </w:numPr>
            </w:pPr>
            <w:r>
              <w:t>ICANN Contractual Compliance Audit systems and reporting</w:t>
            </w:r>
          </w:p>
          <w:p w:rsidR="00AA5829" w:rsidRDefault="00AA5829" w:rsidP="001C340E">
            <w:pPr>
              <w:pStyle w:val="ListParagraph"/>
              <w:numPr>
                <w:ilvl w:val="0"/>
                <w:numId w:val="9"/>
              </w:numPr>
            </w:pPr>
          </w:p>
          <w:p w:rsidR="00AA5829" w:rsidRDefault="00AA5829" w:rsidP="001C340E">
            <w:pPr>
              <w:pStyle w:val="ListParagraph"/>
            </w:pPr>
          </w:p>
        </w:tc>
      </w:tr>
      <w:tr w:rsidR="00AA5829" w:rsidTr="001C340E">
        <w:tc>
          <w:tcPr>
            <w:tcW w:w="3078" w:type="dxa"/>
            <w:shd w:val="clear" w:color="auto" w:fill="D9D9D9" w:themeFill="background1" w:themeFillShade="D9"/>
          </w:tcPr>
          <w:p w:rsidR="00AA5829" w:rsidRPr="00301D5F" w:rsidRDefault="00AA5829" w:rsidP="001C340E">
            <w:pPr>
              <w:rPr>
                <w:b/>
              </w:rPr>
            </w:pPr>
            <w:r w:rsidRPr="00301D5F">
              <w:rPr>
                <w:b/>
              </w:rPr>
              <w:t>Expected Delivery Date:</w:t>
            </w:r>
          </w:p>
          <w:p w:rsidR="00AA5829" w:rsidRPr="00301D5F" w:rsidRDefault="00AA5829" w:rsidP="001C340E">
            <w:pPr>
              <w:rPr>
                <w:b/>
              </w:rPr>
            </w:pPr>
          </w:p>
        </w:tc>
        <w:tc>
          <w:tcPr>
            <w:tcW w:w="6498" w:type="dxa"/>
          </w:tcPr>
          <w:p w:rsidR="00AA5829" w:rsidRDefault="00AA5829" w:rsidP="001C340E">
            <w:r>
              <w:t>TBD</w:t>
            </w:r>
          </w:p>
        </w:tc>
      </w:tr>
      <w:tr w:rsidR="00AA5829" w:rsidTr="001C340E">
        <w:tc>
          <w:tcPr>
            <w:tcW w:w="3078" w:type="dxa"/>
            <w:shd w:val="clear" w:color="auto" w:fill="D9D9D9" w:themeFill="background1" w:themeFillShade="D9"/>
          </w:tcPr>
          <w:p w:rsidR="00AA5829" w:rsidRPr="00301D5F" w:rsidRDefault="00AA5829" w:rsidP="001C340E">
            <w:pPr>
              <w:rPr>
                <w:b/>
              </w:rPr>
            </w:pPr>
            <w:r w:rsidRPr="00301D5F">
              <w:rPr>
                <w:b/>
              </w:rPr>
              <w:t>Resource Estimation:</w:t>
            </w:r>
          </w:p>
          <w:p w:rsidR="00AA5829" w:rsidRPr="00301D5F" w:rsidRDefault="00AA5829" w:rsidP="001C340E">
            <w:pPr>
              <w:rPr>
                <w:b/>
              </w:rPr>
            </w:pPr>
          </w:p>
        </w:tc>
        <w:tc>
          <w:tcPr>
            <w:tcW w:w="6498" w:type="dxa"/>
          </w:tcPr>
          <w:p w:rsidR="00AA5829" w:rsidRDefault="00AA5829" w:rsidP="001C340E">
            <w:r>
              <w:t>TBD</w:t>
            </w:r>
          </w:p>
        </w:tc>
      </w:tr>
      <w:tr w:rsidR="00AA5829" w:rsidTr="001C340E">
        <w:tc>
          <w:tcPr>
            <w:tcW w:w="3078" w:type="dxa"/>
            <w:shd w:val="clear" w:color="auto" w:fill="D9D9D9" w:themeFill="background1" w:themeFillShade="D9"/>
          </w:tcPr>
          <w:p w:rsidR="00AA5829" w:rsidRPr="00301D5F" w:rsidRDefault="00AA5829" w:rsidP="001C340E">
            <w:pPr>
              <w:rPr>
                <w:b/>
              </w:rPr>
            </w:pPr>
            <w:r w:rsidRPr="00301D5F">
              <w:rPr>
                <w:b/>
              </w:rPr>
              <w:t>Budget Considerations:</w:t>
            </w:r>
          </w:p>
          <w:p w:rsidR="00AA5829" w:rsidRPr="00301D5F" w:rsidRDefault="00AA5829" w:rsidP="001C340E">
            <w:pPr>
              <w:rPr>
                <w:b/>
              </w:rPr>
            </w:pPr>
          </w:p>
        </w:tc>
        <w:tc>
          <w:tcPr>
            <w:tcW w:w="6498" w:type="dxa"/>
          </w:tcPr>
          <w:p w:rsidR="00AA5829" w:rsidRDefault="00AA5829" w:rsidP="001C340E">
            <w:commentRangeStart w:id="4"/>
            <w:r>
              <w:t>TBD</w:t>
            </w:r>
            <w:commentRangeEnd w:id="4"/>
            <w:r>
              <w:rPr>
                <w:rStyle w:val="CommentReference"/>
              </w:rPr>
              <w:commentReference w:id="4"/>
            </w:r>
          </w:p>
          <w:p w:rsidR="00AA5829" w:rsidRDefault="00AA5829" w:rsidP="001C340E">
            <w:pPr>
              <w:pStyle w:val="ListParagraph"/>
              <w:numPr>
                <w:ilvl w:val="0"/>
                <w:numId w:val="10"/>
              </w:numPr>
            </w:pPr>
            <w:r>
              <w:t>Data supplied by ICANN will not require additional budget allocation</w:t>
            </w:r>
          </w:p>
          <w:p w:rsidR="00AA5829" w:rsidRDefault="00AA5829" w:rsidP="001C340E">
            <w:pPr>
              <w:pStyle w:val="ListParagraph"/>
              <w:numPr>
                <w:ilvl w:val="0"/>
                <w:numId w:val="10"/>
              </w:numPr>
            </w:pPr>
          </w:p>
        </w:tc>
      </w:tr>
    </w:tbl>
    <w:p w:rsidR="003138B8" w:rsidRDefault="003138B8"/>
    <w:sectPr w:rsidR="003138B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rry Cobb" w:date="2014-11-03T20:15:00Z" w:initials="BC">
    <w:p w:rsidR="003138B8" w:rsidRDefault="003138B8">
      <w:pPr>
        <w:pStyle w:val="CommentText"/>
      </w:pPr>
      <w:r>
        <w:rPr>
          <w:rStyle w:val="CommentReference"/>
        </w:rPr>
        <w:annotationRef/>
      </w:r>
      <w:r>
        <w:t>Assumes it will be created in the future after Board approval and post IRTP implementation.</w:t>
      </w:r>
    </w:p>
  </w:comment>
  <w:comment w:id="2" w:author="Berry Cobb" w:date="2014-11-03T21:09:00Z" w:initials="BC">
    <w:p w:rsidR="00301D5F" w:rsidRDefault="00301D5F">
      <w:pPr>
        <w:pStyle w:val="CommentText"/>
      </w:pPr>
      <w:r>
        <w:rPr>
          <w:rStyle w:val="CommentReference"/>
        </w:rPr>
        <w:annotationRef/>
      </w:r>
      <w:r>
        <w:t>Assumes Budget is available to meet the request</w:t>
      </w:r>
    </w:p>
  </w:comment>
  <w:comment w:id="3" w:author="Berry Cobb" w:date="2014-11-03T22:08:00Z" w:initials="BC">
    <w:p w:rsidR="00AA5829" w:rsidRDefault="00AA5829" w:rsidP="00AA5829">
      <w:pPr>
        <w:pStyle w:val="CommentText"/>
      </w:pPr>
      <w:r>
        <w:rPr>
          <w:rStyle w:val="CommentReference"/>
        </w:rPr>
        <w:annotationRef/>
      </w:r>
      <w:r>
        <w:t>Hypothetical PDP spawn from Subsequent Round WG efforts</w:t>
      </w:r>
    </w:p>
  </w:comment>
  <w:comment w:id="4" w:author="Berry Cobb" w:date="2014-11-03T22:08:00Z" w:initials="BC">
    <w:p w:rsidR="00AA5829" w:rsidRDefault="00AA5829" w:rsidP="00AA5829">
      <w:pPr>
        <w:pStyle w:val="CommentText"/>
      </w:pPr>
      <w:r>
        <w:rPr>
          <w:rStyle w:val="CommentReference"/>
        </w:rPr>
        <w:annotationRef/>
      </w:r>
      <w:r>
        <w:t>Assumes Budget is available to meet the request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C146D"/>
    <w:multiLevelType w:val="hybridMultilevel"/>
    <w:tmpl w:val="7A9A01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00547"/>
    <w:multiLevelType w:val="hybridMultilevel"/>
    <w:tmpl w:val="28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200DF"/>
    <w:multiLevelType w:val="hybridMultilevel"/>
    <w:tmpl w:val="28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2E4F"/>
    <w:multiLevelType w:val="hybridMultilevel"/>
    <w:tmpl w:val="695ED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D084A"/>
    <w:multiLevelType w:val="hybridMultilevel"/>
    <w:tmpl w:val="73AE4F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0305C"/>
    <w:multiLevelType w:val="hybridMultilevel"/>
    <w:tmpl w:val="28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20780"/>
    <w:multiLevelType w:val="hybridMultilevel"/>
    <w:tmpl w:val="E7A41B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75ECD"/>
    <w:multiLevelType w:val="hybridMultilevel"/>
    <w:tmpl w:val="6220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20B88"/>
    <w:multiLevelType w:val="hybridMultilevel"/>
    <w:tmpl w:val="695ED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3807A8"/>
    <w:multiLevelType w:val="hybridMultilevel"/>
    <w:tmpl w:val="695ED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4"/>
  </w:num>
  <w:num w:numId="5">
    <w:abstractNumId w:val="8"/>
  </w:num>
  <w:num w:numId="6">
    <w:abstractNumId w:val="2"/>
  </w:num>
  <w:num w:numId="7">
    <w:abstractNumId w:val="6"/>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B8"/>
    <w:rsid w:val="00085523"/>
    <w:rsid w:val="001B5F39"/>
    <w:rsid w:val="001E55DB"/>
    <w:rsid w:val="00232FAC"/>
    <w:rsid w:val="00301D5F"/>
    <w:rsid w:val="003138B8"/>
    <w:rsid w:val="003838CB"/>
    <w:rsid w:val="003A19CD"/>
    <w:rsid w:val="004C2465"/>
    <w:rsid w:val="00AA5829"/>
    <w:rsid w:val="00BD1428"/>
    <w:rsid w:val="00EB5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38B8"/>
    <w:rPr>
      <w:sz w:val="16"/>
      <w:szCs w:val="16"/>
    </w:rPr>
  </w:style>
  <w:style w:type="paragraph" w:styleId="CommentText">
    <w:name w:val="annotation text"/>
    <w:basedOn w:val="Normal"/>
    <w:link w:val="CommentTextChar"/>
    <w:uiPriority w:val="99"/>
    <w:semiHidden/>
    <w:unhideWhenUsed/>
    <w:rsid w:val="003138B8"/>
    <w:pPr>
      <w:spacing w:line="240" w:lineRule="auto"/>
    </w:pPr>
    <w:rPr>
      <w:sz w:val="20"/>
      <w:szCs w:val="20"/>
    </w:rPr>
  </w:style>
  <w:style w:type="character" w:customStyle="1" w:styleId="CommentTextChar">
    <w:name w:val="Comment Text Char"/>
    <w:basedOn w:val="DefaultParagraphFont"/>
    <w:link w:val="CommentText"/>
    <w:uiPriority w:val="99"/>
    <w:semiHidden/>
    <w:rsid w:val="003138B8"/>
    <w:rPr>
      <w:sz w:val="20"/>
      <w:szCs w:val="20"/>
    </w:rPr>
  </w:style>
  <w:style w:type="paragraph" w:styleId="CommentSubject">
    <w:name w:val="annotation subject"/>
    <w:basedOn w:val="CommentText"/>
    <w:next w:val="CommentText"/>
    <w:link w:val="CommentSubjectChar"/>
    <w:uiPriority w:val="99"/>
    <w:semiHidden/>
    <w:unhideWhenUsed/>
    <w:rsid w:val="003138B8"/>
    <w:rPr>
      <w:b/>
      <w:bCs/>
    </w:rPr>
  </w:style>
  <w:style w:type="character" w:customStyle="1" w:styleId="CommentSubjectChar">
    <w:name w:val="Comment Subject Char"/>
    <w:basedOn w:val="CommentTextChar"/>
    <w:link w:val="CommentSubject"/>
    <w:uiPriority w:val="99"/>
    <w:semiHidden/>
    <w:rsid w:val="003138B8"/>
    <w:rPr>
      <w:b/>
      <w:bCs/>
      <w:sz w:val="20"/>
      <w:szCs w:val="20"/>
    </w:rPr>
  </w:style>
  <w:style w:type="paragraph" w:styleId="BalloonText">
    <w:name w:val="Balloon Text"/>
    <w:basedOn w:val="Normal"/>
    <w:link w:val="BalloonTextChar"/>
    <w:uiPriority w:val="99"/>
    <w:semiHidden/>
    <w:unhideWhenUsed/>
    <w:rsid w:val="0031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B8"/>
    <w:rPr>
      <w:rFonts w:ascii="Tahoma" w:hAnsi="Tahoma" w:cs="Tahoma"/>
      <w:sz w:val="16"/>
      <w:szCs w:val="16"/>
    </w:rPr>
  </w:style>
  <w:style w:type="paragraph" w:styleId="ListParagraph">
    <w:name w:val="List Paragraph"/>
    <w:basedOn w:val="Normal"/>
    <w:uiPriority w:val="34"/>
    <w:qFormat/>
    <w:rsid w:val="00EB5F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38B8"/>
    <w:rPr>
      <w:sz w:val="16"/>
      <w:szCs w:val="16"/>
    </w:rPr>
  </w:style>
  <w:style w:type="paragraph" w:styleId="CommentText">
    <w:name w:val="annotation text"/>
    <w:basedOn w:val="Normal"/>
    <w:link w:val="CommentTextChar"/>
    <w:uiPriority w:val="99"/>
    <w:semiHidden/>
    <w:unhideWhenUsed/>
    <w:rsid w:val="003138B8"/>
    <w:pPr>
      <w:spacing w:line="240" w:lineRule="auto"/>
    </w:pPr>
    <w:rPr>
      <w:sz w:val="20"/>
      <w:szCs w:val="20"/>
    </w:rPr>
  </w:style>
  <w:style w:type="character" w:customStyle="1" w:styleId="CommentTextChar">
    <w:name w:val="Comment Text Char"/>
    <w:basedOn w:val="DefaultParagraphFont"/>
    <w:link w:val="CommentText"/>
    <w:uiPriority w:val="99"/>
    <w:semiHidden/>
    <w:rsid w:val="003138B8"/>
    <w:rPr>
      <w:sz w:val="20"/>
      <w:szCs w:val="20"/>
    </w:rPr>
  </w:style>
  <w:style w:type="paragraph" w:styleId="CommentSubject">
    <w:name w:val="annotation subject"/>
    <w:basedOn w:val="CommentText"/>
    <w:next w:val="CommentText"/>
    <w:link w:val="CommentSubjectChar"/>
    <w:uiPriority w:val="99"/>
    <w:semiHidden/>
    <w:unhideWhenUsed/>
    <w:rsid w:val="003138B8"/>
    <w:rPr>
      <w:b/>
      <w:bCs/>
    </w:rPr>
  </w:style>
  <w:style w:type="character" w:customStyle="1" w:styleId="CommentSubjectChar">
    <w:name w:val="Comment Subject Char"/>
    <w:basedOn w:val="CommentTextChar"/>
    <w:link w:val="CommentSubject"/>
    <w:uiPriority w:val="99"/>
    <w:semiHidden/>
    <w:rsid w:val="003138B8"/>
    <w:rPr>
      <w:b/>
      <w:bCs/>
      <w:sz w:val="20"/>
      <w:szCs w:val="20"/>
    </w:rPr>
  </w:style>
  <w:style w:type="paragraph" w:styleId="BalloonText">
    <w:name w:val="Balloon Text"/>
    <w:basedOn w:val="Normal"/>
    <w:link w:val="BalloonTextChar"/>
    <w:uiPriority w:val="99"/>
    <w:semiHidden/>
    <w:unhideWhenUsed/>
    <w:rsid w:val="0031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B8"/>
    <w:rPr>
      <w:rFonts w:ascii="Tahoma" w:hAnsi="Tahoma" w:cs="Tahoma"/>
      <w:sz w:val="16"/>
      <w:szCs w:val="16"/>
    </w:rPr>
  </w:style>
  <w:style w:type="paragraph" w:styleId="ListParagraph">
    <w:name w:val="List Paragraph"/>
    <w:basedOn w:val="Normal"/>
    <w:uiPriority w:val="34"/>
    <w:qFormat/>
    <w:rsid w:val="00EB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4750</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Steve Chan</cp:lastModifiedBy>
  <cp:revision>2</cp:revision>
  <dcterms:created xsi:type="dcterms:W3CDTF">2014-11-04T19:03:00Z</dcterms:created>
  <dcterms:modified xsi:type="dcterms:W3CDTF">2014-11-04T19:03:00Z</dcterms:modified>
</cp:coreProperties>
</file>