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63" w:rsidRPr="00AA3723" w:rsidRDefault="00176258" w:rsidP="00364763">
      <w:pPr>
        <w:pStyle w:val="MemoHeading"/>
        <w:rPr>
          <w:rFonts w:asciiTheme="majorHAnsi" w:hAnsiTheme="majorHAnsi"/>
        </w:rPr>
      </w:pPr>
      <w:bookmarkStart w:id="0" w:name="bmkMemoHeading"/>
      <w:r w:rsidRPr="00AA3723">
        <w:rPr>
          <w:rFonts w:asciiTheme="majorHAnsi" w:hAnsiTheme="majorHAnsi"/>
        </w:rPr>
        <w:t>MEMORANDUM</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236"/>
      </w:tblGrid>
      <w:tr w:rsidR="00027C51" w:rsidRPr="00AA3723" w:rsidTr="00176258">
        <w:tc>
          <w:tcPr>
            <w:tcW w:w="2050" w:type="dxa"/>
          </w:tcPr>
          <w:p w:rsidR="00364763" w:rsidRPr="00AA3723" w:rsidRDefault="00176258" w:rsidP="005D7FA5">
            <w:pPr>
              <w:pStyle w:val="BBBodyTextNoSpacing"/>
              <w:rPr>
                <w:rFonts w:asciiTheme="majorHAnsi" w:hAnsiTheme="majorHAnsi"/>
                <w:b/>
              </w:rPr>
            </w:pPr>
            <w:bookmarkStart w:id="1" w:name="labTo"/>
            <w:r w:rsidRPr="00AA3723">
              <w:rPr>
                <w:rFonts w:asciiTheme="majorHAnsi" w:hAnsiTheme="majorHAnsi"/>
                <w:b/>
              </w:rPr>
              <w:t>To</w:t>
            </w:r>
            <w:bookmarkEnd w:id="1"/>
            <w:r w:rsidR="00364763" w:rsidRPr="00AA3723">
              <w:rPr>
                <w:rFonts w:asciiTheme="majorHAnsi" w:hAnsiTheme="majorHAnsi"/>
                <w:b/>
              </w:rPr>
              <w:t>:</w:t>
            </w:r>
          </w:p>
        </w:tc>
        <w:tc>
          <w:tcPr>
            <w:tcW w:w="7236" w:type="dxa"/>
          </w:tcPr>
          <w:p w:rsidR="00364763" w:rsidRPr="00AA3723" w:rsidRDefault="00176258" w:rsidP="005D7FA5">
            <w:pPr>
              <w:pStyle w:val="BBBodyTextNoSpacing"/>
              <w:rPr>
                <w:rFonts w:asciiTheme="majorHAnsi" w:hAnsiTheme="majorHAnsi"/>
              </w:rPr>
            </w:pPr>
            <w:bookmarkStart w:id="2" w:name="bmkTo"/>
            <w:r w:rsidRPr="00AA3723">
              <w:rPr>
                <w:rFonts w:asciiTheme="majorHAnsi" w:hAnsiTheme="majorHAnsi"/>
              </w:rPr>
              <w:t>Internet Corporation for Assigned Names and Numbers</w:t>
            </w:r>
            <w:bookmarkEnd w:id="2"/>
            <w:r w:rsidR="00B64626" w:rsidRPr="00AA3723">
              <w:rPr>
                <w:rFonts w:asciiTheme="majorHAnsi" w:hAnsiTheme="majorHAnsi"/>
              </w:rPr>
              <w:t>, EPDP Team</w:t>
            </w:r>
          </w:p>
        </w:tc>
      </w:tr>
      <w:tr w:rsidR="00027C51" w:rsidRPr="00AA3723" w:rsidTr="00176258">
        <w:tc>
          <w:tcPr>
            <w:tcW w:w="2050" w:type="dxa"/>
          </w:tcPr>
          <w:p w:rsidR="00364763" w:rsidRPr="001B35BD" w:rsidRDefault="00176258" w:rsidP="005D7FA5">
            <w:pPr>
              <w:pStyle w:val="BBBodyTextNoSpacing"/>
              <w:rPr>
                <w:rFonts w:asciiTheme="majorHAnsi" w:hAnsiTheme="majorHAnsi"/>
                <w:b/>
              </w:rPr>
            </w:pPr>
            <w:bookmarkStart w:id="3" w:name="labFrom"/>
            <w:r w:rsidRPr="00AA3723">
              <w:rPr>
                <w:rFonts w:asciiTheme="majorHAnsi" w:hAnsiTheme="majorHAnsi"/>
                <w:b/>
              </w:rPr>
              <w:t>From</w:t>
            </w:r>
            <w:bookmarkEnd w:id="3"/>
            <w:r w:rsidR="00364763" w:rsidRPr="00AA3723">
              <w:rPr>
                <w:rFonts w:asciiTheme="majorHAnsi" w:hAnsiTheme="majorHAnsi"/>
                <w:b/>
              </w:rPr>
              <w:t>:</w:t>
            </w:r>
          </w:p>
        </w:tc>
        <w:tc>
          <w:tcPr>
            <w:tcW w:w="7236" w:type="dxa"/>
          </w:tcPr>
          <w:p w:rsidR="00364763" w:rsidRPr="00AA3723" w:rsidRDefault="00176258" w:rsidP="005D7FA5">
            <w:pPr>
              <w:pStyle w:val="BBBodyTextNoSpacing"/>
              <w:rPr>
                <w:rFonts w:asciiTheme="majorHAnsi" w:hAnsiTheme="majorHAnsi"/>
              </w:rPr>
            </w:pPr>
            <w:bookmarkStart w:id="4" w:name="bmkFrom"/>
            <w:r w:rsidRPr="00AA3723">
              <w:rPr>
                <w:rFonts w:asciiTheme="majorHAnsi" w:hAnsiTheme="majorHAnsi"/>
              </w:rPr>
              <w:t>Ruth Boardman</w:t>
            </w:r>
            <w:bookmarkEnd w:id="4"/>
            <w:r w:rsidR="00B64626" w:rsidRPr="00AA3723">
              <w:rPr>
                <w:rFonts w:asciiTheme="majorHAnsi" w:hAnsiTheme="majorHAnsi"/>
              </w:rPr>
              <w:t xml:space="preserve"> &amp; Gabe </w:t>
            </w:r>
            <w:proofErr w:type="spellStart"/>
            <w:r w:rsidR="00B64626" w:rsidRPr="00AA3723">
              <w:rPr>
                <w:rFonts w:asciiTheme="majorHAnsi" w:hAnsiTheme="majorHAnsi"/>
              </w:rPr>
              <w:t>Maldoff</w:t>
            </w:r>
            <w:proofErr w:type="spellEnd"/>
          </w:p>
        </w:tc>
      </w:tr>
      <w:tr w:rsidR="00027C51" w:rsidRPr="00AA3723" w:rsidTr="00176258">
        <w:tc>
          <w:tcPr>
            <w:tcW w:w="2050" w:type="dxa"/>
          </w:tcPr>
          <w:p w:rsidR="00364763" w:rsidRPr="001B35BD" w:rsidRDefault="00176258" w:rsidP="005D7FA5">
            <w:pPr>
              <w:pStyle w:val="BBBodyTextNoSpacing"/>
              <w:rPr>
                <w:rFonts w:asciiTheme="majorHAnsi" w:hAnsiTheme="majorHAnsi"/>
                <w:b/>
              </w:rPr>
            </w:pPr>
            <w:bookmarkStart w:id="5" w:name="labDate"/>
            <w:r w:rsidRPr="00AA3723">
              <w:rPr>
                <w:rFonts w:asciiTheme="majorHAnsi" w:hAnsiTheme="majorHAnsi"/>
                <w:b/>
              </w:rPr>
              <w:t>Date</w:t>
            </w:r>
            <w:bookmarkEnd w:id="5"/>
            <w:r w:rsidR="00364763" w:rsidRPr="00AA3723">
              <w:rPr>
                <w:rFonts w:asciiTheme="majorHAnsi" w:hAnsiTheme="majorHAnsi"/>
                <w:b/>
              </w:rPr>
              <w:t>:</w:t>
            </w:r>
          </w:p>
        </w:tc>
        <w:tc>
          <w:tcPr>
            <w:tcW w:w="7236" w:type="dxa"/>
          </w:tcPr>
          <w:p w:rsidR="00364763" w:rsidRPr="00AA3723" w:rsidRDefault="00A63CA9" w:rsidP="00B64626">
            <w:pPr>
              <w:pStyle w:val="BBBodyTextNoSpacing"/>
              <w:rPr>
                <w:rFonts w:asciiTheme="majorHAnsi" w:hAnsiTheme="majorHAnsi"/>
              </w:rPr>
            </w:pPr>
            <w:bookmarkStart w:id="6" w:name="bmkDate"/>
            <w:r>
              <w:rPr>
                <w:rFonts w:asciiTheme="majorHAnsi" w:hAnsiTheme="majorHAnsi"/>
              </w:rPr>
              <w:t>23rd</w:t>
            </w:r>
            <w:r w:rsidR="00176258" w:rsidRPr="00AA3723">
              <w:rPr>
                <w:rFonts w:asciiTheme="majorHAnsi" w:hAnsiTheme="majorHAnsi"/>
              </w:rPr>
              <w:t xml:space="preserve"> January 2019</w:t>
            </w:r>
            <w:bookmarkEnd w:id="6"/>
          </w:p>
        </w:tc>
      </w:tr>
      <w:tr w:rsidR="00027C51" w:rsidRPr="00AA3723" w:rsidTr="00176258">
        <w:tc>
          <w:tcPr>
            <w:tcW w:w="2050" w:type="dxa"/>
          </w:tcPr>
          <w:p w:rsidR="00364763" w:rsidRPr="001B35BD" w:rsidRDefault="00176258" w:rsidP="005D7FA5">
            <w:pPr>
              <w:pStyle w:val="BBBodyTextNoSpacing"/>
              <w:rPr>
                <w:rFonts w:asciiTheme="majorHAnsi" w:hAnsiTheme="majorHAnsi"/>
                <w:b/>
              </w:rPr>
            </w:pPr>
            <w:bookmarkStart w:id="7" w:name="labRe"/>
            <w:r w:rsidRPr="00AA3723">
              <w:rPr>
                <w:rFonts w:asciiTheme="majorHAnsi" w:hAnsiTheme="majorHAnsi"/>
                <w:b/>
              </w:rPr>
              <w:t>Subject</w:t>
            </w:r>
            <w:bookmarkEnd w:id="7"/>
            <w:r w:rsidR="00364763" w:rsidRPr="00AA3723">
              <w:rPr>
                <w:rFonts w:asciiTheme="majorHAnsi" w:hAnsiTheme="majorHAnsi"/>
                <w:b/>
              </w:rPr>
              <w:t>:</w:t>
            </w:r>
          </w:p>
        </w:tc>
        <w:tc>
          <w:tcPr>
            <w:tcW w:w="7236" w:type="dxa"/>
          </w:tcPr>
          <w:p w:rsidR="00364763" w:rsidRPr="00AA3723" w:rsidRDefault="00176258" w:rsidP="005D7FA5">
            <w:pPr>
              <w:pStyle w:val="BBBodyTextNoSpacing"/>
              <w:rPr>
                <w:rFonts w:asciiTheme="majorHAnsi" w:hAnsiTheme="majorHAnsi"/>
              </w:rPr>
            </w:pPr>
            <w:bookmarkStart w:id="8" w:name="bmkRe"/>
            <w:r w:rsidRPr="00AA3723">
              <w:rPr>
                <w:rFonts w:asciiTheme="majorHAnsi" w:hAnsiTheme="majorHAnsi"/>
              </w:rPr>
              <w:t>Advice on Interpretation of Article 6(1)(b) of the General Data Protection Regulation (Regulation (EU) 2016/679, "GDPR")</w:t>
            </w:r>
            <w:bookmarkEnd w:id="8"/>
          </w:p>
        </w:tc>
      </w:tr>
    </w:tbl>
    <w:p w:rsidR="00D42BAE" w:rsidRPr="00AA3723" w:rsidRDefault="00D42BAE" w:rsidP="007A55C9">
      <w:pPr>
        <w:pBdr>
          <w:bottom w:val="single" w:sz="12" w:space="1" w:color="auto"/>
        </w:pBdr>
        <w:spacing w:after="0"/>
        <w:rPr>
          <w:rFonts w:asciiTheme="majorHAnsi" w:eastAsia="Calibri" w:hAnsiTheme="majorHAnsi" w:cs="Calibri"/>
          <w:sz w:val="20"/>
        </w:rPr>
      </w:pPr>
    </w:p>
    <w:p w:rsidR="007A55C9" w:rsidRPr="00AA3723" w:rsidRDefault="007A55C9" w:rsidP="007A55C9">
      <w:pPr>
        <w:autoSpaceDE w:val="0"/>
        <w:autoSpaceDN w:val="0"/>
        <w:spacing w:after="0"/>
        <w:rPr>
          <w:rFonts w:asciiTheme="majorHAnsi" w:eastAsia="Calibri" w:hAnsiTheme="majorHAnsi" w:cs="Calibri"/>
          <w:szCs w:val="22"/>
        </w:rPr>
      </w:pPr>
    </w:p>
    <w:p w:rsidR="007A55C9" w:rsidRPr="00AA3723" w:rsidRDefault="007A55C9" w:rsidP="007A55C9">
      <w:pPr>
        <w:autoSpaceDE w:val="0"/>
        <w:autoSpaceDN w:val="0"/>
        <w:spacing w:after="0"/>
        <w:rPr>
          <w:rFonts w:asciiTheme="majorHAnsi" w:eastAsia="Calibri" w:hAnsiTheme="majorHAnsi" w:cs="Calibri"/>
          <w:szCs w:val="22"/>
        </w:rPr>
      </w:pPr>
    </w:p>
    <w:p w:rsidR="007A55C9" w:rsidRPr="00AA3723" w:rsidRDefault="007A55C9" w:rsidP="007A55C9">
      <w:pPr>
        <w:autoSpaceDE w:val="0"/>
        <w:autoSpaceDN w:val="0"/>
        <w:spacing w:after="0"/>
        <w:rPr>
          <w:rFonts w:asciiTheme="majorHAnsi" w:eastAsia="Calibri" w:hAnsiTheme="majorHAnsi" w:cs="Calibri"/>
          <w:b/>
          <w:szCs w:val="22"/>
        </w:rPr>
      </w:pPr>
      <w:r w:rsidRPr="00AA3723">
        <w:rPr>
          <w:rFonts w:asciiTheme="majorHAnsi" w:eastAsia="Calibri" w:hAnsiTheme="majorHAnsi" w:cs="Calibri"/>
          <w:b/>
          <w:szCs w:val="22"/>
        </w:rPr>
        <w:t>Background</w:t>
      </w:r>
    </w:p>
    <w:p w:rsidR="007A55C9" w:rsidRPr="00AA3723" w:rsidRDefault="007A55C9" w:rsidP="007A55C9">
      <w:pPr>
        <w:autoSpaceDE w:val="0"/>
        <w:autoSpaceDN w:val="0"/>
        <w:spacing w:after="0"/>
        <w:rPr>
          <w:rFonts w:asciiTheme="majorHAnsi" w:eastAsia="Calibri" w:hAnsiTheme="majorHAnsi" w:cs="Calibri"/>
          <w:b/>
          <w:szCs w:val="22"/>
        </w:rPr>
      </w:pPr>
    </w:p>
    <w:p w:rsidR="007269AB" w:rsidRPr="00AA3723" w:rsidRDefault="007269AB" w:rsidP="007269AB">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The EPDP Team has asked two questions about the application of Article 6(1)b:</w:t>
      </w:r>
    </w:p>
    <w:p w:rsidR="007269AB" w:rsidRPr="00AA3723" w:rsidRDefault="007269AB" w:rsidP="007269AB">
      <w:pPr>
        <w:autoSpaceDE w:val="0"/>
        <w:autoSpaceDN w:val="0"/>
        <w:spacing w:after="0"/>
        <w:ind w:left="720"/>
        <w:rPr>
          <w:rFonts w:asciiTheme="majorHAnsi" w:eastAsia="Calibri" w:hAnsiTheme="majorHAnsi" w:cs="Calibri"/>
          <w:szCs w:val="22"/>
        </w:rPr>
      </w:pPr>
    </w:p>
    <w:p w:rsidR="007269AB" w:rsidRPr="00AA3723" w:rsidRDefault="007A55C9" w:rsidP="009A227E">
      <w:pPr>
        <w:numPr>
          <w:ilvl w:val="1"/>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D</w:t>
      </w:r>
      <w:r w:rsidR="007269AB" w:rsidRPr="00AA3723">
        <w:rPr>
          <w:rFonts w:asciiTheme="majorHAnsi" w:eastAsia="Calibri" w:hAnsiTheme="majorHAnsi" w:cs="Calibri"/>
          <w:szCs w:val="22"/>
        </w:rPr>
        <w:t xml:space="preserve">oes the reference </w:t>
      </w:r>
      <w:r w:rsidR="005952EA" w:rsidRPr="00AA3723">
        <w:rPr>
          <w:rFonts w:asciiTheme="majorHAnsi" w:eastAsia="Calibri" w:hAnsiTheme="majorHAnsi" w:cs="Calibri"/>
          <w:szCs w:val="22"/>
        </w:rPr>
        <w:t>'</w:t>
      </w:r>
      <w:r w:rsidR="007269AB" w:rsidRPr="00AA3723">
        <w:rPr>
          <w:rFonts w:asciiTheme="majorHAnsi" w:eastAsia="Calibri" w:hAnsiTheme="majorHAnsi" w:cs="Calibri"/>
          <w:i/>
          <w:iCs/>
          <w:szCs w:val="22"/>
        </w:rPr>
        <w:t>to which the data subject is party</w:t>
      </w:r>
      <w:r w:rsidR="005952EA" w:rsidRPr="00AA3723">
        <w:rPr>
          <w:rFonts w:asciiTheme="majorHAnsi" w:eastAsia="Calibri" w:hAnsiTheme="majorHAnsi" w:cs="Calibri"/>
          <w:iCs/>
          <w:szCs w:val="22"/>
        </w:rPr>
        <w:t>'</w:t>
      </w:r>
      <w:r w:rsidR="007269AB" w:rsidRPr="00AA3723">
        <w:rPr>
          <w:rFonts w:asciiTheme="majorHAnsi" w:eastAsia="Calibri" w:hAnsiTheme="majorHAnsi" w:cs="Calibri"/>
          <w:szCs w:val="22"/>
        </w:rPr>
        <w:t xml:space="preserve"> limit the use of this lawful basis only </w:t>
      </w:r>
      <w:r w:rsidR="00B64626" w:rsidRPr="00AA3723">
        <w:rPr>
          <w:rFonts w:asciiTheme="majorHAnsi" w:eastAsia="Calibri" w:hAnsiTheme="majorHAnsi" w:cs="Calibri"/>
          <w:szCs w:val="22"/>
        </w:rPr>
        <w:t xml:space="preserve">to </w:t>
      </w:r>
      <w:r w:rsidR="007269AB" w:rsidRPr="00AA3723">
        <w:rPr>
          <w:rFonts w:asciiTheme="majorHAnsi" w:eastAsia="Calibri" w:hAnsiTheme="majorHAnsi" w:cs="Calibri"/>
          <w:szCs w:val="22"/>
        </w:rPr>
        <w:t>those entities that</w:t>
      </w:r>
      <w:r w:rsidR="009A227E" w:rsidRPr="00AA3723">
        <w:rPr>
          <w:rFonts w:asciiTheme="majorHAnsi" w:eastAsia="Calibri" w:hAnsiTheme="majorHAnsi" w:cs="Calibri"/>
          <w:szCs w:val="22"/>
        </w:rPr>
        <w:t xml:space="preserve"> </w:t>
      </w:r>
      <w:r w:rsidR="007269AB" w:rsidRPr="00AA3723">
        <w:rPr>
          <w:rFonts w:asciiTheme="majorHAnsi" w:eastAsia="Calibri" w:hAnsiTheme="majorHAnsi" w:cs="Calibri"/>
          <w:szCs w:val="22"/>
        </w:rPr>
        <w:t xml:space="preserve">have a direct contractual relationship with the Registered Name Holder? </w:t>
      </w:r>
    </w:p>
    <w:p w:rsidR="007A55C9" w:rsidRPr="00AA3723" w:rsidRDefault="007A55C9" w:rsidP="007A55C9">
      <w:pPr>
        <w:autoSpaceDE w:val="0"/>
        <w:autoSpaceDN w:val="0"/>
        <w:spacing w:after="0"/>
        <w:ind w:left="1440"/>
        <w:rPr>
          <w:rFonts w:asciiTheme="majorHAnsi" w:eastAsia="Calibri" w:hAnsiTheme="majorHAnsi" w:cs="Calibri"/>
          <w:szCs w:val="22"/>
        </w:rPr>
      </w:pPr>
    </w:p>
    <w:p w:rsidR="007269AB" w:rsidRPr="00AA3723" w:rsidRDefault="009A227E" w:rsidP="007269AB">
      <w:pPr>
        <w:numPr>
          <w:ilvl w:val="1"/>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 xml:space="preserve">Does </w:t>
      </w:r>
      <w:r w:rsidR="005952EA" w:rsidRPr="00AA3723">
        <w:rPr>
          <w:rFonts w:asciiTheme="majorHAnsi" w:eastAsia="Calibri" w:hAnsiTheme="majorHAnsi" w:cs="Calibri"/>
          <w:szCs w:val="22"/>
        </w:rPr>
        <w:t>"</w:t>
      </w:r>
      <w:r w:rsidR="007269AB" w:rsidRPr="00AA3723">
        <w:rPr>
          <w:rFonts w:asciiTheme="majorHAnsi" w:eastAsia="Calibri" w:hAnsiTheme="majorHAnsi" w:cs="Calibri"/>
          <w:i/>
          <w:iCs/>
          <w:szCs w:val="22"/>
        </w:rPr>
        <w:t>necessary for the performance of a contract</w:t>
      </w:r>
      <w:r w:rsidR="005952EA" w:rsidRPr="00AA3723">
        <w:rPr>
          <w:rFonts w:asciiTheme="majorHAnsi" w:eastAsia="Calibri" w:hAnsiTheme="majorHAnsi" w:cs="Calibri"/>
          <w:iCs/>
          <w:szCs w:val="22"/>
        </w:rPr>
        <w:t>"</w:t>
      </w:r>
      <w:r w:rsidR="007269AB" w:rsidRPr="00AA3723">
        <w:rPr>
          <w:rFonts w:asciiTheme="majorHAnsi" w:eastAsia="Calibri" w:hAnsiTheme="majorHAnsi" w:cs="Calibri"/>
          <w:szCs w:val="22"/>
        </w:rPr>
        <w:t xml:space="preserve"> relate solely to the registration and activation of a domain, or, alternatively,</w:t>
      </w:r>
      <w:r w:rsidR="009729A5" w:rsidRPr="00AA3723">
        <w:rPr>
          <w:rFonts w:asciiTheme="majorHAnsi" w:eastAsia="Calibri" w:hAnsiTheme="majorHAnsi" w:cs="Calibri"/>
          <w:szCs w:val="22"/>
        </w:rPr>
        <w:t xml:space="preserve"> </w:t>
      </w:r>
      <w:r w:rsidR="007269AB" w:rsidRPr="00AA3723">
        <w:rPr>
          <w:rFonts w:asciiTheme="majorHAnsi" w:eastAsia="Calibri" w:hAnsiTheme="majorHAnsi" w:cs="Calibri"/>
          <w:szCs w:val="22"/>
        </w:rPr>
        <w:t>could related activities such as fighting DNS abuse also be considered necessary for the performance of</w:t>
      </w:r>
      <w:r w:rsidR="009729A5" w:rsidRPr="00AA3723">
        <w:rPr>
          <w:rFonts w:asciiTheme="majorHAnsi" w:eastAsia="Calibri" w:hAnsiTheme="majorHAnsi" w:cs="Calibri"/>
          <w:szCs w:val="22"/>
        </w:rPr>
        <w:t xml:space="preserve"> </w:t>
      </w:r>
      <w:r w:rsidR="007269AB" w:rsidRPr="00AA3723">
        <w:rPr>
          <w:rFonts w:asciiTheme="majorHAnsi" w:eastAsia="Calibri" w:hAnsiTheme="majorHAnsi" w:cs="Calibri"/>
          <w:szCs w:val="22"/>
        </w:rPr>
        <w:t>a contract?</w:t>
      </w:r>
    </w:p>
    <w:p w:rsidR="007269AB" w:rsidRPr="00AA3723" w:rsidRDefault="007269AB" w:rsidP="007269AB">
      <w:pPr>
        <w:autoSpaceDE w:val="0"/>
        <w:autoSpaceDN w:val="0"/>
        <w:spacing w:after="0"/>
        <w:rPr>
          <w:rFonts w:asciiTheme="majorHAnsi" w:eastAsia="Calibri" w:hAnsiTheme="majorHAnsi" w:cs="Calibri"/>
          <w:szCs w:val="22"/>
        </w:rPr>
      </w:pPr>
    </w:p>
    <w:p w:rsidR="007A55C9" w:rsidRPr="00AA3723" w:rsidRDefault="007A55C9" w:rsidP="007A55C9">
      <w:pPr>
        <w:autoSpaceDE w:val="0"/>
        <w:autoSpaceDN w:val="0"/>
        <w:spacing w:after="0"/>
        <w:rPr>
          <w:rFonts w:asciiTheme="majorHAnsi" w:eastAsia="Calibri" w:hAnsiTheme="majorHAnsi" w:cs="Calibri"/>
          <w:b/>
          <w:szCs w:val="22"/>
        </w:rPr>
      </w:pPr>
      <w:r w:rsidRPr="00AA3723">
        <w:rPr>
          <w:rFonts w:asciiTheme="majorHAnsi" w:eastAsia="Calibri" w:hAnsiTheme="majorHAnsi" w:cs="Calibri"/>
          <w:b/>
          <w:szCs w:val="22"/>
        </w:rPr>
        <w:t xml:space="preserve">Question </w:t>
      </w:r>
      <w:r w:rsidR="00B90375" w:rsidRPr="00AA3723">
        <w:rPr>
          <w:rFonts w:asciiTheme="majorHAnsi" w:eastAsia="Calibri" w:hAnsiTheme="majorHAnsi" w:cs="Calibri"/>
          <w:b/>
          <w:szCs w:val="22"/>
        </w:rPr>
        <w:t>a)</w:t>
      </w:r>
    </w:p>
    <w:p w:rsidR="007A55C9" w:rsidRPr="00AA3723" w:rsidRDefault="007A55C9" w:rsidP="007A55C9">
      <w:pPr>
        <w:autoSpaceDE w:val="0"/>
        <w:autoSpaceDN w:val="0"/>
        <w:spacing w:after="0"/>
        <w:rPr>
          <w:rFonts w:asciiTheme="majorHAnsi" w:eastAsia="Calibri" w:hAnsiTheme="majorHAnsi" w:cs="Calibri"/>
          <w:b/>
          <w:szCs w:val="22"/>
        </w:rPr>
      </w:pPr>
    </w:p>
    <w:p w:rsidR="007269AB" w:rsidRPr="00AA3723" w:rsidRDefault="007269AB" w:rsidP="007269AB">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Article 6(1) of the GDPR provides that processing of personal data shall be lawful only if and to the extent that one of the lawful bases for processing listed in Article 6</w:t>
      </w:r>
      <w:r w:rsidR="005952EA" w:rsidRPr="00AA3723">
        <w:rPr>
          <w:rFonts w:asciiTheme="majorHAnsi" w:eastAsia="Calibri" w:hAnsiTheme="majorHAnsi" w:cs="Calibri"/>
          <w:szCs w:val="22"/>
        </w:rPr>
        <w:t>(1)</w:t>
      </w:r>
      <w:r w:rsidRPr="00AA3723">
        <w:rPr>
          <w:rFonts w:asciiTheme="majorHAnsi" w:eastAsia="Calibri" w:hAnsiTheme="majorHAnsi" w:cs="Calibri"/>
          <w:szCs w:val="22"/>
        </w:rPr>
        <w:t xml:space="preserve"> applies. Article 6(1)(b) applies where:</w:t>
      </w:r>
    </w:p>
    <w:p w:rsidR="007A55C9" w:rsidRPr="00AA3723" w:rsidRDefault="007A55C9" w:rsidP="007A55C9">
      <w:pPr>
        <w:autoSpaceDE w:val="0"/>
        <w:autoSpaceDN w:val="0"/>
        <w:spacing w:after="0"/>
        <w:ind w:left="720"/>
        <w:rPr>
          <w:rFonts w:asciiTheme="majorHAnsi" w:eastAsia="Calibri" w:hAnsiTheme="majorHAnsi" w:cs="Calibri"/>
          <w:szCs w:val="22"/>
        </w:rPr>
      </w:pPr>
    </w:p>
    <w:p w:rsidR="007269AB" w:rsidRPr="00AA3723" w:rsidRDefault="007269AB" w:rsidP="007269AB">
      <w:pPr>
        <w:autoSpaceDE w:val="0"/>
        <w:autoSpaceDN w:val="0"/>
        <w:spacing w:after="0"/>
        <w:ind w:left="720"/>
        <w:rPr>
          <w:rFonts w:asciiTheme="majorHAnsi" w:eastAsia="Calibri" w:hAnsiTheme="majorHAnsi" w:cs="Calibri"/>
          <w:szCs w:val="22"/>
        </w:rPr>
      </w:pPr>
      <w:r w:rsidRPr="00AA3723">
        <w:rPr>
          <w:rFonts w:asciiTheme="majorHAnsi" w:eastAsia="Calibri" w:hAnsiTheme="majorHAnsi" w:cs="Calibri"/>
          <w:iCs/>
          <w:szCs w:val="22"/>
        </w:rPr>
        <w:t>"</w:t>
      </w:r>
      <w:proofErr w:type="gramStart"/>
      <w:r w:rsidRPr="00AA3723">
        <w:rPr>
          <w:rFonts w:asciiTheme="majorHAnsi" w:eastAsia="Calibri" w:hAnsiTheme="majorHAnsi" w:cs="Calibri"/>
          <w:i/>
          <w:iCs/>
          <w:szCs w:val="22"/>
        </w:rPr>
        <w:t>processing</w:t>
      </w:r>
      <w:proofErr w:type="gramEnd"/>
      <w:r w:rsidRPr="00AA3723">
        <w:rPr>
          <w:rFonts w:asciiTheme="majorHAnsi" w:eastAsia="Calibri" w:hAnsiTheme="majorHAnsi" w:cs="Calibri"/>
          <w:i/>
          <w:iCs/>
          <w:szCs w:val="22"/>
        </w:rPr>
        <w:t xml:space="preserve"> is necessary for the performance of a contract to which the data subject is party or in order to take steps at the request of the data subject prior to entering into a contract</w:t>
      </w:r>
      <w:r w:rsidRPr="00AA3723">
        <w:rPr>
          <w:rFonts w:asciiTheme="majorHAnsi" w:eastAsia="Calibri" w:hAnsiTheme="majorHAnsi" w:cs="Calibri"/>
          <w:iCs/>
          <w:szCs w:val="22"/>
        </w:rPr>
        <w:t>"</w:t>
      </w:r>
      <w:r w:rsidRPr="00AA3723">
        <w:rPr>
          <w:rFonts w:asciiTheme="majorHAnsi" w:eastAsia="Calibri" w:hAnsiTheme="majorHAnsi" w:cs="Calibri"/>
          <w:szCs w:val="22"/>
        </w:rPr>
        <w:t xml:space="preserve">. </w:t>
      </w:r>
    </w:p>
    <w:p w:rsidR="007269AB" w:rsidRPr="00AA3723" w:rsidRDefault="007269AB" w:rsidP="007269AB">
      <w:pPr>
        <w:autoSpaceDE w:val="0"/>
        <w:autoSpaceDN w:val="0"/>
        <w:spacing w:after="0"/>
        <w:ind w:left="720"/>
        <w:rPr>
          <w:rFonts w:asciiTheme="majorHAnsi" w:eastAsia="Calibri" w:hAnsiTheme="majorHAnsi" w:cs="Calibri"/>
          <w:szCs w:val="22"/>
        </w:rPr>
      </w:pPr>
    </w:p>
    <w:p w:rsidR="007269AB" w:rsidRPr="00AA3723" w:rsidRDefault="007269AB" w:rsidP="007269AB">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 xml:space="preserve">The equivalent provision under Directive 95/46/EC (Article 7(b)) was identical </w:t>
      </w:r>
      <w:r w:rsidR="005952EA" w:rsidRPr="00AA3723">
        <w:rPr>
          <w:rFonts w:asciiTheme="majorHAnsi" w:eastAsia="Calibri" w:hAnsiTheme="majorHAnsi" w:cs="Calibri"/>
          <w:szCs w:val="22"/>
        </w:rPr>
        <w:t xml:space="preserve">in its </w:t>
      </w:r>
      <w:r w:rsidRPr="00AA3723">
        <w:rPr>
          <w:rFonts w:asciiTheme="majorHAnsi" w:eastAsia="Calibri" w:hAnsiTheme="majorHAnsi" w:cs="Calibri"/>
          <w:szCs w:val="22"/>
        </w:rPr>
        <w:t xml:space="preserve">terms. The Article 29 Working Party provided guidance on the interpretation of this (and other) lawful bases in its </w:t>
      </w:r>
      <w:r w:rsidRPr="00AA3723">
        <w:rPr>
          <w:rFonts w:asciiTheme="majorHAnsi" w:eastAsia="Calibri" w:hAnsiTheme="majorHAnsi" w:cs="Calibri"/>
          <w:i/>
          <w:iCs/>
          <w:szCs w:val="22"/>
        </w:rPr>
        <w:t>Opinion 06/2014 on the notion of legitimate interests of the data controller under Article 7 of Directive 95/46/EC</w:t>
      </w:r>
      <w:r w:rsidRPr="00AA3723">
        <w:rPr>
          <w:rFonts w:asciiTheme="majorHAnsi" w:eastAsia="Calibri" w:hAnsiTheme="majorHAnsi" w:cs="Calibri"/>
          <w:szCs w:val="22"/>
        </w:rPr>
        <w:t>, adopted on 9 April 2014 under reference WP217 ("WP217").</w:t>
      </w:r>
    </w:p>
    <w:p w:rsidR="007269AB" w:rsidRPr="00AA3723" w:rsidRDefault="007269AB" w:rsidP="007269AB">
      <w:pPr>
        <w:autoSpaceDE w:val="0"/>
        <w:autoSpaceDN w:val="0"/>
        <w:spacing w:after="0"/>
        <w:ind w:left="720"/>
        <w:rPr>
          <w:rFonts w:asciiTheme="majorHAnsi" w:eastAsia="Calibri" w:hAnsiTheme="majorHAnsi" w:cs="Calibri"/>
          <w:szCs w:val="22"/>
        </w:rPr>
      </w:pPr>
    </w:p>
    <w:p w:rsidR="007269AB" w:rsidRPr="00AA3723" w:rsidRDefault="007269AB" w:rsidP="007269AB">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Article 6(1</w:t>
      </w:r>
      <w:proofErr w:type="gramStart"/>
      <w:r w:rsidRPr="00AA3723">
        <w:rPr>
          <w:rFonts w:asciiTheme="majorHAnsi" w:eastAsia="Calibri" w:hAnsiTheme="majorHAnsi" w:cs="Calibri"/>
          <w:szCs w:val="22"/>
        </w:rPr>
        <w:t>)(</w:t>
      </w:r>
      <w:proofErr w:type="gramEnd"/>
      <w:r w:rsidRPr="00AA3723">
        <w:rPr>
          <w:rFonts w:asciiTheme="majorHAnsi" w:eastAsia="Calibri" w:hAnsiTheme="majorHAnsi" w:cs="Calibri"/>
          <w:szCs w:val="22"/>
        </w:rPr>
        <w:t xml:space="preserve">b) is clear that the </w:t>
      </w:r>
      <w:r w:rsidRPr="00AA3723">
        <w:rPr>
          <w:rFonts w:asciiTheme="majorHAnsi" w:eastAsia="Calibri" w:hAnsiTheme="majorHAnsi" w:cs="Calibri"/>
          <w:szCs w:val="22"/>
          <w:u w:val="single"/>
        </w:rPr>
        <w:t>data subject</w:t>
      </w:r>
      <w:r w:rsidRPr="00AA3723">
        <w:rPr>
          <w:rFonts w:asciiTheme="majorHAnsi" w:eastAsia="Calibri" w:hAnsiTheme="majorHAnsi" w:cs="Calibri"/>
          <w:szCs w:val="22"/>
        </w:rPr>
        <w:t xml:space="preserve"> has to be a party to the contract (or to make requests prior to a contract). Accordingly, Article 6(1</w:t>
      </w:r>
      <w:proofErr w:type="gramStart"/>
      <w:r w:rsidRPr="00AA3723">
        <w:rPr>
          <w:rFonts w:asciiTheme="majorHAnsi" w:eastAsia="Calibri" w:hAnsiTheme="majorHAnsi" w:cs="Calibri"/>
          <w:szCs w:val="22"/>
        </w:rPr>
        <w:t>)(</w:t>
      </w:r>
      <w:proofErr w:type="gramEnd"/>
      <w:r w:rsidRPr="00AA3723">
        <w:rPr>
          <w:rFonts w:asciiTheme="majorHAnsi" w:eastAsia="Calibri" w:hAnsiTheme="majorHAnsi" w:cs="Calibri"/>
          <w:szCs w:val="22"/>
        </w:rPr>
        <w:t xml:space="preserve">b) would be relevant when an individual is the registered name holder and has provided his or her own contact details, but would not be relevant if the contact details relate to someone other than the particular data subject (either because the registered name holder is a different living individual, or because the registered name holder is not a natural person). </w:t>
      </w:r>
    </w:p>
    <w:p w:rsidR="007269AB" w:rsidRPr="00AA3723" w:rsidRDefault="007269AB" w:rsidP="007269AB">
      <w:pPr>
        <w:spacing w:after="0"/>
        <w:ind w:left="720"/>
        <w:rPr>
          <w:rFonts w:asciiTheme="majorHAnsi" w:eastAsia="Calibri" w:hAnsiTheme="majorHAnsi" w:cs="Calibri"/>
          <w:szCs w:val="22"/>
        </w:rPr>
      </w:pPr>
    </w:p>
    <w:p w:rsidR="00AF327B" w:rsidRPr="00F93584" w:rsidRDefault="003A199A" w:rsidP="00F46DE2">
      <w:pPr>
        <w:pStyle w:val="ListParagraph"/>
        <w:numPr>
          <w:ilvl w:val="0"/>
          <w:numId w:val="47"/>
        </w:numPr>
        <w:autoSpaceDE w:val="0"/>
        <w:autoSpaceDN w:val="0"/>
        <w:spacing w:after="0"/>
        <w:rPr>
          <w:rFonts w:asciiTheme="majorHAnsi" w:eastAsia="Calibri" w:hAnsiTheme="majorHAnsi" w:cs="Calibri"/>
          <w:szCs w:val="22"/>
        </w:rPr>
      </w:pPr>
      <w:r w:rsidRPr="00F93584">
        <w:rPr>
          <w:rFonts w:asciiTheme="majorHAnsi" w:eastAsia="Calibri" w:hAnsiTheme="majorHAnsi" w:cs="Calibri"/>
          <w:szCs w:val="22"/>
        </w:rPr>
        <w:t xml:space="preserve">However, </w:t>
      </w:r>
      <w:proofErr w:type="gramStart"/>
      <w:r w:rsidRPr="00F93584">
        <w:rPr>
          <w:rFonts w:asciiTheme="majorHAnsi" w:eastAsia="Calibri" w:hAnsiTheme="majorHAnsi" w:cs="Calibri"/>
          <w:szCs w:val="22"/>
        </w:rPr>
        <w:t>n</w:t>
      </w:r>
      <w:r w:rsidR="007269AB" w:rsidRPr="00F93584">
        <w:rPr>
          <w:rFonts w:asciiTheme="majorHAnsi" w:eastAsia="Calibri" w:hAnsiTheme="majorHAnsi" w:cs="Calibri"/>
          <w:szCs w:val="22"/>
        </w:rPr>
        <w:t>either Directive 95/46/EC nor the GDPR</w:t>
      </w:r>
      <w:proofErr w:type="gramEnd"/>
      <w:r w:rsidR="00DD59E6" w:rsidRPr="00F93584">
        <w:rPr>
          <w:rFonts w:asciiTheme="majorHAnsi" w:eastAsia="Calibri" w:hAnsiTheme="majorHAnsi" w:cs="Calibri"/>
          <w:szCs w:val="22"/>
        </w:rPr>
        <w:t xml:space="preserve"> </w:t>
      </w:r>
      <w:r w:rsidR="007269AB" w:rsidRPr="00F93584">
        <w:rPr>
          <w:rFonts w:asciiTheme="majorHAnsi" w:eastAsia="Calibri" w:hAnsiTheme="majorHAnsi" w:cs="Calibri"/>
          <w:szCs w:val="22"/>
        </w:rPr>
        <w:t xml:space="preserve">state that the controller has to be the party to the contract with the data subject. </w:t>
      </w:r>
      <w:r w:rsidR="001E64E3" w:rsidRPr="00F46DE2">
        <w:rPr>
          <w:rFonts w:asciiTheme="majorHAnsi" w:eastAsia="Calibri" w:hAnsiTheme="majorHAnsi" w:cs="Calibri"/>
          <w:szCs w:val="22"/>
        </w:rPr>
        <w:t>There are no cases on this point from the CJEU, or under English, Belgium, French, or German law</w:t>
      </w:r>
      <w:r w:rsidR="001E64E3" w:rsidRPr="00F46DE2">
        <w:rPr>
          <w:rStyle w:val="FootnoteReference"/>
          <w:rFonts w:asciiTheme="majorHAnsi" w:eastAsia="Calibri" w:hAnsiTheme="majorHAnsi" w:cs="Calibri"/>
          <w:szCs w:val="22"/>
        </w:rPr>
        <w:footnoteReference w:id="1"/>
      </w:r>
      <w:r w:rsidR="001E64E3" w:rsidRPr="00F46DE2">
        <w:rPr>
          <w:rFonts w:asciiTheme="majorHAnsi" w:eastAsia="Calibri" w:hAnsiTheme="majorHAnsi" w:cs="Calibri"/>
          <w:szCs w:val="22"/>
        </w:rPr>
        <w:t xml:space="preserve">. </w:t>
      </w:r>
      <w:r w:rsidR="00AB16E8" w:rsidRPr="00F46DE2">
        <w:rPr>
          <w:rFonts w:asciiTheme="majorHAnsi" w:eastAsia="Calibri" w:hAnsiTheme="majorHAnsi" w:cs="Calibri"/>
          <w:szCs w:val="22"/>
        </w:rPr>
        <w:t>This</w:t>
      </w:r>
      <w:r w:rsidR="00AB16E8" w:rsidRPr="00F93584">
        <w:rPr>
          <w:rFonts w:asciiTheme="majorHAnsi" w:eastAsia="Calibri" w:hAnsiTheme="majorHAnsi" w:cs="Calibri"/>
          <w:szCs w:val="22"/>
        </w:rPr>
        <w:t xml:space="preserve"> issue is also not directly addressed in </w:t>
      </w:r>
      <w:r w:rsidR="00DD59E6" w:rsidRPr="00F93584">
        <w:rPr>
          <w:rFonts w:asciiTheme="majorHAnsi" w:eastAsia="Calibri" w:hAnsiTheme="majorHAnsi" w:cs="Calibri"/>
          <w:szCs w:val="22"/>
        </w:rPr>
        <w:t>WP217</w:t>
      </w:r>
      <w:r w:rsidR="00A72C00" w:rsidRPr="00F93584">
        <w:rPr>
          <w:rFonts w:asciiTheme="majorHAnsi" w:eastAsia="Calibri" w:hAnsiTheme="majorHAnsi" w:cs="Calibri"/>
          <w:szCs w:val="22"/>
        </w:rPr>
        <w:t xml:space="preserve"> </w:t>
      </w:r>
      <w:r w:rsidR="000A0CBE" w:rsidRPr="00F93584">
        <w:rPr>
          <w:rFonts w:asciiTheme="majorHAnsi" w:eastAsia="Calibri" w:hAnsiTheme="majorHAnsi" w:cs="Calibri"/>
          <w:szCs w:val="22"/>
        </w:rPr>
        <w:t>- although</w:t>
      </w:r>
      <w:r w:rsidR="00A72C00" w:rsidRPr="00F93584">
        <w:rPr>
          <w:rFonts w:asciiTheme="majorHAnsi" w:eastAsia="Calibri" w:hAnsiTheme="majorHAnsi" w:cs="Calibri"/>
          <w:szCs w:val="22"/>
        </w:rPr>
        <w:t xml:space="preserve"> in all the examples of this lawful basis included in the Opinion, the controller is a party to the contract – which </w:t>
      </w:r>
      <w:r w:rsidR="00A72C00" w:rsidRPr="00F93584">
        <w:rPr>
          <w:rFonts w:asciiTheme="majorHAnsi" w:eastAsia="Calibri" w:hAnsiTheme="majorHAnsi" w:cs="Calibri"/>
          <w:i/>
          <w:szCs w:val="22"/>
        </w:rPr>
        <w:t>may</w:t>
      </w:r>
      <w:r w:rsidR="00A72C00" w:rsidRPr="00F93584">
        <w:rPr>
          <w:rFonts w:asciiTheme="majorHAnsi" w:eastAsia="Calibri" w:hAnsiTheme="majorHAnsi" w:cs="Calibri"/>
          <w:szCs w:val="22"/>
        </w:rPr>
        <w:t xml:space="preserve"> suggest that WP29 thinks the condition should be restricted to a controller which is a contracting party. This is also the approach of the UK Information Commissioner, where the Commissioner's </w:t>
      </w:r>
      <w:r w:rsidR="00A72C00" w:rsidRPr="00F93584">
        <w:rPr>
          <w:rFonts w:asciiTheme="majorHAnsi" w:eastAsia="Calibri" w:hAnsiTheme="majorHAnsi" w:cs="Calibri"/>
          <w:i/>
          <w:szCs w:val="22"/>
        </w:rPr>
        <w:t>Guide</w:t>
      </w:r>
      <w:r w:rsidR="00A72C00" w:rsidRPr="00F93584">
        <w:rPr>
          <w:rFonts w:asciiTheme="majorHAnsi" w:eastAsia="Calibri" w:hAnsiTheme="majorHAnsi" w:cs="Calibri"/>
          <w:szCs w:val="22"/>
        </w:rPr>
        <w:t xml:space="preserve"> </w:t>
      </w:r>
      <w:r w:rsidR="00A72C00" w:rsidRPr="00F93584">
        <w:rPr>
          <w:rFonts w:asciiTheme="majorHAnsi" w:eastAsia="Calibri" w:hAnsiTheme="majorHAnsi" w:cs="Calibri"/>
          <w:i/>
          <w:szCs w:val="22"/>
        </w:rPr>
        <w:t xml:space="preserve">to </w:t>
      </w:r>
      <w:r w:rsidR="002E23C5" w:rsidRPr="00F93584">
        <w:rPr>
          <w:rFonts w:asciiTheme="majorHAnsi" w:eastAsia="Calibri" w:hAnsiTheme="majorHAnsi" w:cs="Calibri"/>
          <w:i/>
          <w:szCs w:val="22"/>
        </w:rPr>
        <w:t xml:space="preserve">Data </w:t>
      </w:r>
      <w:r w:rsidR="00377D74" w:rsidRPr="00F93584">
        <w:rPr>
          <w:rFonts w:asciiTheme="majorHAnsi" w:eastAsia="Calibri" w:hAnsiTheme="majorHAnsi" w:cs="Calibri"/>
          <w:i/>
          <w:szCs w:val="22"/>
        </w:rPr>
        <w:t xml:space="preserve">Protection </w:t>
      </w:r>
      <w:r w:rsidR="00377D74" w:rsidRPr="00F93584">
        <w:rPr>
          <w:rFonts w:asciiTheme="majorHAnsi" w:eastAsia="Calibri" w:hAnsiTheme="majorHAnsi" w:cs="Calibri"/>
          <w:szCs w:val="22"/>
        </w:rPr>
        <w:t>states</w:t>
      </w:r>
      <w:r w:rsidR="002E23C5" w:rsidRPr="00F93584">
        <w:rPr>
          <w:rFonts w:asciiTheme="majorHAnsi" w:eastAsia="Calibri" w:hAnsiTheme="majorHAnsi" w:cs="Calibri"/>
          <w:szCs w:val="22"/>
        </w:rPr>
        <w:t xml:space="preserve"> that this applies where "</w:t>
      </w:r>
      <w:r w:rsidR="002E23C5" w:rsidRPr="00F93584">
        <w:rPr>
          <w:rFonts w:asciiTheme="majorHAnsi" w:hAnsiTheme="majorHAnsi" w:cs="Arial"/>
          <w:i/>
          <w:color w:val="000000"/>
          <w:sz w:val="23"/>
          <w:szCs w:val="23"/>
          <w:u w:val="single"/>
          <w:lang w:val="en"/>
        </w:rPr>
        <w:t>you</w:t>
      </w:r>
      <w:r w:rsidR="002E23C5" w:rsidRPr="00F93584">
        <w:rPr>
          <w:rFonts w:asciiTheme="majorHAnsi" w:hAnsiTheme="majorHAnsi" w:cs="Arial"/>
          <w:i/>
          <w:color w:val="000000"/>
          <w:sz w:val="23"/>
          <w:szCs w:val="23"/>
          <w:lang w:val="en"/>
        </w:rPr>
        <w:t xml:space="preserve"> have a contract with the individual and you need to process their personal data to comply with your obligations under the contract</w:t>
      </w:r>
      <w:r w:rsidR="002E23C5" w:rsidRPr="00F93584">
        <w:rPr>
          <w:rFonts w:asciiTheme="majorHAnsi" w:hAnsiTheme="majorHAnsi" w:cs="Arial"/>
          <w:color w:val="000000"/>
          <w:sz w:val="23"/>
          <w:szCs w:val="23"/>
          <w:lang w:val="en"/>
        </w:rPr>
        <w:t>" (emphasis added).</w:t>
      </w:r>
      <w:r w:rsidR="00774996" w:rsidRPr="00F93584">
        <w:rPr>
          <w:rFonts w:asciiTheme="majorHAnsi" w:hAnsiTheme="majorHAnsi"/>
        </w:rPr>
        <w:t xml:space="preserve"> </w:t>
      </w:r>
      <w:r w:rsidR="00F46DE2">
        <w:rPr>
          <w:rFonts w:asciiTheme="majorHAnsi" w:hAnsiTheme="majorHAnsi"/>
        </w:rPr>
        <w:t xml:space="preserve"> The Belgian data protection authority has similar guidance (</w:t>
      </w:r>
      <w:hyperlink r:id="rId9" w:history="1">
        <w:r w:rsidR="00F46DE2" w:rsidRPr="00C50D77">
          <w:rPr>
            <w:rStyle w:val="Hyperlink"/>
            <w:rFonts w:asciiTheme="majorHAnsi" w:hAnsiTheme="majorHAnsi"/>
          </w:rPr>
          <w:t>https://www.autoriteprotectiondonnees.be/marketing-direct/vous-souhaitez-envoyer/une-relation-pre-contractuelle-directe</w:t>
        </w:r>
      </w:hyperlink>
      <w:r w:rsidR="00F46DE2">
        <w:rPr>
          <w:rFonts w:asciiTheme="majorHAnsi" w:hAnsiTheme="majorHAnsi"/>
        </w:rPr>
        <w:t xml:space="preserve">.  The headline of the guidance talks about performance of a contract which "you" have concluded with the individual).  </w:t>
      </w:r>
      <w:r w:rsidR="00774996" w:rsidRPr="00F93584">
        <w:rPr>
          <w:rFonts w:asciiTheme="majorHAnsi" w:hAnsiTheme="majorHAnsi" w:cs="Arial"/>
          <w:color w:val="000000"/>
          <w:sz w:val="23"/>
          <w:szCs w:val="23"/>
          <w:lang w:val="en"/>
        </w:rPr>
        <w:t xml:space="preserve">The opinion provided previously by the law firm Hamilton to ICANN in its memorandum dated 21st December 2017 (para.2.4.3) also stated that Article 6(1)(b) would not be an appropriate basis. </w:t>
      </w:r>
    </w:p>
    <w:p w:rsidR="00F93584" w:rsidRPr="00F93584" w:rsidRDefault="00F93584" w:rsidP="00F93584">
      <w:pPr>
        <w:pStyle w:val="ListParagraph"/>
        <w:autoSpaceDE w:val="0"/>
        <w:autoSpaceDN w:val="0"/>
        <w:spacing w:after="0"/>
        <w:rPr>
          <w:rFonts w:asciiTheme="majorHAnsi" w:eastAsia="Calibri" w:hAnsiTheme="majorHAnsi" w:cs="Calibri"/>
          <w:szCs w:val="22"/>
        </w:rPr>
      </w:pPr>
    </w:p>
    <w:p w:rsidR="00AF327B" w:rsidRPr="00AA3723" w:rsidRDefault="00774996" w:rsidP="00F93584">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 xml:space="preserve">A number </w:t>
      </w:r>
      <w:r w:rsidR="00892F0A" w:rsidRPr="00AA3723">
        <w:rPr>
          <w:rFonts w:asciiTheme="majorHAnsi" w:eastAsia="Calibri" w:hAnsiTheme="majorHAnsi" w:cs="Calibri"/>
          <w:szCs w:val="22"/>
        </w:rPr>
        <w:t>of commentators</w:t>
      </w:r>
      <w:r w:rsidR="00AF327B" w:rsidRPr="00AA3723">
        <w:rPr>
          <w:rFonts w:asciiTheme="majorHAnsi" w:eastAsia="Calibri" w:hAnsiTheme="majorHAnsi" w:cs="Calibri"/>
          <w:szCs w:val="22"/>
        </w:rPr>
        <w:t xml:space="preserve"> in Germany have argued that Article 6(1</w:t>
      </w:r>
      <w:proofErr w:type="gramStart"/>
      <w:r w:rsidR="00AF327B" w:rsidRPr="00AA3723">
        <w:rPr>
          <w:rFonts w:asciiTheme="majorHAnsi" w:eastAsia="Calibri" w:hAnsiTheme="majorHAnsi" w:cs="Calibri"/>
          <w:szCs w:val="22"/>
        </w:rPr>
        <w:t>)(</w:t>
      </w:r>
      <w:proofErr w:type="gramEnd"/>
      <w:r w:rsidR="00AF327B" w:rsidRPr="00AA3723">
        <w:rPr>
          <w:rFonts w:asciiTheme="majorHAnsi" w:eastAsia="Calibri" w:hAnsiTheme="majorHAnsi" w:cs="Calibri"/>
          <w:szCs w:val="22"/>
        </w:rPr>
        <w:t xml:space="preserve">b) </w:t>
      </w:r>
      <w:r w:rsidR="00AF327B" w:rsidRPr="00AA3723">
        <w:rPr>
          <w:rFonts w:asciiTheme="majorHAnsi" w:eastAsia="Calibri" w:hAnsiTheme="majorHAnsi" w:cs="Calibri"/>
          <w:i/>
          <w:szCs w:val="22"/>
        </w:rPr>
        <w:t>can</w:t>
      </w:r>
      <w:r w:rsidR="00AF327B" w:rsidRPr="00AA3723">
        <w:rPr>
          <w:rFonts w:asciiTheme="majorHAnsi" w:eastAsia="Calibri" w:hAnsiTheme="majorHAnsi" w:cs="Calibri"/>
          <w:szCs w:val="22"/>
        </w:rPr>
        <w:t xml:space="preserve"> apply where the controller is not a party to the contract</w:t>
      </w:r>
      <w:r w:rsidR="008B0518" w:rsidRPr="00AA3723">
        <w:rPr>
          <w:rStyle w:val="FootnoteReference"/>
          <w:rFonts w:asciiTheme="majorHAnsi" w:eastAsia="Calibri" w:hAnsiTheme="majorHAnsi" w:cs="Calibri"/>
          <w:szCs w:val="22"/>
        </w:rPr>
        <w:footnoteReference w:id="2"/>
      </w:r>
      <w:r w:rsidR="008B0518" w:rsidRPr="00AA3723">
        <w:rPr>
          <w:rFonts w:asciiTheme="majorHAnsi" w:eastAsia="Calibri" w:hAnsiTheme="majorHAnsi" w:cs="Calibri"/>
          <w:szCs w:val="22"/>
        </w:rPr>
        <w:t>. Among these, Spiros Simitis  et al. provide the most comprehensive explanation</w:t>
      </w:r>
      <w:r w:rsidR="00AF327B" w:rsidRPr="00AA3723">
        <w:rPr>
          <w:rFonts w:asciiTheme="majorHAnsi" w:eastAsia="Calibri" w:hAnsiTheme="majorHAnsi" w:cs="Calibri"/>
          <w:szCs w:val="22"/>
        </w:rPr>
        <w:t xml:space="preserve">: </w:t>
      </w:r>
    </w:p>
    <w:p w:rsidR="00AF327B" w:rsidRPr="00AA3723" w:rsidRDefault="00AF327B" w:rsidP="00AF327B">
      <w:pPr>
        <w:autoSpaceDE w:val="0"/>
        <w:autoSpaceDN w:val="0"/>
        <w:spacing w:after="0"/>
        <w:ind w:left="1440"/>
        <w:rPr>
          <w:rFonts w:asciiTheme="majorHAnsi" w:eastAsia="Calibri" w:hAnsiTheme="majorHAnsi" w:cs="Calibri"/>
          <w:szCs w:val="22"/>
        </w:rPr>
      </w:pPr>
    </w:p>
    <w:p w:rsidR="00AF327B" w:rsidRPr="00AA3723" w:rsidRDefault="008B0518" w:rsidP="00AF327B">
      <w:pPr>
        <w:autoSpaceDE w:val="0"/>
        <w:autoSpaceDN w:val="0"/>
        <w:spacing w:after="0"/>
        <w:ind w:left="1440"/>
        <w:rPr>
          <w:rFonts w:asciiTheme="majorHAnsi" w:eastAsia="Calibri" w:hAnsiTheme="majorHAnsi" w:cs="Calibri"/>
          <w:szCs w:val="22"/>
        </w:rPr>
      </w:pPr>
      <w:r w:rsidRPr="00AA3723">
        <w:rPr>
          <w:rFonts w:asciiTheme="majorHAnsi" w:eastAsia="Calibri" w:hAnsiTheme="majorHAnsi" w:cs="Calibri"/>
          <w:szCs w:val="22"/>
        </w:rPr>
        <w:t>"</w:t>
      </w:r>
      <w:r w:rsidRPr="00AA3723">
        <w:rPr>
          <w:rFonts w:asciiTheme="majorHAnsi" w:eastAsia="Calibri" w:hAnsiTheme="majorHAnsi" w:cs="Calibri"/>
          <w:i/>
          <w:szCs w:val="22"/>
        </w:rPr>
        <w:t>[</w:t>
      </w:r>
      <w:r w:rsidRPr="00AA3723">
        <w:rPr>
          <w:rFonts w:asciiTheme="majorHAnsi" w:eastAsia="Calibri" w:hAnsiTheme="majorHAnsi" w:cs="Calibri"/>
          <w:szCs w:val="22"/>
        </w:rPr>
        <w:t>Article 6(1</w:t>
      </w:r>
      <w:proofErr w:type="gramStart"/>
      <w:r w:rsidRPr="00AA3723">
        <w:rPr>
          <w:rFonts w:asciiTheme="majorHAnsi" w:eastAsia="Calibri" w:hAnsiTheme="majorHAnsi" w:cs="Calibri"/>
          <w:szCs w:val="22"/>
        </w:rPr>
        <w:t>)(</w:t>
      </w:r>
      <w:proofErr w:type="gramEnd"/>
      <w:r w:rsidRPr="00AA3723">
        <w:rPr>
          <w:rFonts w:asciiTheme="majorHAnsi" w:eastAsia="Calibri" w:hAnsiTheme="majorHAnsi" w:cs="Calibri"/>
          <w:szCs w:val="22"/>
        </w:rPr>
        <w:t>b)</w:t>
      </w:r>
      <w:r w:rsidRPr="00AA3723">
        <w:rPr>
          <w:rFonts w:asciiTheme="majorHAnsi" w:eastAsia="Calibri" w:hAnsiTheme="majorHAnsi" w:cs="Calibri"/>
          <w:i/>
          <w:szCs w:val="22"/>
        </w:rPr>
        <w:t xml:space="preserve">] – unlike the similar provisions for contractual contexts in Art. </w:t>
      </w:r>
      <w:proofErr w:type="gramStart"/>
      <w:r w:rsidRPr="00AA3723">
        <w:rPr>
          <w:rFonts w:asciiTheme="majorHAnsi" w:eastAsia="Calibri" w:hAnsiTheme="majorHAnsi" w:cs="Calibri"/>
          <w:i/>
          <w:szCs w:val="22"/>
        </w:rPr>
        <w:t>49 para.</w:t>
      </w:r>
      <w:proofErr w:type="gramEnd"/>
      <w:r w:rsidRPr="00AA3723">
        <w:rPr>
          <w:rFonts w:asciiTheme="majorHAnsi" w:eastAsia="Calibri" w:hAnsiTheme="majorHAnsi" w:cs="Calibri"/>
          <w:i/>
          <w:szCs w:val="22"/>
        </w:rPr>
        <w:t xml:space="preserve"> </w:t>
      </w:r>
      <w:proofErr w:type="gramStart"/>
      <w:r w:rsidRPr="00AA3723">
        <w:rPr>
          <w:rFonts w:asciiTheme="majorHAnsi" w:eastAsia="Calibri" w:hAnsiTheme="majorHAnsi" w:cs="Calibri"/>
          <w:i/>
          <w:szCs w:val="22"/>
        </w:rPr>
        <w:t xml:space="preserve">1 </w:t>
      </w:r>
      <w:proofErr w:type="spellStart"/>
      <w:r w:rsidRPr="00AA3723">
        <w:rPr>
          <w:rFonts w:asciiTheme="majorHAnsi" w:eastAsia="Calibri" w:hAnsiTheme="majorHAnsi" w:cs="Calibri"/>
          <w:i/>
          <w:szCs w:val="22"/>
        </w:rPr>
        <w:t>subpara</w:t>
      </w:r>
      <w:proofErr w:type="spellEnd"/>
      <w:r w:rsidRPr="00AA3723">
        <w:rPr>
          <w:rFonts w:asciiTheme="majorHAnsi" w:eastAsia="Calibri" w:hAnsiTheme="majorHAnsi" w:cs="Calibri"/>
          <w:i/>
          <w:szCs w:val="22"/>
        </w:rPr>
        <w:t>.</w:t>
      </w:r>
      <w:proofErr w:type="gramEnd"/>
      <w:r w:rsidRPr="00AA3723">
        <w:rPr>
          <w:rFonts w:asciiTheme="majorHAnsi" w:eastAsia="Calibri" w:hAnsiTheme="majorHAnsi" w:cs="Calibri"/>
          <w:i/>
          <w:szCs w:val="22"/>
        </w:rPr>
        <w:t xml:space="preserve"> 1 lit. </w:t>
      </w:r>
      <w:proofErr w:type="gramStart"/>
      <w:r w:rsidRPr="00AA3723">
        <w:rPr>
          <w:rFonts w:asciiTheme="majorHAnsi" w:eastAsia="Calibri" w:hAnsiTheme="majorHAnsi" w:cs="Calibri"/>
          <w:i/>
          <w:szCs w:val="22"/>
        </w:rPr>
        <w:t>b</w:t>
      </w:r>
      <w:proofErr w:type="gramEnd"/>
      <w:r w:rsidRPr="00AA3723">
        <w:rPr>
          <w:rFonts w:asciiTheme="majorHAnsi" w:eastAsia="Calibri" w:hAnsiTheme="majorHAnsi" w:cs="Calibri"/>
          <w:i/>
          <w:szCs w:val="22"/>
        </w:rPr>
        <w:t xml:space="preserve"> [</w:t>
      </w:r>
      <w:r w:rsidRPr="00AA3723">
        <w:rPr>
          <w:rFonts w:asciiTheme="majorHAnsi" w:eastAsia="Calibri" w:hAnsiTheme="majorHAnsi" w:cs="Calibri"/>
          <w:szCs w:val="22"/>
        </w:rPr>
        <w:t>derogation for data transfers</w:t>
      </w:r>
      <w:r w:rsidRPr="00AA3723">
        <w:rPr>
          <w:rFonts w:asciiTheme="majorHAnsi" w:eastAsia="Calibri" w:hAnsiTheme="majorHAnsi" w:cs="Calibri"/>
          <w:i/>
          <w:szCs w:val="22"/>
        </w:rPr>
        <w:t xml:space="preserve">] and Art. </w:t>
      </w:r>
      <w:proofErr w:type="gramStart"/>
      <w:r w:rsidRPr="00AA3723">
        <w:rPr>
          <w:rFonts w:asciiTheme="majorHAnsi" w:eastAsia="Calibri" w:hAnsiTheme="majorHAnsi" w:cs="Calibri"/>
          <w:i/>
          <w:szCs w:val="22"/>
        </w:rPr>
        <w:t>22 para.</w:t>
      </w:r>
      <w:proofErr w:type="gramEnd"/>
      <w:r w:rsidRPr="00AA3723">
        <w:rPr>
          <w:rFonts w:asciiTheme="majorHAnsi" w:eastAsia="Calibri" w:hAnsiTheme="majorHAnsi" w:cs="Calibri"/>
          <w:i/>
          <w:szCs w:val="22"/>
        </w:rPr>
        <w:t xml:space="preserve"> 2 lit. </w:t>
      </w:r>
      <w:proofErr w:type="gramStart"/>
      <w:r w:rsidRPr="00AA3723">
        <w:rPr>
          <w:rFonts w:asciiTheme="majorHAnsi" w:eastAsia="Calibri" w:hAnsiTheme="majorHAnsi" w:cs="Calibri"/>
          <w:i/>
          <w:szCs w:val="22"/>
        </w:rPr>
        <w:t>b</w:t>
      </w:r>
      <w:proofErr w:type="gramEnd"/>
      <w:r w:rsidRPr="00AA3723">
        <w:rPr>
          <w:rFonts w:asciiTheme="majorHAnsi" w:eastAsia="Calibri" w:hAnsiTheme="majorHAnsi" w:cs="Calibri"/>
          <w:i/>
          <w:szCs w:val="22"/>
        </w:rPr>
        <w:t xml:space="preserve"> [</w:t>
      </w:r>
      <w:r w:rsidR="0006369B" w:rsidRPr="00AA3723">
        <w:rPr>
          <w:rFonts w:asciiTheme="majorHAnsi" w:eastAsia="Calibri" w:hAnsiTheme="majorHAnsi" w:cs="Calibri"/>
          <w:szCs w:val="22"/>
        </w:rPr>
        <w:t>automated decision-making</w:t>
      </w:r>
      <w:r w:rsidR="0006369B" w:rsidRPr="00AA3723">
        <w:rPr>
          <w:rFonts w:asciiTheme="majorHAnsi" w:eastAsia="Calibri" w:hAnsiTheme="majorHAnsi" w:cs="Calibri"/>
          <w:i/>
          <w:szCs w:val="22"/>
        </w:rPr>
        <w:t>] –</w:t>
      </w:r>
      <w:r w:rsidRPr="00AA3723">
        <w:rPr>
          <w:rFonts w:asciiTheme="majorHAnsi" w:eastAsia="Calibri" w:hAnsiTheme="majorHAnsi" w:cs="Calibri"/>
          <w:i/>
          <w:szCs w:val="22"/>
        </w:rPr>
        <w:t xml:space="preserve"> makes</w:t>
      </w:r>
      <w:r w:rsidR="0006369B" w:rsidRPr="00AA3723">
        <w:rPr>
          <w:rFonts w:asciiTheme="majorHAnsi" w:eastAsia="Calibri" w:hAnsiTheme="majorHAnsi" w:cs="Calibri"/>
          <w:i/>
          <w:szCs w:val="22"/>
        </w:rPr>
        <w:t xml:space="preserve"> </w:t>
      </w:r>
      <w:r w:rsidRPr="00AA3723">
        <w:rPr>
          <w:rFonts w:asciiTheme="majorHAnsi" w:eastAsia="Calibri" w:hAnsiTheme="majorHAnsi" w:cs="Calibri"/>
          <w:i/>
          <w:szCs w:val="22"/>
        </w:rPr>
        <w:t>no statement on the contractual partner of the data subject. This suggests that it does not have to be the controller. According to the wording, data processing by a third party whom the controller has entrusted with the fulfilment of his contractual obligations (e.g. a carrier who delivers goods sold by the controller to the data subject, or another group company) is also possible even if it is no</w:t>
      </w:r>
      <w:r w:rsidR="00C14BFD" w:rsidRPr="00AA3723">
        <w:rPr>
          <w:rFonts w:asciiTheme="majorHAnsi" w:eastAsia="Calibri" w:hAnsiTheme="majorHAnsi" w:cs="Calibri"/>
          <w:i/>
          <w:szCs w:val="22"/>
        </w:rPr>
        <w:t>t</w:t>
      </w:r>
      <w:r w:rsidRPr="00AA3723">
        <w:rPr>
          <w:rFonts w:asciiTheme="majorHAnsi" w:eastAsia="Calibri" w:hAnsiTheme="majorHAnsi" w:cs="Calibri"/>
          <w:i/>
          <w:szCs w:val="22"/>
        </w:rPr>
        <w:t xml:space="preserve"> data processing on behalf </w:t>
      </w:r>
      <w:r w:rsidR="00C14BFD" w:rsidRPr="00AA3723">
        <w:rPr>
          <w:rFonts w:asciiTheme="majorHAnsi" w:eastAsia="Calibri" w:hAnsiTheme="majorHAnsi" w:cs="Calibri"/>
          <w:i/>
          <w:szCs w:val="22"/>
        </w:rPr>
        <w:t xml:space="preserve">of that third party </w:t>
      </w:r>
      <w:r w:rsidRPr="00AA3723">
        <w:rPr>
          <w:rFonts w:asciiTheme="majorHAnsi" w:eastAsia="Calibri" w:hAnsiTheme="majorHAnsi" w:cs="Calibri"/>
          <w:i/>
          <w:szCs w:val="22"/>
        </w:rPr>
        <w:t xml:space="preserve">but </w:t>
      </w:r>
      <w:r w:rsidR="00C14BFD" w:rsidRPr="00AA3723">
        <w:rPr>
          <w:rFonts w:asciiTheme="majorHAnsi" w:eastAsia="Calibri" w:hAnsiTheme="majorHAnsi" w:cs="Calibri"/>
          <w:i/>
          <w:szCs w:val="22"/>
        </w:rPr>
        <w:t xml:space="preserve">is acting as </w:t>
      </w:r>
      <w:r w:rsidRPr="00AA3723">
        <w:rPr>
          <w:rFonts w:asciiTheme="majorHAnsi" w:eastAsia="Calibri" w:hAnsiTheme="majorHAnsi" w:cs="Calibri"/>
          <w:i/>
          <w:szCs w:val="22"/>
        </w:rPr>
        <w:t>an independent controller. However, it must first be examined whether the transfer to the third party is objectively necessary for the fulfilment of the contract. In addition, it will be necessary to require that the specific third party</w:t>
      </w:r>
      <w:r w:rsidR="00C14BFD" w:rsidRPr="00AA3723">
        <w:rPr>
          <w:rFonts w:asciiTheme="majorHAnsi" w:eastAsia="Calibri" w:hAnsiTheme="majorHAnsi" w:cs="Calibri"/>
          <w:i/>
          <w:szCs w:val="22"/>
        </w:rPr>
        <w:t xml:space="preserve"> or at least the processing by the</w:t>
      </w:r>
      <w:r w:rsidRPr="00AA3723">
        <w:rPr>
          <w:rFonts w:asciiTheme="majorHAnsi" w:eastAsia="Calibri" w:hAnsiTheme="majorHAnsi" w:cs="Calibri"/>
          <w:i/>
          <w:szCs w:val="22"/>
        </w:rPr>
        <w:t xml:space="preserve"> third party is, at least abstractly, already known </w:t>
      </w:r>
      <w:r w:rsidR="00C14BFD" w:rsidRPr="00AA3723">
        <w:rPr>
          <w:rFonts w:asciiTheme="majorHAnsi" w:eastAsia="Calibri" w:hAnsiTheme="majorHAnsi" w:cs="Calibri"/>
          <w:i/>
          <w:szCs w:val="22"/>
        </w:rPr>
        <w:t xml:space="preserve">to the data subject </w:t>
      </w:r>
      <w:r w:rsidRPr="00AA3723">
        <w:rPr>
          <w:rFonts w:asciiTheme="majorHAnsi" w:eastAsia="Calibri" w:hAnsiTheme="majorHAnsi" w:cs="Calibri"/>
          <w:i/>
          <w:szCs w:val="22"/>
        </w:rPr>
        <w:t>at the time the contract is concluded and that the controller, as the contractual partner, informs the data subject of this prior to the transfer to the third party (cf. Art. 13 para. 1 lit. e; Art. 14 para. 1 lit. f)</w:t>
      </w:r>
      <w:r w:rsidR="0006369B" w:rsidRPr="00AA3723">
        <w:rPr>
          <w:rFonts w:asciiTheme="majorHAnsi" w:eastAsia="Calibri" w:hAnsiTheme="majorHAnsi" w:cs="Calibri"/>
          <w:szCs w:val="22"/>
        </w:rPr>
        <w:t>" Simitis/</w:t>
      </w:r>
      <w:proofErr w:type="spellStart"/>
      <w:r w:rsidR="0006369B" w:rsidRPr="00AA3723">
        <w:rPr>
          <w:rFonts w:asciiTheme="majorHAnsi" w:eastAsia="Calibri" w:hAnsiTheme="majorHAnsi" w:cs="Calibri"/>
          <w:szCs w:val="22"/>
        </w:rPr>
        <w:t>Hornung</w:t>
      </w:r>
      <w:proofErr w:type="spellEnd"/>
      <w:r w:rsidR="0006369B" w:rsidRPr="00AA3723">
        <w:rPr>
          <w:rFonts w:asciiTheme="majorHAnsi" w:eastAsia="Calibri" w:hAnsiTheme="majorHAnsi" w:cs="Calibri"/>
          <w:szCs w:val="22"/>
        </w:rPr>
        <w:t>/</w:t>
      </w:r>
      <w:proofErr w:type="spellStart"/>
      <w:r w:rsidR="0006369B" w:rsidRPr="00AA3723">
        <w:rPr>
          <w:rFonts w:asciiTheme="majorHAnsi" w:eastAsia="Calibri" w:hAnsiTheme="majorHAnsi" w:cs="Calibri"/>
          <w:szCs w:val="22"/>
        </w:rPr>
        <w:t>Spiecker</w:t>
      </w:r>
      <w:proofErr w:type="spellEnd"/>
      <w:r w:rsidR="0006369B" w:rsidRPr="00AA3723">
        <w:rPr>
          <w:rFonts w:asciiTheme="majorHAnsi" w:eastAsia="Calibri" w:hAnsiTheme="majorHAnsi" w:cs="Calibri"/>
          <w:szCs w:val="22"/>
        </w:rPr>
        <w:t xml:space="preserve"> gen. </w:t>
      </w:r>
      <w:proofErr w:type="spellStart"/>
      <w:r w:rsidR="0006369B" w:rsidRPr="00AA3723">
        <w:rPr>
          <w:rFonts w:asciiTheme="majorHAnsi" w:eastAsia="Calibri" w:hAnsiTheme="majorHAnsi" w:cs="Calibri"/>
          <w:szCs w:val="22"/>
        </w:rPr>
        <w:t>Döhmann</w:t>
      </w:r>
      <w:proofErr w:type="spellEnd"/>
      <w:r w:rsidR="0006369B" w:rsidRPr="00AA3723">
        <w:rPr>
          <w:rFonts w:asciiTheme="majorHAnsi" w:eastAsia="Calibri" w:hAnsiTheme="majorHAnsi" w:cs="Calibri"/>
          <w:szCs w:val="22"/>
        </w:rPr>
        <w:t xml:space="preserve">, Data Protection Law, GDPR, Art. </w:t>
      </w:r>
      <w:proofErr w:type="gramStart"/>
      <w:r w:rsidR="0006369B" w:rsidRPr="00AA3723">
        <w:rPr>
          <w:rFonts w:asciiTheme="majorHAnsi" w:eastAsia="Calibri" w:hAnsiTheme="majorHAnsi" w:cs="Calibri"/>
          <w:szCs w:val="22"/>
        </w:rPr>
        <w:t>6 para.</w:t>
      </w:r>
      <w:proofErr w:type="gramEnd"/>
      <w:r w:rsidR="0006369B" w:rsidRPr="00AA3723">
        <w:rPr>
          <w:rFonts w:asciiTheme="majorHAnsi" w:eastAsia="Calibri" w:hAnsiTheme="majorHAnsi" w:cs="Calibri"/>
          <w:szCs w:val="22"/>
        </w:rPr>
        <w:t xml:space="preserve"> </w:t>
      </w:r>
      <w:proofErr w:type="gramStart"/>
      <w:r w:rsidR="0006369B" w:rsidRPr="00AA3723">
        <w:rPr>
          <w:rFonts w:asciiTheme="majorHAnsi" w:eastAsia="Calibri" w:hAnsiTheme="majorHAnsi" w:cs="Calibri"/>
          <w:szCs w:val="22"/>
        </w:rPr>
        <w:t>1, Rn. 18</w:t>
      </w:r>
      <w:r w:rsidRPr="00AA3723">
        <w:rPr>
          <w:rFonts w:asciiTheme="majorHAnsi" w:eastAsia="Calibri" w:hAnsiTheme="majorHAnsi" w:cs="Calibri"/>
          <w:szCs w:val="22"/>
        </w:rPr>
        <w:t>.</w:t>
      </w:r>
      <w:proofErr w:type="gramEnd"/>
      <w:r w:rsidRPr="00AA3723">
        <w:rPr>
          <w:rFonts w:asciiTheme="majorHAnsi" w:eastAsia="Calibri" w:hAnsiTheme="majorHAnsi" w:cs="Calibri"/>
          <w:szCs w:val="22"/>
        </w:rPr>
        <w:t xml:space="preserve"> </w:t>
      </w:r>
    </w:p>
    <w:p w:rsidR="007269AB" w:rsidRPr="00AA3723" w:rsidRDefault="007269AB" w:rsidP="00BA67B9">
      <w:pPr>
        <w:autoSpaceDE w:val="0"/>
        <w:autoSpaceDN w:val="0"/>
        <w:spacing w:after="0"/>
        <w:ind w:left="2061"/>
        <w:rPr>
          <w:rFonts w:asciiTheme="majorHAnsi" w:eastAsia="Calibri" w:hAnsiTheme="majorHAnsi" w:cs="Calibri"/>
          <w:szCs w:val="22"/>
        </w:rPr>
      </w:pPr>
    </w:p>
    <w:p w:rsidR="00647479" w:rsidRDefault="00F93584" w:rsidP="007A55C9">
      <w:pPr>
        <w:numPr>
          <w:ilvl w:val="0"/>
          <w:numId w:val="47"/>
        </w:numPr>
        <w:autoSpaceDE w:val="0"/>
        <w:autoSpaceDN w:val="0"/>
        <w:spacing w:after="0"/>
        <w:rPr>
          <w:rFonts w:asciiTheme="majorHAnsi" w:eastAsia="Calibri" w:hAnsiTheme="majorHAnsi" w:cs="Calibri"/>
          <w:szCs w:val="22"/>
        </w:rPr>
      </w:pPr>
      <w:r w:rsidRPr="00F93584">
        <w:rPr>
          <w:rFonts w:asciiTheme="majorHAnsi" w:eastAsia="Calibri" w:hAnsiTheme="majorHAnsi" w:cs="Calibri"/>
          <w:szCs w:val="22"/>
        </w:rPr>
        <w:t>In summary</w:t>
      </w:r>
      <w:r w:rsidR="00B90375" w:rsidRPr="00F93584">
        <w:rPr>
          <w:rFonts w:asciiTheme="majorHAnsi" w:eastAsia="Calibri" w:hAnsiTheme="majorHAnsi" w:cs="Calibri"/>
          <w:szCs w:val="22"/>
        </w:rPr>
        <w:t>,</w:t>
      </w:r>
      <w:r w:rsidR="007269AB" w:rsidRPr="00F93584">
        <w:rPr>
          <w:rFonts w:asciiTheme="majorHAnsi" w:eastAsia="Calibri" w:hAnsiTheme="majorHAnsi" w:cs="Calibri"/>
          <w:szCs w:val="22"/>
        </w:rPr>
        <w:t xml:space="preserve"> the answer to </w:t>
      </w:r>
      <w:r>
        <w:rPr>
          <w:rFonts w:asciiTheme="majorHAnsi" w:eastAsia="Calibri" w:hAnsiTheme="majorHAnsi" w:cs="Calibri"/>
          <w:szCs w:val="22"/>
        </w:rPr>
        <w:t>q</w:t>
      </w:r>
      <w:r w:rsidR="007269AB" w:rsidRPr="00F93584">
        <w:rPr>
          <w:rFonts w:asciiTheme="majorHAnsi" w:eastAsia="Calibri" w:hAnsiTheme="majorHAnsi" w:cs="Calibri"/>
          <w:szCs w:val="22"/>
        </w:rPr>
        <w:t xml:space="preserve">uestion a) is </w:t>
      </w:r>
      <w:r w:rsidR="00774996" w:rsidRPr="00F93584">
        <w:rPr>
          <w:rFonts w:asciiTheme="majorHAnsi" w:eastAsia="Calibri" w:hAnsiTheme="majorHAnsi" w:cs="Calibri"/>
          <w:szCs w:val="22"/>
        </w:rPr>
        <w:t xml:space="preserve">unclear. We think Spiros Simitis' arguments are persuasive and </w:t>
      </w:r>
      <w:r>
        <w:rPr>
          <w:rFonts w:asciiTheme="majorHAnsi" w:eastAsia="Calibri" w:hAnsiTheme="majorHAnsi" w:cs="Calibri"/>
          <w:szCs w:val="22"/>
        </w:rPr>
        <w:t>that</w:t>
      </w:r>
      <w:r w:rsidR="00774996" w:rsidRPr="00F93584">
        <w:rPr>
          <w:rFonts w:asciiTheme="majorHAnsi" w:eastAsia="Calibri" w:hAnsiTheme="majorHAnsi" w:cs="Calibri"/>
          <w:szCs w:val="22"/>
        </w:rPr>
        <w:t xml:space="preserve"> the better view is that </w:t>
      </w:r>
      <w:r w:rsidR="007269AB" w:rsidRPr="00F93584">
        <w:rPr>
          <w:rFonts w:asciiTheme="majorHAnsi" w:eastAsia="Calibri" w:hAnsiTheme="majorHAnsi" w:cs="Calibri"/>
          <w:szCs w:val="22"/>
        </w:rPr>
        <w:t>that Article 6(1</w:t>
      </w:r>
      <w:proofErr w:type="gramStart"/>
      <w:r w:rsidR="007269AB" w:rsidRPr="00F93584">
        <w:rPr>
          <w:rFonts w:asciiTheme="majorHAnsi" w:eastAsia="Calibri" w:hAnsiTheme="majorHAnsi" w:cs="Calibri"/>
          <w:szCs w:val="22"/>
        </w:rPr>
        <w:t>)(</w:t>
      </w:r>
      <w:proofErr w:type="gramEnd"/>
      <w:r w:rsidR="007269AB" w:rsidRPr="00F93584">
        <w:rPr>
          <w:rFonts w:asciiTheme="majorHAnsi" w:eastAsia="Calibri" w:hAnsiTheme="majorHAnsi" w:cs="Calibri"/>
          <w:szCs w:val="22"/>
        </w:rPr>
        <w:t>b) may</w:t>
      </w:r>
      <w:r w:rsidR="00B90375" w:rsidRPr="00F93584">
        <w:rPr>
          <w:rFonts w:asciiTheme="majorHAnsi" w:eastAsia="Calibri" w:hAnsiTheme="majorHAnsi" w:cs="Calibri"/>
          <w:szCs w:val="22"/>
        </w:rPr>
        <w:t>, under certain circumstances,</w:t>
      </w:r>
      <w:r w:rsidR="007269AB" w:rsidRPr="00F93584">
        <w:rPr>
          <w:rFonts w:asciiTheme="majorHAnsi" w:eastAsia="Calibri" w:hAnsiTheme="majorHAnsi" w:cs="Calibri"/>
          <w:szCs w:val="22"/>
        </w:rPr>
        <w:t xml:space="preserve"> be relied on by parties </w:t>
      </w:r>
      <w:r w:rsidR="00B90375" w:rsidRPr="00F93584">
        <w:rPr>
          <w:rFonts w:asciiTheme="majorHAnsi" w:eastAsia="Calibri" w:hAnsiTheme="majorHAnsi" w:cs="Calibri"/>
          <w:szCs w:val="22"/>
        </w:rPr>
        <w:t xml:space="preserve">that have not contracted directly </w:t>
      </w:r>
      <w:r w:rsidR="007269AB" w:rsidRPr="00F93584">
        <w:rPr>
          <w:rFonts w:asciiTheme="majorHAnsi" w:eastAsia="Calibri" w:hAnsiTheme="majorHAnsi" w:cs="Calibri"/>
          <w:szCs w:val="22"/>
        </w:rPr>
        <w:t>with data subjects</w:t>
      </w:r>
      <w:r w:rsidR="00774996" w:rsidRPr="00F93584">
        <w:rPr>
          <w:rFonts w:asciiTheme="majorHAnsi" w:eastAsia="Calibri" w:hAnsiTheme="majorHAnsi" w:cs="Calibri"/>
          <w:szCs w:val="22"/>
        </w:rPr>
        <w:t xml:space="preserve">. However, the answer to question b) (below) makes this </w:t>
      </w:r>
      <w:r>
        <w:rPr>
          <w:rFonts w:asciiTheme="majorHAnsi" w:eastAsia="Calibri" w:hAnsiTheme="majorHAnsi" w:cs="Calibri"/>
          <w:szCs w:val="22"/>
        </w:rPr>
        <w:t xml:space="preserve">point </w:t>
      </w:r>
      <w:r w:rsidR="00774996" w:rsidRPr="00F93584">
        <w:rPr>
          <w:rFonts w:asciiTheme="majorHAnsi" w:eastAsia="Calibri" w:hAnsiTheme="majorHAnsi" w:cs="Calibri"/>
          <w:szCs w:val="22"/>
        </w:rPr>
        <w:t>academic.</w:t>
      </w:r>
    </w:p>
    <w:p w:rsidR="00647479" w:rsidRDefault="00647479" w:rsidP="00647479">
      <w:pPr>
        <w:pStyle w:val="BodyText"/>
      </w:pPr>
      <w:r>
        <w:br w:type="page"/>
      </w:r>
    </w:p>
    <w:p w:rsidR="00F93584" w:rsidRPr="00F93584" w:rsidRDefault="00F93584" w:rsidP="00F93584">
      <w:pPr>
        <w:autoSpaceDE w:val="0"/>
        <w:autoSpaceDN w:val="0"/>
        <w:spacing w:after="0"/>
        <w:ind w:left="720"/>
        <w:rPr>
          <w:rFonts w:asciiTheme="majorHAnsi" w:eastAsia="Calibri" w:hAnsiTheme="majorHAnsi" w:cs="Calibri"/>
          <w:b/>
          <w:szCs w:val="22"/>
        </w:rPr>
      </w:pPr>
    </w:p>
    <w:p w:rsidR="007A55C9" w:rsidRPr="00AA3723" w:rsidRDefault="00F93584" w:rsidP="007A55C9">
      <w:pPr>
        <w:rPr>
          <w:rFonts w:asciiTheme="majorHAnsi" w:eastAsia="Calibri" w:hAnsiTheme="majorHAnsi" w:cs="Calibri"/>
          <w:b/>
          <w:szCs w:val="22"/>
        </w:rPr>
      </w:pPr>
      <w:r>
        <w:rPr>
          <w:rFonts w:asciiTheme="majorHAnsi" w:eastAsia="Calibri" w:hAnsiTheme="majorHAnsi" w:cs="Calibri"/>
          <w:b/>
          <w:szCs w:val="22"/>
        </w:rPr>
        <w:t>Question b)</w:t>
      </w:r>
    </w:p>
    <w:p w:rsidR="007269AB" w:rsidRPr="00AA3723" w:rsidRDefault="007269AB" w:rsidP="007269AB">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The second question has been addressed in WP217. The Article 29 Working Party notes that:</w:t>
      </w:r>
    </w:p>
    <w:p w:rsidR="007269AB" w:rsidRPr="00AA3723" w:rsidRDefault="007269AB" w:rsidP="007269AB">
      <w:pPr>
        <w:spacing w:after="0"/>
        <w:ind w:left="720"/>
        <w:rPr>
          <w:rFonts w:asciiTheme="majorHAnsi" w:eastAsia="Calibri" w:hAnsiTheme="majorHAnsi" w:cs="Calibri"/>
          <w:szCs w:val="22"/>
        </w:rPr>
      </w:pPr>
    </w:p>
    <w:p w:rsidR="007269AB" w:rsidRPr="00AA3723" w:rsidRDefault="007269AB" w:rsidP="007A55C9">
      <w:pPr>
        <w:autoSpaceDE w:val="0"/>
        <w:autoSpaceDN w:val="0"/>
        <w:spacing w:after="0"/>
        <w:ind w:left="720"/>
        <w:rPr>
          <w:rFonts w:asciiTheme="majorHAnsi" w:eastAsia="Calibri" w:hAnsiTheme="majorHAnsi" w:cs="Calibri"/>
          <w:szCs w:val="22"/>
        </w:rPr>
      </w:pPr>
      <w:r w:rsidRPr="00AA3723">
        <w:rPr>
          <w:rFonts w:asciiTheme="majorHAnsi" w:eastAsia="Calibri" w:hAnsiTheme="majorHAnsi" w:cs="Calibri"/>
          <w:szCs w:val="22"/>
        </w:rPr>
        <w:t>"</w:t>
      </w:r>
      <w:r w:rsidRPr="00AA3723">
        <w:rPr>
          <w:rFonts w:asciiTheme="majorHAnsi" w:eastAsia="Calibri" w:hAnsiTheme="majorHAnsi" w:cs="Calibri"/>
          <w:i/>
          <w:iCs/>
          <w:szCs w:val="22"/>
        </w:rPr>
        <w:t xml:space="preserve">The provision must be interpreted strictly and does not cover situations where the processing is not genuinely </w:t>
      </w:r>
      <w:r w:rsidRPr="00AA3723">
        <w:rPr>
          <w:rFonts w:asciiTheme="majorHAnsi" w:eastAsia="Calibri" w:hAnsiTheme="majorHAnsi" w:cs="Calibri"/>
          <w:i/>
          <w:iCs/>
          <w:szCs w:val="22"/>
          <w:u w:val="single"/>
        </w:rPr>
        <w:t>necessary</w:t>
      </w:r>
      <w:r w:rsidRPr="00AA3723">
        <w:rPr>
          <w:rFonts w:asciiTheme="majorHAnsi" w:eastAsia="Calibri" w:hAnsiTheme="majorHAnsi" w:cs="Calibri"/>
          <w:i/>
          <w:iCs/>
          <w:szCs w:val="22"/>
        </w:rPr>
        <w:t xml:space="preserve"> for the performance of a contract…</w:t>
      </w:r>
      <w:r w:rsidRPr="00AA3723">
        <w:rPr>
          <w:rFonts w:asciiTheme="majorHAnsi" w:eastAsia="Calibri" w:hAnsiTheme="majorHAnsi" w:cs="Calibri"/>
          <w:iCs/>
          <w:szCs w:val="22"/>
        </w:rPr>
        <w:t>"</w:t>
      </w:r>
      <w:r w:rsidRPr="00AA3723">
        <w:rPr>
          <w:rFonts w:asciiTheme="majorHAnsi" w:eastAsia="Calibri" w:hAnsiTheme="majorHAnsi" w:cs="Calibri"/>
          <w:szCs w:val="22"/>
        </w:rPr>
        <w:t xml:space="preserve">  </w:t>
      </w:r>
      <w:proofErr w:type="gramStart"/>
      <w:r w:rsidRPr="00AA3723">
        <w:rPr>
          <w:rFonts w:asciiTheme="majorHAnsi" w:eastAsia="Calibri" w:hAnsiTheme="majorHAnsi" w:cs="Calibri"/>
          <w:szCs w:val="22"/>
        </w:rPr>
        <w:t>(p.16).</w:t>
      </w:r>
      <w:proofErr w:type="gramEnd"/>
    </w:p>
    <w:p w:rsidR="007269AB" w:rsidRPr="00AA3723" w:rsidRDefault="007269AB" w:rsidP="007269AB">
      <w:pPr>
        <w:autoSpaceDE w:val="0"/>
        <w:autoSpaceDN w:val="0"/>
        <w:spacing w:after="0"/>
        <w:ind w:left="360"/>
        <w:rPr>
          <w:rFonts w:asciiTheme="majorHAnsi" w:eastAsia="Calibri" w:hAnsiTheme="majorHAnsi" w:cs="Calibri"/>
          <w:szCs w:val="22"/>
        </w:rPr>
      </w:pPr>
    </w:p>
    <w:p w:rsidR="007269AB" w:rsidRPr="00AA3723" w:rsidRDefault="007269AB" w:rsidP="007A55C9">
      <w:pPr>
        <w:autoSpaceDE w:val="0"/>
        <w:autoSpaceDN w:val="0"/>
        <w:spacing w:after="0"/>
        <w:ind w:left="720"/>
        <w:rPr>
          <w:rFonts w:asciiTheme="majorHAnsi" w:eastAsia="Calibri" w:hAnsiTheme="majorHAnsi" w:cs="Calibri"/>
          <w:szCs w:val="22"/>
        </w:rPr>
      </w:pPr>
      <w:r w:rsidRPr="00AA3723">
        <w:rPr>
          <w:rFonts w:asciiTheme="majorHAnsi" w:eastAsia="Calibri" w:hAnsiTheme="majorHAnsi" w:cs="Calibri"/>
          <w:szCs w:val="22"/>
        </w:rPr>
        <w:t>In particular, the Working Party notes that "</w:t>
      </w:r>
      <w:r w:rsidRPr="00AA3723">
        <w:rPr>
          <w:rFonts w:asciiTheme="majorHAnsi" w:eastAsia="Calibri" w:hAnsiTheme="majorHAnsi" w:cs="Calibri"/>
          <w:i/>
          <w:iCs/>
          <w:szCs w:val="22"/>
        </w:rPr>
        <w:t>Even if these processing activities are specifically mentioned in the small print of the contract, this fact alone does not make them 'necessary' for the performance of the contract</w:t>
      </w:r>
      <w:r w:rsidRPr="00AA3723">
        <w:rPr>
          <w:rFonts w:asciiTheme="majorHAnsi" w:eastAsia="Calibri" w:hAnsiTheme="majorHAnsi" w:cs="Calibri"/>
          <w:iCs/>
          <w:szCs w:val="22"/>
        </w:rPr>
        <w:t>"</w:t>
      </w:r>
      <w:r w:rsidRPr="00AA3723">
        <w:rPr>
          <w:rFonts w:asciiTheme="majorHAnsi" w:eastAsia="Calibri" w:hAnsiTheme="majorHAnsi" w:cs="Calibri"/>
          <w:i/>
          <w:iCs/>
          <w:szCs w:val="22"/>
        </w:rPr>
        <w:t>.</w:t>
      </w:r>
      <w:r w:rsidRPr="00AA3723">
        <w:rPr>
          <w:rFonts w:asciiTheme="majorHAnsi" w:eastAsia="Calibri" w:hAnsiTheme="majorHAnsi" w:cs="Calibri"/>
          <w:szCs w:val="22"/>
        </w:rPr>
        <w:t xml:space="preserve"> Instead</w:t>
      </w:r>
      <w:r w:rsidR="005952EA" w:rsidRPr="00AA3723">
        <w:rPr>
          <w:rFonts w:asciiTheme="majorHAnsi" w:eastAsia="Calibri" w:hAnsiTheme="majorHAnsi" w:cs="Calibri"/>
          <w:szCs w:val="22"/>
        </w:rPr>
        <w:t>,</w:t>
      </w:r>
      <w:r w:rsidRPr="00AA3723">
        <w:rPr>
          <w:rFonts w:asciiTheme="majorHAnsi" w:eastAsia="Calibri" w:hAnsiTheme="majorHAnsi" w:cs="Calibri"/>
          <w:szCs w:val="22"/>
        </w:rPr>
        <w:t xml:space="preserve"> "</w:t>
      </w:r>
      <w:r w:rsidR="005952EA" w:rsidRPr="00AA3723">
        <w:rPr>
          <w:rFonts w:asciiTheme="majorHAnsi" w:eastAsia="Calibri" w:hAnsiTheme="majorHAnsi" w:cs="Calibri"/>
          <w:i/>
          <w:iCs/>
          <w:szCs w:val="22"/>
        </w:rPr>
        <w:t>[</w:t>
      </w:r>
      <w:proofErr w:type="spellStart"/>
      <w:r w:rsidR="005952EA" w:rsidRPr="00AA3723">
        <w:rPr>
          <w:rFonts w:asciiTheme="majorHAnsi" w:eastAsia="Calibri" w:hAnsiTheme="majorHAnsi" w:cs="Calibri"/>
          <w:i/>
          <w:iCs/>
          <w:szCs w:val="22"/>
        </w:rPr>
        <w:t>i</w:t>
      </w:r>
      <w:proofErr w:type="spellEnd"/>
      <w:r w:rsidR="005952EA" w:rsidRPr="00AA3723">
        <w:rPr>
          <w:rFonts w:asciiTheme="majorHAnsi" w:eastAsia="Calibri" w:hAnsiTheme="majorHAnsi" w:cs="Calibri"/>
          <w:i/>
          <w:iCs/>
          <w:szCs w:val="22"/>
        </w:rPr>
        <w:t>]</w:t>
      </w:r>
      <w:r w:rsidRPr="00AA3723">
        <w:rPr>
          <w:rFonts w:asciiTheme="majorHAnsi" w:eastAsia="Calibri" w:hAnsiTheme="majorHAnsi" w:cs="Calibri"/>
          <w:i/>
          <w:iCs/>
          <w:szCs w:val="22"/>
        </w:rPr>
        <w:t xml:space="preserve">t is important to determine the exact </w:t>
      </w:r>
      <w:r w:rsidRPr="00AA3723">
        <w:rPr>
          <w:rFonts w:asciiTheme="majorHAnsi" w:eastAsia="Calibri" w:hAnsiTheme="majorHAnsi" w:cs="Calibri"/>
          <w:i/>
          <w:iCs/>
          <w:szCs w:val="22"/>
          <w:u w:val="single"/>
        </w:rPr>
        <w:t>rationale</w:t>
      </w:r>
      <w:r w:rsidRPr="00AA3723">
        <w:rPr>
          <w:rFonts w:asciiTheme="majorHAnsi" w:eastAsia="Calibri" w:hAnsiTheme="majorHAnsi" w:cs="Calibri"/>
          <w:i/>
          <w:iCs/>
          <w:szCs w:val="22"/>
        </w:rPr>
        <w:t xml:space="preserve"> of the contract, i.e. its substance and fundamental objective, as it is against this that it will be tested whether the data processing is necessary for its performance</w:t>
      </w:r>
      <w:r w:rsidRPr="00AA3723">
        <w:rPr>
          <w:rFonts w:asciiTheme="majorHAnsi" w:eastAsia="Calibri" w:hAnsiTheme="majorHAnsi" w:cs="Calibri"/>
          <w:iCs/>
          <w:szCs w:val="22"/>
        </w:rPr>
        <w:t>"</w:t>
      </w:r>
      <w:r w:rsidRPr="00AA3723">
        <w:rPr>
          <w:rFonts w:asciiTheme="majorHAnsi" w:eastAsia="Calibri" w:hAnsiTheme="majorHAnsi" w:cs="Calibri"/>
          <w:i/>
          <w:iCs/>
          <w:szCs w:val="22"/>
        </w:rPr>
        <w:t xml:space="preserve"> </w:t>
      </w:r>
      <w:r w:rsidRPr="00AA3723">
        <w:rPr>
          <w:rFonts w:asciiTheme="majorHAnsi" w:eastAsia="Calibri" w:hAnsiTheme="majorHAnsi" w:cs="Calibri"/>
          <w:szCs w:val="22"/>
        </w:rPr>
        <w:t>(p.17).</w:t>
      </w:r>
    </w:p>
    <w:p w:rsidR="007269AB" w:rsidRPr="00AA3723" w:rsidRDefault="007269AB" w:rsidP="007269AB">
      <w:pPr>
        <w:autoSpaceDE w:val="0"/>
        <w:autoSpaceDN w:val="0"/>
        <w:spacing w:after="0"/>
        <w:ind w:left="360"/>
        <w:rPr>
          <w:rFonts w:asciiTheme="majorHAnsi" w:eastAsia="Calibri" w:hAnsiTheme="majorHAnsi" w:cs="Calibri"/>
          <w:szCs w:val="22"/>
        </w:rPr>
      </w:pPr>
    </w:p>
    <w:p w:rsidR="00F93584" w:rsidRDefault="007269AB" w:rsidP="007269AB">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The Working Party als</w:t>
      </w:r>
      <w:r w:rsidR="00F93584">
        <w:rPr>
          <w:rFonts w:asciiTheme="majorHAnsi" w:eastAsia="Calibri" w:hAnsiTheme="majorHAnsi" w:cs="Calibri"/>
          <w:szCs w:val="22"/>
        </w:rPr>
        <w:t>o notes (again, p.17) that the A</w:t>
      </w:r>
      <w:r w:rsidRPr="00AA3723">
        <w:rPr>
          <w:rFonts w:asciiTheme="majorHAnsi" w:eastAsia="Calibri" w:hAnsiTheme="majorHAnsi" w:cs="Calibri"/>
          <w:szCs w:val="22"/>
        </w:rPr>
        <w:t>rticle</w:t>
      </w:r>
    </w:p>
    <w:p w:rsidR="00F93584" w:rsidRDefault="00F93584" w:rsidP="00F93584">
      <w:pPr>
        <w:autoSpaceDE w:val="0"/>
        <w:autoSpaceDN w:val="0"/>
        <w:spacing w:after="0"/>
        <w:ind w:left="720"/>
        <w:rPr>
          <w:rFonts w:asciiTheme="majorHAnsi" w:eastAsia="Calibri" w:hAnsiTheme="majorHAnsi" w:cs="Calibri"/>
          <w:szCs w:val="22"/>
        </w:rPr>
      </w:pPr>
    </w:p>
    <w:p w:rsidR="007269AB" w:rsidRPr="00AA3723" w:rsidRDefault="007269AB" w:rsidP="00F93584">
      <w:pPr>
        <w:autoSpaceDE w:val="0"/>
        <w:autoSpaceDN w:val="0"/>
        <w:spacing w:after="0"/>
        <w:ind w:left="720"/>
        <w:rPr>
          <w:rFonts w:asciiTheme="majorHAnsi" w:eastAsia="Calibri" w:hAnsiTheme="majorHAnsi" w:cs="Calibri"/>
          <w:szCs w:val="22"/>
        </w:rPr>
      </w:pPr>
      <w:r w:rsidRPr="00AA3723">
        <w:rPr>
          <w:rFonts w:asciiTheme="majorHAnsi" w:eastAsia="Calibri" w:hAnsiTheme="majorHAnsi" w:cs="Calibri"/>
          <w:szCs w:val="22"/>
        </w:rPr>
        <w:t xml:space="preserve"> "</w:t>
      </w:r>
      <w:r w:rsidR="005952EA" w:rsidRPr="00AA3723">
        <w:rPr>
          <w:rFonts w:asciiTheme="majorHAnsi" w:eastAsia="Calibri" w:hAnsiTheme="majorHAnsi" w:cs="Calibri"/>
          <w:i/>
          <w:iCs/>
          <w:szCs w:val="22"/>
        </w:rPr>
        <w:t>…</w:t>
      </w:r>
      <w:r w:rsidRPr="00AA3723">
        <w:rPr>
          <w:rFonts w:asciiTheme="majorHAnsi" w:eastAsia="Calibri" w:hAnsiTheme="majorHAnsi" w:cs="Calibri"/>
          <w:i/>
          <w:iCs/>
          <w:szCs w:val="22"/>
        </w:rPr>
        <w:t xml:space="preserve"> only applies to what is necessary for the performance of a contract. It does not apply to all further actions triggered by non-compliance or to all other incidents in the execution of a contract. As long as processing covers the normal execution of a contract, it could fall within Article 7(1</w:t>
      </w:r>
      <w:proofErr w:type="gramStart"/>
      <w:r w:rsidRPr="00AA3723">
        <w:rPr>
          <w:rFonts w:asciiTheme="majorHAnsi" w:eastAsia="Calibri" w:hAnsiTheme="majorHAnsi" w:cs="Calibri"/>
          <w:i/>
          <w:iCs/>
          <w:szCs w:val="22"/>
        </w:rPr>
        <w:t>)(</w:t>
      </w:r>
      <w:proofErr w:type="gramEnd"/>
      <w:r w:rsidRPr="00AA3723">
        <w:rPr>
          <w:rFonts w:asciiTheme="majorHAnsi" w:eastAsia="Calibri" w:hAnsiTheme="majorHAnsi" w:cs="Calibri"/>
          <w:i/>
          <w:iCs/>
          <w:szCs w:val="22"/>
        </w:rPr>
        <w:t>b) [</w:t>
      </w:r>
      <w:r w:rsidRPr="00AA3723">
        <w:rPr>
          <w:rFonts w:asciiTheme="majorHAnsi" w:eastAsia="Calibri" w:hAnsiTheme="majorHAnsi" w:cs="Calibri"/>
          <w:szCs w:val="22"/>
        </w:rPr>
        <w:t>the equivalent basis under Directive 95/46/EC</w:t>
      </w:r>
      <w:r w:rsidRPr="00AA3723">
        <w:rPr>
          <w:rFonts w:asciiTheme="majorHAnsi" w:eastAsia="Calibri" w:hAnsiTheme="majorHAnsi" w:cs="Calibri"/>
          <w:i/>
          <w:iCs/>
          <w:szCs w:val="22"/>
        </w:rPr>
        <w:t>]. If there is an incident in the performance, which gives rise to a conflict, the processing of data may take a different course. Processing of basic information of the data subject, such as name, address and reference to outstanding contractual obligations, to send formal reminders should still be considered as falling within the processing of data necessary for the performance of a contract. With regard to more elaborated processing of personal data, which may or may not involve third parties, such as external debt collection or taking a customer who has failed to pay for a service to court, it could be argued that such processing does not take place anymore under the 'normal' performance of the contract and would therefore not fall under Article 7(b)…</w:t>
      </w:r>
      <w:r w:rsidRPr="00AA3723">
        <w:rPr>
          <w:rFonts w:asciiTheme="majorHAnsi" w:eastAsia="Calibri" w:hAnsiTheme="majorHAnsi" w:cs="Calibri"/>
          <w:iCs/>
          <w:szCs w:val="22"/>
        </w:rPr>
        <w:t>"</w:t>
      </w:r>
      <w:r w:rsidRPr="00AA3723">
        <w:rPr>
          <w:rFonts w:asciiTheme="majorHAnsi" w:eastAsia="Calibri" w:hAnsiTheme="majorHAnsi" w:cs="Calibri"/>
          <w:szCs w:val="22"/>
        </w:rPr>
        <w:t>.</w:t>
      </w:r>
    </w:p>
    <w:p w:rsidR="007269AB" w:rsidRPr="00AA3723" w:rsidRDefault="007269AB" w:rsidP="007269AB">
      <w:pPr>
        <w:autoSpaceDE w:val="0"/>
        <w:autoSpaceDN w:val="0"/>
        <w:spacing w:after="0"/>
        <w:ind w:left="720"/>
        <w:rPr>
          <w:rFonts w:asciiTheme="majorHAnsi" w:eastAsia="Calibri" w:hAnsiTheme="majorHAnsi" w:cs="Calibri"/>
          <w:szCs w:val="22"/>
        </w:rPr>
      </w:pPr>
    </w:p>
    <w:p w:rsidR="00B260EF" w:rsidRPr="00AA3723" w:rsidRDefault="007269AB" w:rsidP="00B260EF">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 xml:space="preserve">Applying this here, a registrar cannot make processing in order to prevent DNS abuse contractually necessary simply by including a reference to this in its contract with the registered name holder. A registrar could rely on Article 6(1)(b) as the lawful basis for processing other than simply registering and activating a domain </w:t>
      </w:r>
      <w:r w:rsidR="00B64626" w:rsidRPr="00AA3723">
        <w:rPr>
          <w:rFonts w:asciiTheme="majorHAnsi" w:eastAsia="Calibri" w:hAnsiTheme="majorHAnsi" w:cs="Calibri"/>
          <w:szCs w:val="22"/>
        </w:rPr>
        <w:t xml:space="preserve">if </w:t>
      </w:r>
      <w:r w:rsidRPr="00AA3723">
        <w:rPr>
          <w:rFonts w:asciiTheme="majorHAnsi" w:eastAsia="Calibri" w:hAnsiTheme="majorHAnsi" w:cs="Calibri"/>
          <w:szCs w:val="22"/>
        </w:rPr>
        <w:t>it can show that such processing is for one of the fundamental objectives of the contract. However, as the above quotations show, the Article 29 Working Party has interpreted this in a strict manner. Preventing DNS abuse seems closer to the example above of pursuing a data subject for breach of contract, which the Working Party considered could not be justified on this basis (but where legitimate interests would be an appropriate basis). On this basis, it would be difficult to argue that that processing to prevent DNS abuse is "</w:t>
      </w:r>
      <w:r w:rsidRPr="00AA3723">
        <w:rPr>
          <w:rFonts w:asciiTheme="majorHAnsi" w:eastAsia="Calibri" w:hAnsiTheme="majorHAnsi" w:cs="Calibri"/>
          <w:i/>
          <w:iCs/>
          <w:szCs w:val="22"/>
        </w:rPr>
        <w:t>necessary for the performance of a contract to which the data subject is party</w:t>
      </w:r>
      <w:r w:rsidRPr="00AA3723">
        <w:rPr>
          <w:rFonts w:asciiTheme="majorHAnsi" w:eastAsia="Calibri" w:hAnsiTheme="majorHAnsi" w:cs="Calibri"/>
          <w:iCs/>
          <w:szCs w:val="22"/>
        </w:rPr>
        <w:t>"</w:t>
      </w:r>
      <w:r w:rsidRPr="00AA3723">
        <w:rPr>
          <w:rFonts w:asciiTheme="majorHAnsi" w:eastAsia="Calibri" w:hAnsiTheme="majorHAnsi" w:cs="Calibri"/>
          <w:szCs w:val="22"/>
        </w:rPr>
        <w:t>.  </w:t>
      </w:r>
    </w:p>
    <w:sectPr w:rsidR="00B260EF" w:rsidRPr="00AA3723" w:rsidSect="00F46DE2">
      <w:headerReference w:type="even" r:id="rId10"/>
      <w:headerReference w:type="default" r:id="rId11"/>
      <w:footerReference w:type="even" r:id="rId12"/>
      <w:footerReference w:type="default" r:id="rId13"/>
      <w:headerReference w:type="first" r:id="rId14"/>
      <w:footerReference w:type="first" r:id="rId15"/>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D7" w:rsidRDefault="00D641D7" w:rsidP="00F13581">
      <w:pPr>
        <w:spacing w:after="0"/>
      </w:pPr>
      <w:r>
        <w:separator/>
      </w:r>
    </w:p>
  </w:endnote>
  <w:endnote w:type="continuationSeparator" w:id="0">
    <w:p w:rsidR="00D641D7" w:rsidRDefault="00D641D7"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52" w:rsidRDefault="00D25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D1" w:rsidRDefault="00F028D1" w:rsidP="00E27172">
    <w:pPr>
      <w:pStyle w:val="Footer"/>
      <w:spacing w:after="120"/>
      <w:rPr>
        <w:noProof/>
      </w:rPr>
    </w:pPr>
    <w:r>
      <w:fldChar w:fldCharType="begin"/>
    </w:r>
    <w:r>
      <w:instrText xml:space="preserve"> PAGE   \* MERGEFORMAT</w:instrText>
    </w:r>
    <w:r>
      <w:fldChar w:fldCharType="separate"/>
    </w:r>
    <w:r w:rsidR="00A63CA9">
      <w:rPr>
        <w:noProof/>
      </w:rPr>
      <w:t>2</w:t>
    </w:r>
    <w:r>
      <w:rPr>
        <w:noProof/>
      </w:rPr>
      <w:fldChar w:fldCharType="end"/>
    </w:r>
  </w:p>
  <w:p w:rsidR="00364763" w:rsidRPr="00E27172" w:rsidRDefault="001451E7" w:rsidP="00E27172">
    <w:pPr>
      <w:pStyle w:val="Footer"/>
      <w:spacing w:after="120"/>
      <w:jc w:val="right"/>
      <w:rPr>
        <w:sz w:val="16"/>
        <w:szCs w:val="16"/>
      </w:rPr>
    </w:pPr>
    <w:r w:rsidRPr="00E27172">
      <w:rPr>
        <w:sz w:val="16"/>
        <w:szCs w:val="16"/>
      </w:rPr>
      <w:fldChar w:fldCharType="begin"/>
    </w:r>
    <w:r w:rsidRPr="00E27172">
      <w:rPr>
        <w:sz w:val="16"/>
        <w:szCs w:val="16"/>
      </w:rPr>
      <w:instrText xml:space="preserve"> DOCPROPERTY  BBDocRef  \* MERGEFORMAT </w:instrText>
    </w:r>
    <w:r w:rsidRPr="00E27172">
      <w:rPr>
        <w:sz w:val="16"/>
        <w:szCs w:val="16"/>
      </w:rPr>
      <w:fldChar w:fldCharType="separate"/>
    </w:r>
    <w:r w:rsidR="00F46DE2">
      <w:rPr>
        <w:sz w:val="16"/>
        <w:szCs w:val="16"/>
      </w:rPr>
      <w:t>Matters\45265221.1</w:t>
    </w:r>
    <w:r w:rsidRPr="00E2717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55" w:rsidRDefault="00176258" w:rsidP="00E27172">
    <w:pPr>
      <w:pStyle w:val="Footer"/>
      <w:spacing w:after="120"/>
    </w:pPr>
    <w:bookmarkStart w:id="13" w:name="bmkFooterLogo"/>
    <w:r>
      <w:rPr>
        <w:noProof/>
        <w:lang w:eastAsia="en-GB"/>
      </w:rPr>
      <w:drawing>
        <wp:inline distT="0" distB="0" distL="0" distR="0" wp14:anchorId="72A3D715" wp14:editId="127F2FC0">
          <wp:extent cx="5759450" cy="7124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712470"/>
                  </a:xfrm>
                  <a:prstGeom prst="rect">
                    <a:avLst/>
                  </a:prstGeom>
                </pic:spPr>
              </pic:pic>
            </a:graphicData>
          </a:graphic>
        </wp:inline>
      </w:drawing>
    </w:r>
    <w:bookmarkEnd w:id="13"/>
  </w:p>
  <w:p w:rsidR="00DD28ED" w:rsidRPr="00E27172" w:rsidRDefault="00037934" w:rsidP="00E27172">
    <w:pPr>
      <w:pStyle w:val="Footer"/>
      <w:spacing w:after="120"/>
      <w:jc w:val="right"/>
      <w:rPr>
        <w:sz w:val="16"/>
      </w:rPr>
    </w:pPr>
    <w:r w:rsidRPr="00E27172">
      <w:rPr>
        <w:sz w:val="16"/>
      </w:rPr>
      <w:fldChar w:fldCharType="begin"/>
    </w:r>
    <w:r w:rsidRPr="00E27172">
      <w:rPr>
        <w:sz w:val="16"/>
      </w:rPr>
      <w:instrText xml:space="preserve"> DOCPROPERTY  </w:instrText>
    </w:r>
    <w:r w:rsidR="00A36ADA" w:rsidRPr="00E27172">
      <w:rPr>
        <w:sz w:val="16"/>
      </w:rPr>
      <w:instrText>BBDocRef</w:instrText>
    </w:r>
    <w:r w:rsidRPr="00E27172">
      <w:rPr>
        <w:sz w:val="16"/>
      </w:rPr>
      <w:instrText xml:space="preserve">  \* MERGEFORMAT </w:instrText>
    </w:r>
    <w:r w:rsidRPr="00E27172">
      <w:rPr>
        <w:sz w:val="16"/>
      </w:rPr>
      <w:fldChar w:fldCharType="separate"/>
    </w:r>
    <w:r w:rsidR="00F46DE2">
      <w:rPr>
        <w:sz w:val="16"/>
      </w:rPr>
      <w:t>Matters\45265221.1</w:t>
    </w:r>
    <w:r w:rsidRPr="00E27172">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D7" w:rsidRDefault="00D641D7" w:rsidP="00F13581">
      <w:pPr>
        <w:spacing w:after="0"/>
      </w:pPr>
      <w:r>
        <w:separator/>
      </w:r>
    </w:p>
  </w:footnote>
  <w:footnote w:type="continuationSeparator" w:id="0">
    <w:p w:rsidR="00D641D7" w:rsidRDefault="00D641D7" w:rsidP="00F13581">
      <w:pPr>
        <w:spacing w:after="0"/>
      </w:pPr>
      <w:r>
        <w:continuationSeparator/>
      </w:r>
    </w:p>
  </w:footnote>
  <w:footnote w:id="1">
    <w:p w:rsidR="001E64E3" w:rsidRDefault="001E64E3">
      <w:pPr>
        <w:pStyle w:val="FootnoteText"/>
      </w:pPr>
      <w:r>
        <w:rPr>
          <w:rStyle w:val="FootnoteReference"/>
        </w:rPr>
        <w:footnoteRef/>
      </w:r>
      <w:r>
        <w:t xml:space="preserve"> In the interests of time, we have only checked this point in limited countries.</w:t>
      </w:r>
    </w:p>
  </w:footnote>
  <w:footnote w:id="2">
    <w:p w:rsidR="008B0518" w:rsidRDefault="008B0518">
      <w:pPr>
        <w:pStyle w:val="FootnoteText"/>
      </w:pPr>
      <w:r>
        <w:rPr>
          <w:rStyle w:val="FootnoteReference"/>
        </w:rPr>
        <w:footnoteRef/>
      </w:r>
      <w:r>
        <w:t xml:space="preserve"> </w:t>
      </w:r>
      <w:proofErr w:type="gramStart"/>
      <w:r w:rsidRPr="008B0518">
        <w:rPr>
          <w:i/>
        </w:rPr>
        <w:t>See, e.g.,</w:t>
      </w:r>
      <w:r>
        <w:t xml:space="preserve"> </w:t>
      </w:r>
      <w:r w:rsidRPr="008B0518">
        <w:t>Plath, GDPR comment, 3rd edition 2018, Art.</w:t>
      </w:r>
      <w:proofErr w:type="gramEnd"/>
      <w:r w:rsidRPr="008B0518">
        <w:t xml:space="preserve"> 6 GDPR, recitals 14-15</w:t>
      </w:r>
      <w:r>
        <w:t xml:space="preserve">; </w:t>
      </w:r>
      <w:r w:rsidRPr="008B0518">
        <w:t>Kramer/</w:t>
      </w:r>
      <w:proofErr w:type="spellStart"/>
      <w:r w:rsidRPr="008B0518">
        <w:t>vL</w:t>
      </w:r>
      <w:proofErr w:type="spellEnd"/>
      <w:r w:rsidRPr="008B0518">
        <w:t xml:space="preserve">, in: </w:t>
      </w:r>
      <w:proofErr w:type="spellStart"/>
      <w:r w:rsidRPr="008B0518">
        <w:t>Auerhammer</w:t>
      </w:r>
      <w:proofErr w:type="spellEnd"/>
      <w:r w:rsidRPr="008B0518">
        <w:t>, GDPR comment, 5th Ed. 2017, Art. 6 recital 13</w:t>
      </w:r>
      <w:r>
        <w:t xml:space="preserve">; </w:t>
      </w:r>
      <w:r w:rsidRPr="008B0518">
        <w:t>Albers/</w:t>
      </w:r>
      <w:proofErr w:type="spellStart"/>
      <w:r w:rsidRPr="008B0518">
        <w:t>Veit</w:t>
      </w:r>
      <w:proofErr w:type="spellEnd"/>
      <w:r w:rsidRPr="008B0518">
        <w:t xml:space="preserve">, in: </w:t>
      </w:r>
      <w:proofErr w:type="spellStart"/>
      <w:r w:rsidRPr="008B0518">
        <w:t>BeckOK</w:t>
      </w:r>
      <w:proofErr w:type="spellEnd"/>
      <w:r w:rsidRPr="008B0518">
        <w:t xml:space="preserve"> </w:t>
      </w:r>
      <w:proofErr w:type="spellStart"/>
      <w:r w:rsidRPr="008B0518">
        <w:t>DatenschutzR</w:t>
      </w:r>
      <w:proofErr w:type="spellEnd"/>
      <w:r w:rsidRPr="008B0518">
        <w:t xml:space="preserve">, 26. </w:t>
      </w:r>
      <w:proofErr w:type="gramStart"/>
      <w:r w:rsidRPr="008B0518">
        <w:t>Ed. 1.5.2018, GDPR Art.</w:t>
      </w:r>
      <w:proofErr w:type="gramEnd"/>
      <w:r w:rsidRPr="008B0518">
        <w:t xml:space="preserve"> </w:t>
      </w:r>
      <w:proofErr w:type="gramStart"/>
      <w:r w:rsidRPr="008B0518">
        <w:t>6 Rn. 30</w:t>
      </w:r>
      <w:r>
        <w:t xml:space="preserve">; </w:t>
      </w:r>
      <w:r w:rsidRPr="008B0518">
        <w:t>Schulz, in Gola, GDPR comment, 2nd Ed. 2018, GDPR, Art.</w:t>
      </w:r>
      <w:proofErr w:type="gramEnd"/>
      <w:r w:rsidRPr="008B0518">
        <w:t xml:space="preserve"> 6 Rn. 29</w:t>
      </w:r>
      <w:r>
        <w:t xml:space="preserve">; </w:t>
      </w:r>
      <w:r w:rsidRPr="008B0518">
        <w:t xml:space="preserve">Reimer, in: </w:t>
      </w:r>
      <w:proofErr w:type="spellStart"/>
      <w:r w:rsidRPr="008B0518">
        <w:t>Sydow</w:t>
      </w:r>
      <w:proofErr w:type="spellEnd"/>
      <w:r w:rsidRPr="008B0518">
        <w:t xml:space="preserve">, GDPR comment, 2nd Ed. 2018, GDPR Art. </w:t>
      </w:r>
      <w:proofErr w:type="gramStart"/>
      <w:r w:rsidRPr="008B0518">
        <w:t>6 Rn. 18</w:t>
      </w:r>
      <w:r>
        <w:t xml:space="preserve">; and </w:t>
      </w:r>
      <w:r w:rsidRPr="008B0518">
        <w:t>Simitis/</w:t>
      </w:r>
      <w:proofErr w:type="spellStart"/>
      <w:r w:rsidRPr="008B0518">
        <w:t>Hornung</w:t>
      </w:r>
      <w:proofErr w:type="spellEnd"/>
      <w:r w:rsidRPr="008B0518">
        <w:t>/</w:t>
      </w:r>
      <w:proofErr w:type="spellStart"/>
      <w:r w:rsidRPr="008B0518">
        <w:t>Spiecker</w:t>
      </w:r>
      <w:proofErr w:type="spellEnd"/>
      <w:r w:rsidRPr="008B0518">
        <w:t xml:space="preserve"> gen. </w:t>
      </w:r>
      <w:proofErr w:type="spellStart"/>
      <w:r w:rsidRPr="008B0518">
        <w:t>Döhmann</w:t>
      </w:r>
      <w:proofErr w:type="spellEnd"/>
      <w:r w:rsidRPr="008B0518">
        <w:t>, Data Protection Law, GDPR, Art.</w:t>
      </w:r>
      <w:proofErr w:type="gramEnd"/>
      <w:r w:rsidRPr="008B0518">
        <w:t xml:space="preserve"> </w:t>
      </w:r>
      <w:proofErr w:type="gramStart"/>
      <w:r w:rsidRPr="008B0518">
        <w:t>6 para.</w:t>
      </w:r>
      <w:proofErr w:type="gramEnd"/>
      <w:r w:rsidRPr="008B0518">
        <w:t xml:space="preserve"> </w:t>
      </w:r>
      <w:proofErr w:type="gramStart"/>
      <w:r w:rsidRPr="008B0518">
        <w:t>1, Rn. 18</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52" w:rsidRDefault="00D25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F028D1" w:rsidTr="00225B04">
      <w:tc>
        <w:tcPr>
          <w:tcW w:w="9286" w:type="dxa"/>
        </w:tcPr>
        <w:p w:rsidR="00F028D1" w:rsidRDefault="00176258" w:rsidP="00176258">
          <w:pPr>
            <w:pStyle w:val="Header"/>
          </w:pPr>
          <w:bookmarkStart w:id="9" w:name="bmkLogo1"/>
          <w:r>
            <w:rPr>
              <w:noProof/>
              <w:lang w:eastAsia="en-GB"/>
            </w:rPr>
            <w:drawing>
              <wp:inline distT="0" distB="0" distL="0" distR="0" wp14:anchorId="1D8A5F75" wp14:editId="607CC738">
                <wp:extent cx="1505715" cy="265177"/>
                <wp:effectExtent l="0" t="0" r="0" b="190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9"/>
        </w:p>
      </w:tc>
    </w:tr>
  </w:tbl>
  <w:p w:rsidR="00F13581" w:rsidRPr="00F028D1" w:rsidRDefault="00F13581" w:rsidP="00F02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07" w:type="dxa"/>
      <w:tblInd w:w="-851" w:type="dxa"/>
      <w:tblLook w:val="04A0" w:firstRow="1" w:lastRow="0" w:firstColumn="1" w:lastColumn="0" w:noHBand="0" w:noVBand="1"/>
    </w:tblPr>
    <w:tblGrid>
      <w:gridCol w:w="8614"/>
      <w:gridCol w:w="2693"/>
    </w:tblGrid>
    <w:tr w:rsidR="005513B1" w:rsidTr="00894459">
      <w:tc>
        <w:tcPr>
          <w:tcW w:w="8614" w:type="dxa"/>
        </w:tcPr>
        <w:p w:rsidR="005513B1" w:rsidRPr="008F63DB" w:rsidRDefault="00176258" w:rsidP="00894459">
          <w:pPr>
            <w:pStyle w:val="Header"/>
            <w:tabs>
              <w:tab w:val="clear" w:pos="4513"/>
              <w:tab w:val="clear" w:pos="9026"/>
            </w:tabs>
            <w:ind w:right="-3335"/>
          </w:pPr>
          <w:bookmarkStart w:id="10" w:name="bmkLogo"/>
          <w:r>
            <w:rPr>
              <w:noProof/>
              <w:lang w:eastAsia="en-GB"/>
            </w:rPr>
            <w:drawing>
              <wp:inline distT="0" distB="0" distL="0" distR="0" wp14:anchorId="2DF3A6A2" wp14:editId="774C4EEB">
                <wp:extent cx="1505715" cy="265177"/>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0"/>
          <w:r w:rsidR="005513B1">
            <w:rPr>
              <w:noProof/>
              <w:lang w:eastAsia="en-GB"/>
            </w:rPr>
            <mc:AlternateContent>
              <mc:Choice Requires="wps">
                <w:drawing>
                  <wp:anchor distT="0" distB="0" distL="114300" distR="114300" simplePos="0" relativeHeight="251659264" behindDoc="1" locked="0" layoutInCell="1" allowOverlap="1" wp14:anchorId="457C84CF" wp14:editId="54FFC134">
                    <wp:simplePos x="0" y="0"/>
                    <wp:positionH relativeFrom="column">
                      <wp:posOffset>5393055</wp:posOffset>
                    </wp:positionH>
                    <wp:positionV relativeFrom="paragraph">
                      <wp:posOffset>-17145</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rsidR="005513B1" w:rsidRDefault="00176258" w:rsidP="005513B1">
                                <w:bookmarkStart w:id="11" w:name="bmkOfficeAddress"/>
                                <w:r>
                                  <w:rPr>
                                    <w:noProof/>
                                    <w:lang w:eastAsia="en-GB"/>
                                  </w:rPr>
                                  <w:drawing>
                                    <wp:inline distT="0" distB="0" distL="0" distR="0" wp14:anchorId="5E5FFB27" wp14:editId="2332FF35">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15745" cy="1264285"/>
                                              </a:xfrm>
                                              <a:prstGeom prst="rect">
                                                <a:avLst/>
                                              </a:prstGeom>
                                            </pic:spPr>
                                          </pic:pic>
                                        </a:graphicData>
                                      </a:graphic>
                                    </wp:inline>
                                  </w:drawing>
                                </w:r>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65pt;margin-top:-1.35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" stroked="f">
                    <v:textbox>
                      <w:txbxContent>
                        <w:p w:rsidR="005513B1" w:rsidRDefault="00176258" w:rsidP="005513B1">
                          <w:bookmarkStart w:id="12" w:name="bmkOfficeAddress"/>
                          <w:r>
                            <w:rPr>
                              <w:noProof/>
                              <w:lang w:eastAsia="en-GB"/>
                            </w:rPr>
                            <w:drawing>
                              <wp:inline distT="0" distB="0" distL="0" distR="0" wp14:anchorId="5E5FFB27" wp14:editId="2332FF35">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15745" cy="1264285"/>
                                        </a:xfrm>
                                        <a:prstGeom prst="rect">
                                          <a:avLst/>
                                        </a:prstGeom>
                                      </pic:spPr>
                                    </pic:pic>
                                  </a:graphicData>
                                </a:graphic>
                              </wp:inline>
                            </w:drawing>
                          </w:r>
                          <w:bookmarkEnd w:id="12"/>
                        </w:p>
                      </w:txbxContent>
                    </v:textbox>
                  </v:shape>
                </w:pict>
              </mc:Fallback>
            </mc:AlternateContent>
          </w:r>
        </w:p>
      </w:tc>
      <w:tc>
        <w:tcPr>
          <w:tcW w:w="2693" w:type="dxa"/>
        </w:tcPr>
        <w:p w:rsidR="005513B1" w:rsidRDefault="005513B1" w:rsidP="00894459">
          <w:pPr>
            <w:pStyle w:val="Header"/>
            <w:tabs>
              <w:tab w:val="clear" w:pos="4513"/>
              <w:tab w:val="clear" w:pos="9026"/>
            </w:tabs>
            <w:ind w:right="-1136"/>
          </w:pPr>
        </w:p>
      </w:tc>
    </w:tr>
  </w:tbl>
  <w:p w:rsidR="00DD28ED" w:rsidRPr="005513B1" w:rsidRDefault="00DD28ED" w:rsidP="0055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nsid w:val="0ACF4A5A"/>
    <w:multiLevelType w:val="multilevel"/>
    <w:tmpl w:val="22B85D12"/>
    <w:numStyleLink w:val="NumberingSchedules"/>
  </w:abstractNum>
  <w:abstractNum w:abstractNumId="2">
    <w:nsid w:val="182D1E23"/>
    <w:multiLevelType w:val="hybridMultilevel"/>
    <w:tmpl w:val="5DB455B0"/>
    <w:lvl w:ilvl="0" w:tplc="0809000F">
      <w:start w:val="1"/>
      <w:numFmt w:val="decimal"/>
      <w:lvlText w:val="%1."/>
      <w:lvlJc w:val="left"/>
      <w:pPr>
        <w:ind w:left="720" w:hanging="360"/>
      </w:p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58929C5"/>
    <w:multiLevelType w:val="multilevel"/>
    <w:tmpl w:val="2D08F10E"/>
    <w:numStyleLink w:val="NumberingMain"/>
  </w:abstractNum>
  <w:abstractNum w:abstractNumId="4">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nsid w:val="416A30EA"/>
    <w:multiLevelType w:val="multilevel"/>
    <w:tmpl w:val="77080A38"/>
    <w:numStyleLink w:val="BulletList"/>
  </w:abstractNum>
  <w:abstractNum w:abstractNumId="7">
    <w:nsid w:val="4C077BFA"/>
    <w:multiLevelType w:val="multilevel"/>
    <w:tmpl w:val="2D08F10E"/>
    <w:numStyleLink w:val="NumberingMain"/>
  </w:abstractNum>
  <w:abstractNum w:abstractNumId="8">
    <w:nsid w:val="67C07D20"/>
    <w:multiLevelType w:val="multilevel"/>
    <w:tmpl w:val="22B85D12"/>
    <w:numStyleLink w:val="NumberingSchedules"/>
  </w:abstractNum>
  <w:num w:numId="1">
    <w:abstractNumId w:val="4"/>
  </w:num>
  <w:num w:numId="2">
    <w:abstractNumId w:val="5"/>
  </w:num>
  <w:num w:numId="3">
    <w:abstractNumId w:val="7"/>
  </w:num>
  <w:num w:numId="4">
    <w:abstractNumId w:val="0"/>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0"/>
  </w:num>
  <w:num w:numId="26">
    <w:abstractNumId w:val="3"/>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4"/>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alogXml_000" w:val="&lt;?xml version=&quot;1.0&quot; encoding=&quot;utf-16&quot; standalone=&quot;yes&quot;?&gt;_x000d__x000a_&lt;userformRoot&gt;_x000d__x000a_   &lt;userform name=&quot;Memo&quot; caption=&quot;Memo&quot;&gt;_x000d__x000a_      &lt;control type=&quot;System.Windows.Forms.GroupBox&quot; name=&quot;groupBox1&quot; text=&quot;&quot; /&gt;_x000d__x000a_      &lt;control type=&quot;System.Windows.Forms.CheckBox&quot; name=&quot;chkIncludeImages&quot; text=&quot;Include Logos&quot; value=&quot;True&quot; /&gt;_x000d__x000a_      &lt;control type=&quot;System.Windows.Forms.ComboBox&quot; name=&quot;cboSpecialIns&quot; text=&quot;&quot;&gt;_x000d__x000a_         &lt;Items&gt;_x000d__x000a_            &lt;string&gt;ADDRESSEE ONLY&lt;/string&gt;_x000d__x000a_            &lt;Type&gt;System.String&lt;/Type&gt;_x000d__x000a_            &lt;string&gt;STRICTLY PRIVATE AND CONFIDENTIAL&lt;/string&gt;_x000d__x000a_            &lt;Type&gt;System.String&lt;/Type&gt;_x000d__x000a_            &lt;string&gt;SUBJECT TO CONTRACT&lt;/string&gt;_x000d__x000a_            &lt;Type&gt;System.String&lt;/Type&gt;_x000d__x000a_            &lt;string&gt;WITHOUT PREJUDICE&lt;/string&gt;_x000d__x000a_            &lt;Type&gt;System.String&lt;/Type&gt;_x000d__x000a_            &lt;string&gt;SUBJECT TO LEASE&lt;/string&gt;_x000d__x000a_            &lt;Type&gt;System.String&lt;/Type&gt;_x000d__x000a_            &lt;string&gt;LEGALLY PRIVILEGED&lt;/string&gt;_x000d__x000a_            &lt;Type&gt;System.String&lt;/Type&gt;_x000d__x000a_         &lt;/Items&gt;_x000d__x000a_      &lt;/control&gt;_x000d__x000a_      &lt;control type=&quot;System.Windows.Forms.DateTimePicker&quot; name=&quot;dtpDate&quot; text=&quot;17 January 2019&quot; /&gt;_x000d__x000a_      &lt;control type=&quot;System.Windows.Forms.TextBox&quot; name=&quot;txtCc&quot; text=&quot;&quot; /&gt;_x000d__x000a_      &lt;control type=&quot;System.Windows.Forms.TextBox&quot; name=&quot;txtFrom&quot; text=&quot;Ruth Boardman&quot; /&gt;_x000d__x000a_      &lt;control type=&quot;System.Windows.Forms.CheckBox&quot; name=&quot;chkInternalMemo&quot; text=&quot;Internal Memorandum&quot; value=&quot;False&quot; /&gt;_x000d__x000a_      &lt;control type=&quot;System.Windows.Forms.TextBox&quot; name=&quot;txtTo&quot; text=&quot;Internet Corporation for Assigned Names and Numbers&quot; /&gt;_x000d__x000a_      &lt;control type=&quot;System.Windows.Forms.TextBox&quot; name=&quot;txtRe&quot; text=&quot;Advice on Interpretation of Article 6(1)(b) of the General Data Protection Regulation (Regulation (EU) 2016/679, &amp;quot;GDPR&amp;quot;)&quot; /&gt;_x000d__x000a_      &lt;control type=&quot;System.Windows.Forms.Label&quot; name=&quot;lblTo&quot; text=&quot;To&quot; /&gt;_x000d__x000a_      &lt;control type=&quot;System.Windows.Forms.Label&quot; name=&quot;lblFrom&quot; text=&quot;From&quot; /&gt;_x000d__x000a_      &lt;control type=&quot;System.Windows.Forms.Label&quot; name=&quot;lblCC&quot; text=&quot;Cc&quot; /&gt;_x000d__x000a_      &lt;control type=&quot;System.Windows.Forms.Label&quot; name=&quot;lblDate&quot; text=&quot;Date&quot; /&gt;_x000d__x000a_      &lt;control type=&quot;System.Windows.Forms.Label&quot; name=&quot;lblRe&quot; text=&quot;Subject&quot; /&gt;_x000d__x000a_      &lt;control type=&quot;System.Windows.Forms.Label&quot; name=&quot;grpSpecialInstructions&quot; text=&quot;Special Instructions&quot; /&gt;_x000d__x000a_      &lt;control type=&quot;System.Windows.Forms.Button&quot; name=&quot;btnCancel&quot; text=&quot;Cancel&quot; /&gt;_x000d__x000a_      &lt;control type=&quot;System.Windows.Forms.Button&quot; name=&quot;btnOk&quot; text=&quot;&amp;amp;Ok&quot; /&gt;_x000d__x000a_   &lt;/userform&gt;_x000d__x000a_&lt;/userformRoot&gt;"/>
    <w:docVar w:name="TMS_CultureID" w:val="en-GB"/>
    <w:docVar w:name="TMS_OfficeID" w:val="LondonInternational"/>
    <w:docVar w:name="TMS_TEMPLATE_ID" w:val="Memo"/>
  </w:docVars>
  <w:rsids>
    <w:rsidRoot w:val="00AB01AF"/>
    <w:rsid w:val="00011068"/>
    <w:rsid w:val="00027C51"/>
    <w:rsid w:val="00034B47"/>
    <w:rsid w:val="00037934"/>
    <w:rsid w:val="00042DC9"/>
    <w:rsid w:val="00046814"/>
    <w:rsid w:val="0006369B"/>
    <w:rsid w:val="00072F39"/>
    <w:rsid w:val="000A0CBE"/>
    <w:rsid w:val="000E69F2"/>
    <w:rsid w:val="001451E7"/>
    <w:rsid w:val="00163E79"/>
    <w:rsid w:val="00167770"/>
    <w:rsid w:val="00176258"/>
    <w:rsid w:val="001A242F"/>
    <w:rsid w:val="001B1800"/>
    <w:rsid w:val="001B35BD"/>
    <w:rsid w:val="001E64E3"/>
    <w:rsid w:val="00225B04"/>
    <w:rsid w:val="00265DBD"/>
    <w:rsid w:val="002B7CFB"/>
    <w:rsid w:val="002D45EF"/>
    <w:rsid w:val="002E23C5"/>
    <w:rsid w:val="003143EB"/>
    <w:rsid w:val="00364763"/>
    <w:rsid w:val="00377D74"/>
    <w:rsid w:val="003A0280"/>
    <w:rsid w:val="003A199A"/>
    <w:rsid w:val="004037C8"/>
    <w:rsid w:val="00421F0A"/>
    <w:rsid w:val="004233B8"/>
    <w:rsid w:val="00433155"/>
    <w:rsid w:val="00443E87"/>
    <w:rsid w:val="00460753"/>
    <w:rsid w:val="004A66DE"/>
    <w:rsid w:val="004C165B"/>
    <w:rsid w:val="004F2633"/>
    <w:rsid w:val="0050328C"/>
    <w:rsid w:val="005513B1"/>
    <w:rsid w:val="005733A3"/>
    <w:rsid w:val="005952EA"/>
    <w:rsid w:val="005B0710"/>
    <w:rsid w:val="005D51BF"/>
    <w:rsid w:val="005D72E8"/>
    <w:rsid w:val="005D7FA5"/>
    <w:rsid w:val="005E0445"/>
    <w:rsid w:val="00647479"/>
    <w:rsid w:val="006725BC"/>
    <w:rsid w:val="006A7B3D"/>
    <w:rsid w:val="006E5498"/>
    <w:rsid w:val="00720E51"/>
    <w:rsid w:val="007269AB"/>
    <w:rsid w:val="00766013"/>
    <w:rsid w:val="00771490"/>
    <w:rsid w:val="00774996"/>
    <w:rsid w:val="00782183"/>
    <w:rsid w:val="007A55C9"/>
    <w:rsid w:val="007B548F"/>
    <w:rsid w:val="007D6D65"/>
    <w:rsid w:val="00852CC1"/>
    <w:rsid w:val="00852CD5"/>
    <w:rsid w:val="008833F3"/>
    <w:rsid w:val="00892F0A"/>
    <w:rsid w:val="008B0518"/>
    <w:rsid w:val="008B5C15"/>
    <w:rsid w:val="008C2354"/>
    <w:rsid w:val="009237CE"/>
    <w:rsid w:val="00971EE3"/>
    <w:rsid w:val="009729A5"/>
    <w:rsid w:val="00975DDE"/>
    <w:rsid w:val="00990113"/>
    <w:rsid w:val="009909A9"/>
    <w:rsid w:val="009A227E"/>
    <w:rsid w:val="009D1611"/>
    <w:rsid w:val="00A36ADA"/>
    <w:rsid w:val="00A63CA9"/>
    <w:rsid w:val="00A640F1"/>
    <w:rsid w:val="00A72C00"/>
    <w:rsid w:val="00AA0E03"/>
    <w:rsid w:val="00AA3723"/>
    <w:rsid w:val="00AA51A5"/>
    <w:rsid w:val="00AB01AF"/>
    <w:rsid w:val="00AB16E8"/>
    <w:rsid w:val="00AF327B"/>
    <w:rsid w:val="00AF613E"/>
    <w:rsid w:val="00B146A7"/>
    <w:rsid w:val="00B260EF"/>
    <w:rsid w:val="00B45553"/>
    <w:rsid w:val="00B64626"/>
    <w:rsid w:val="00B86CCD"/>
    <w:rsid w:val="00B90375"/>
    <w:rsid w:val="00B9688E"/>
    <w:rsid w:val="00BA67B9"/>
    <w:rsid w:val="00C028B3"/>
    <w:rsid w:val="00C14BFD"/>
    <w:rsid w:val="00C7686B"/>
    <w:rsid w:val="00CC362E"/>
    <w:rsid w:val="00CE5E56"/>
    <w:rsid w:val="00D16785"/>
    <w:rsid w:val="00D25952"/>
    <w:rsid w:val="00D42BAE"/>
    <w:rsid w:val="00D641D7"/>
    <w:rsid w:val="00D66878"/>
    <w:rsid w:val="00D756B2"/>
    <w:rsid w:val="00DB0F49"/>
    <w:rsid w:val="00DD0737"/>
    <w:rsid w:val="00DD28ED"/>
    <w:rsid w:val="00DD4E75"/>
    <w:rsid w:val="00DD59E6"/>
    <w:rsid w:val="00E029AC"/>
    <w:rsid w:val="00E25B1D"/>
    <w:rsid w:val="00E27172"/>
    <w:rsid w:val="00E44BA5"/>
    <w:rsid w:val="00E74AC5"/>
    <w:rsid w:val="00EC084B"/>
    <w:rsid w:val="00ED7262"/>
    <w:rsid w:val="00F028D1"/>
    <w:rsid w:val="00F13581"/>
    <w:rsid w:val="00F33B2A"/>
    <w:rsid w:val="00F46DE2"/>
    <w:rsid w:val="00F85AE8"/>
    <w:rsid w:val="00F923CF"/>
    <w:rsid w:val="00F93584"/>
    <w:rsid w:val="00FA0EAF"/>
    <w:rsid w:val="00FC5E8A"/>
    <w:rsid w:val="00FD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able of figures" w:unhideWhenUsed="1"/>
    <w:lsdException w:name="table of authorities" w:unhideWhenUsed="1"/>
    <w:lsdException w:name="Title" w:uiPriority="10" w:qFormat="1"/>
    <w:lsdException w:name="Default Paragraph Font" w:uiPriority="1" w:unhideWhenUsed="1"/>
    <w:lsdException w:name="Body Text" w:uiPriority="0" w:unhideWhenUsed="1"/>
    <w:lsdException w:name="Subtitle" w:uiPriority="11" w:qFormat="1"/>
    <w:lsdException w:name="Block Text"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3A0280"/>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semiHidden/>
    <w:rsid w:val="008B0518"/>
    <w:rPr>
      <w:vertAlign w:val="superscript"/>
    </w:rPr>
  </w:style>
  <w:style w:type="character" w:styleId="Hyperlink">
    <w:name w:val="Hyperlink"/>
    <w:basedOn w:val="DefaultParagraphFont"/>
    <w:uiPriority w:val="99"/>
    <w:semiHidden/>
    <w:rsid w:val="00F46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able of figures" w:unhideWhenUsed="1"/>
    <w:lsdException w:name="table of authorities" w:unhideWhenUsed="1"/>
    <w:lsdException w:name="Title" w:uiPriority="10" w:qFormat="1"/>
    <w:lsdException w:name="Default Paragraph Font" w:uiPriority="1" w:unhideWhenUsed="1"/>
    <w:lsdException w:name="Body Text" w:uiPriority="0" w:unhideWhenUsed="1"/>
    <w:lsdException w:name="Subtitle" w:uiPriority="11" w:qFormat="1"/>
    <w:lsdException w:name="Block Text"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3A0280"/>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semiHidden/>
    <w:rsid w:val="008B0518"/>
    <w:rPr>
      <w:vertAlign w:val="superscript"/>
    </w:rPr>
  </w:style>
  <w:style w:type="character" w:styleId="Hyperlink">
    <w:name w:val="Hyperlink"/>
    <w:basedOn w:val="DefaultParagraphFont"/>
    <w:uiPriority w:val="99"/>
    <w:semiHidden/>
    <w:rsid w:val="00F46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38288">
      <w:bodyDiv w:val="1"/>
      <w:marLeft w:val="0"/>
      <w:marRight w:val="0"/>
      <w:marTop w:val="0"/>
      <w:marBottom w:val="0"/>
      <w:divBdr>
        <w:top w:val="none" w:sz="0" w:space="0" w:color="auto"/>
        <w:left w:val="none" w:sz="0" w:space="0" w:color="auto"/>
        <w:bottom w:val="none" w:sz="0" w:space="0" w:color="auto"/>
        <w:right w:val="none" w:sz="0" w:space="0" w:color="auto"/>
      </w:divBdr>
    </w:div>
    <w:div w:id="21096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utoriteprotectiondonnees.be/marketing-direct/vous-souhaitez-envoyer/une-relation-pre-contractuelle-direct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3E06-D6F3-4610-A7A7-4D0B8CAD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2</TotalTime>
  <Pages>1</Pages>
  <Words>1377</Words>
  <Characters>6943</Characters>
  <Application>Microsoft Office Word</Application>
  <DocSecurity>0</DocSecurity>
  <Lines>141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Vaughan</dc:creator>
  <cp:lastModifiedBy>Ruth Boardman</cp:lastModifiedBy>
  <cp:revision>5</cp:revision>
  <cp:lastPrinted>2019-01-21T10:41:00Z</cp:lastPrinted>
  <dcterms:created xsi:type="dcterms:W3CDTF">2019-01-21T14:53:00Z</dcterms:created>
  <dcterms:modified xsi:type="dcterms:W3CDTF">2019-01-23T09:31:00Z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Matters\45265221.1</vt:lpwstr>
  </property>
  <property fmtid="{D5CDD505-2E9C-101B-9397-08002B2CF9AE}" pid="3" name="bbFooterStyle">
    <vt:lpwstr>SHORT</vt:lpwstr>
  </property>
</Properties>
</file>